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SIX x-clear AG (SIX x-clear)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**Research Tier:** Tier 3 (Overview)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**Type:** CCP (Central Counterparty)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SIX x-clear AG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Abbreviation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SIX x-clear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color w:val="0563C1"/>
                <w:u w:val="single"/>
              </w:rPr>
              <w:t>https://www.six-group.com/en/products-services/securities-services/clearing.html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Year Established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2003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Country / 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Switzerland / Zurich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Ownership Structure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Subsidiary of SIX Securities Services AG, part of SIX Group AG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Parent Company / Group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SIX Group AG -- vertically integrated Swiss financial infrastructure group encompassing SIX Swiss Exchange (equities/bonds), SIX x-clear (CCP), SIX SIS (CSD), SIX Digital Exchange (SDX), BME (Spanish exchanges), and financial information services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FINMA (Swiss Financial Market Supervisory Authority) as primary supervisor; SNB (Swiss National Bank) for systemically important services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CPMI-IOSCO PFMI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Yes -- publishes CPMI-IOSCO self-assessment and Public Quantitative Disclosures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QCCP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Licensed CCP under Swiss Financial Market Infrastructure Act (FMIA) since 28 March 2018; recognized Third Country CCP in EU and UK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Clearing Members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~60 clearing members across European markets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Markets Served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28 trading venues across 18 markets (combined with BME Clearing)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Position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Leading interoperable CCP for European cash equities; pioneer in CCP interoperability</w:t>
            </w:r>
          </w:p>
        </w:tc>
      </w:tr>
    </w:tbl>
    <w:p/>
    <w:p>
      <w:r>
        <w:rPr>
          <w:rFonts w:ascii="Calibri" w:hAnsi="Calibri"/>
        </w:rPr>
        <w:t>[Source: SIX Group -- Clearing Services, https://www.six-group.com/en/products-services/securities-services/clearing.html]</w:t>
      </w:r>
    </w:p>
    <w:p>
      <w:r>
        <w:rPr>
          <w:rFonts w:ascii="Calibri" w:hAnsi="Calibri"/>
        </w:rPr>
        <w:t>[Source: SIX Group -- 20 Years of Clearing, https://www.six-group.com/en/newsroom/news/securities-services/2023/20-years-clearing-anniversary.html]</w:t>
      </w:r>
    </w:p>
    <w:p>
      <w:r>
        <w:rPr>
          <w:rFonts w:ascii="Calibri" w:hAnsi="Calibri"/>
        </w:rPr>
        <w:t>[Source: SIX Group -- FINMA Recognition, https://www.six-group.com/en/newsroom/archive/2018/20180406-SIXxclear.html]</w:t>
      </w:r>
    </w:p>
    <w:p>
      <w:pPr>
        <w:pStyle w:val="Heading3"/>
      </w:pPr>
      <w:r>
        <w:rPr>
          <w:rFonts w:ascii="Calibri" w:hAnsi="Calibri"/>
        </w:rPr>
        <w:t>Key Historical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SIX x-clear established as CCP subsidiary of SIX Swiss Exchange (then SWX Swiss Exchange)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Launch of clearing services for SIX Swiss Exchange equities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Establishment of interoperability link with LCH Ltd for London Stock Exchange -- first CCP interoperability arrangement in Europe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Interoperability link withstood Lehman Brothers collapse, proving robustness of the model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2010s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Expansion of interoperability to additional European venues including Cboe Europe, Euronext, Nasdaq Nordic/Oslo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FINMA authorization as CCP under the Financial Market Infrastructure Act (FMIA), 28 March 2018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FINMA approves SIX x-clear's first recovery plan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20th anniversary of clearing operations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 (Dec)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SIX announces integration of SIX x-clear and BME Clearing into a single international multi-asset CCP named "SIX Clearing," headquartered in Madrid with presences in Zurich and Oslo</w:t>
            </w:r>
          </w:p>
        </w:tc>
      </w:tr>
    </w:tbl>
    <w:p/>
    <w:p>
      <w:r>
        <w:rPr>
          <w:rFonts w:ascii="Calibri" w:hAnsi="Calibri"/>
        </w:rPr>
        <w:t>[Source: SIX Group -- Interoperability 20 Years, https://www.six-group.com/en/newsroom/news/securities-services/2023/interoperability-20-years-clearing-anniversary.html]</w:t>
      </w:r>
    </w:p>
    <w:p>
      <w:r>
        <w:rPr>
          <w:rFonts w:ascii="Calibri" w:hAnsi="Calibri"/>
        </w:rPr>
        <w:t>[Source: SIX Group -- SIX x-clear/BME Clearing Integration, https://www.six-group.com/en/newsroom/media-releases/2025/20251204-six-clearing.html]</w:t>
      </w:r>
    </w:p>
    <w:p>
      <w:r>
        <w:rPr>
          <w:rFonts w:ascii="Calibri" w:hAnsi="Calibri"/>
        </w:rPr>
        <w:t>[Source: FINMA -- Resolution Report, https://www.finma.ch/en/enforcement/recovery-und-resolution-n/publikationen/resolution-report/archive/resolution-report/focus-on-financial-market-infrastructures/]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Clearing Model</w:t>
      </w:r>
    </w:p>
    <w:p>
      <w:pPr>
        <w:pStyle w:val="Heading3"/>
      </w:pPr>
      <w:r>
        <w:rPr>
          <w:rFonts w:ascii="Calibri" w:hAnsi="Calibri"/>
        </w:rPr>
        <w:t>2.1 CCP Services</w:t>
      </w:r>
    </w:p>
    <w:p>
      <w:r>
        <w:rPr>
          <w:rFonts w:ascii="Calibri" w:hAnsi="Calibri"/>
        </w:rPr>
        <w:t>SIX x-clear provides central counterparty clearing for cash equity and bond markets across Europe. Upon trade execution, SIX x-clear interposes itself as CCP through novation, becoming the buyer to every seller and the seller to every buyer.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Asset Classes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Venues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Swiss Market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Equities, ETFs, bonds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SIX Swiss Exchange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Pan-European Cash Equities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Equities, ETFs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London Stock Exchange, Cboe Europe, Euronext, Nasdaq Nordic/Oslo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Bond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Government and corporate bonds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SIX Swiss Exchange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2.2 Clearing Process</w:t>
      </w:r>
    </w:p>
    <w:p>
      <w:pPr>
        <w:pStyle w:val="ListBullet"/>
      </w:pPr>
      <w:r>
        <w:rPr>
          <w:rFonts w:ascii="Calibri" w:hAnsi="Calibri"/>
          <w:b/>
        </w:rPr>
        <w:t>Novation:</w:t>
      </w:r>
      <w:r>
        <w:rPr>
          <w:rFonts w:ascii="Calibri" w:hAnsi="Calibri"/>
        </w:rPr>
        <w:t xml:space="preserve"> SIX x-clear assumes counterparty risk upon trade acceptance</w:t>
      </w:r>
    </w:p>
    <w:p>
      <w:pPr>
        <w:pStyle w:val="ListBullet"/>
      </w:pPr>
      <w:r>
        <w:rPr>
          <w:rFonts w:ascii="Calibri" w:hAnsi="Calibri"/>
          <w:b/>
        </w:rPr>
        <w:t>Multilateral Netting:</w:t>
      </w:r>
      <w:r>
        <w:rPr>
          <w:rFonts w:ascii="Calibri" w:hAnsi="Calibri"/>
        </w:rPr>
        <w:t xml:space="preserve"> Trades are netted on a multilateral basis per clearing member, segmented by house/client account, ISIN, currency, and settlement details</w:t>
      </w:r>
    </w:p>
    <w:p>
      <w:pPr>
        <w:pStyle w:val="ListBullet"/>
      </w:pPr>
      <w:r>
        <w:rPr>
          <w:rFonts w:ascii="Calibri" w:hAnsi="Calibri"/>
          <w:b/>
        </w:rPr>
        <w:t>Netting Benefits:</w:t>
      </w:r>
      <w:r>
        <w:rPr>
          <w:rFonts w:ascii="Calibri" w:hAnsi="Calibri"/>
        </w:rPr>
        <w:t xml:space="preserve"> Multilateral netting significantly reduces overall settlement volumes and associated costs for members</w:t>
      </w:r>
    </w:p>
    <w:p>
      <w:pPr>
        <w:pStyle w:val="ListBullet"/>
      </w:pPr>
      <w:r>
        <w:rPr>
          <w:rFonts w:ascii="Calibri" w:hAnsi="Calibri"/>
          <w:b/>
        </w:rPr>
        <w:t>Core System:</w:t>
      </w:r>
      <w:r>
        <w:rPr>
          <w:rFonts w:ascii="Calibri" w:hAnsi="Calibri"/>
        </w:rPr>
        <w:t xml:space="preserve"> SECOM is the core application for clearing and settlement services, including risk management, margin calculation, and clearing trade transactions</w:t>
      </w:r>
    </w:p>
    <w:p>
      <w:r>
        <w:rPr>
          <w:rFonts w:ascii="Calibri" w:hAnsi="Calibri"/>
        </w:rPr>
        <w:t>[Source: SIX Group -- Clearing Services]</w:t>
      </w:r>
    </w:p>
    <w:p>
      <w:r>
        <w:rPr>
          <w:rFonts w:ascii="Calibri" w:hAnsi="Calibri"/>
        </w:rPr>
        <w:t>[Source: SIX x-clear -- CPMI-IOSCO Disclosure, https://www.six-group.com/dam/download/securities-services/clearing/regulatory/consultation-responses/six-x-clear-iosco-en.pdf]</w:t>
      </w:r>
    </w:p>
    <w:p>
      <w:pPr>
        <w:pStyle w:val="Heading3"/>
      </w:pPr>
      <w:r>
        <w:rPr>
          <w:rFonts w:ascii="Calibri" w:hAnsi="Calibri"/>
        </w:rPr>
        <w:t>2.3 Membership</w:t>
      </w:r>
    </w:p>
    <w:p>
      <w:r>
        <w:rPr>
          <w:rFonts w:ascii="Calibri" w:hAnsi="Calibri"/>
        </w:rPr>
        <w:t>SIX x-clear serves approximately 60 clearing members. Members can clear for their own account (proprietary) or on behalf of clients. Membership requires meeting capital, operational, and technical requirements set by SIX x-clear.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Risk Management</w:t>
      </w:r>
    </w:p>
    <w:p>
      <w:pPr>
        <w:pStyle w:val="Heading3"/>
      </w:pPr>
      <w:r>
        <w:rPr>
          <w:rFonts w:ascii="Calibri" w:hAnsi="Calibri"/>
        </w:rPr>
        <w:t>3.1 Margin Framework</w:t>
      </w:r>
    </w:p>
    <w:p>
      <w:r>
        <w:rPr>
          <w:rFonts w:ascii="Calibri" w:hAnsi="Calibri"/>
        </w:rPr>
        <w:t xml:space="preserve">SIX x-clear employs a </w:t>
      </w:r>
      <w:r>
        <w:rPr>
          <w:rFonts w:ascii="Calibri" w:hAnsi="Calibri"/>
          <w:b/>
        </w:rPr>
        <w:t>Monte Carlo Value-at-Risk (VaR)</w:t>
      </w:r>
      <w:r>
        <w:rPr>
          <w:rFonts w:ascii="Calibri" w:hAnsi="Calibri"/>
        </w:rPr>
        <w:t xml:space="preserve"> approach for its equities margin model:</w:t>
      </w:r>
    </w:p>
    <w:p>
      <w:pPr>
        <w:pStyle w:val="ListBullet"/>
      </w:pPr>
      <w:r>
        <w:rPr>
          <w:rFonts w:ascii="Calibri" w:hAnsi="Calibri"/>
        </w:rPr>
        <w:t>Portfolio margining approach that generates profit and loss scenarios</w:t>
      </w:r>
    </w:p>
    <w:p>
      <w:pPr>
        <w:pStyle w:val="ListBullet"/>
      </w:pPr>
      <w:r>
        <w:rPr>
          <w:rFonts w:ascii="Calibri" w:hAnsi="Calibri"/>
        </w:rPr>
        <w:t>Parametric assumptions (volatility, correlations) are checked daily against historical data</w:t>
      </w:r>
    </w:p>
    <w:p>
      <w:pPr>
        <w:pStyle w:val="ListBullet"/>
      </w:pPr>
      <w:r>
        <w:rPr>
          <w:rFonts w:ascii="Calibri" w:hAnsi="Calibri"/>
          <w:b/>
        </w:rPr>
        <w:t>Anti-procyclicality measures:</w:t>
      </w:r>
      <w:r>
        <w:rPr>
          <w:rFonts w:ascii="Calibri" w:hAnsi="Calibri"/>
        </w:rPr>
        <w:t xml:space="preserve"> Stressed periods are factored into margin calculations to avoid margins becoming excessively low during calm markets and to enable gradual increases during stress</w:t>
      </w:r>
    </w:p>
    <w:p>
      <w:pPr>
        <w:pStyle w:val="ListBullet"/>
      </w:pPr>
      <w:r>
        <w:rPr>
          <w:rFonts w:ascii="Calibri" w:hAnsi="Calibri"/>
        </w:rPr>
        <w:t>Margin requirements are designed to cover potential losses at a high confidence level (typically 99% or higher) over the liquidation period</w:t>
      </w:r>
    </w:p>
    <w:p>
      <w:r>
        <w:rPr>
          <w:rFonts w:ascii="Calibri" w:hAnsi="Calibri"/>
        </w:rPr>
        <w:t>[Source: SIX x-clear -- CPMI-IOSCO Disclosure]</w:t>
      </w:r>
    </w:p>
    <w:p>
      <w:pPr>
        <w:pStyle w:val="Heading3"/>
      </w:pPr>
      <w:r>
        <w:rPr>
          <w:rFonts w:ascii="Calibri" w:hAnsi="Calibri"/>
        </w:rPr>
        <w:t>3.3 Default Waterfall</w:t>
      </w:r>
    </w:p>
    <w:p>
      <w:r>
        <w:rPr>
          <w:rFonts w:ascii="Calibri" w:hAnsi="Calibri"/>
        </w:rPr>
        <w:t>SIX x-clear maintains a default waterfall to protect non-defaulting members in the event that losses from a member's default exceed the defaulter's own collateral:</w:t>
      </w:r>
    </w:p>
    <w:p>
      <w:pPr>
        <w:pStyle w:val="ListBullet"/>
      </w:pPr>
      <w:r>
        <w:rPr>
          <w:rFonts w:ascii="Calibri" w:hAnsi="Calibri"/>
          <w:b/>
        </w:rPr>
        <w:t>Defaulter's margin and collateral</w:t>
      </w:r>
      <w:r>
        <w:rPr>
          <w:rFonts w:ascii="Calibri" w:hAnsi="Calibri"/>
        </w:rPr>
        <w:t xml:space="preserve"> -- initial margin and variation margin of the defaulting member</w:t>
      </w:r>
    </w:p>
    <w:p>
      <w:pPr>
        <w:pStyle w:val="ListBullet"/>
      </w:pPr>
      <w:r>
        <w:rPr>
          <w:rFonts w:ascii="Calibri" w:hAnsi="Calibri"/>
          <w:b/>
        </w:rPr>
        <w:t>Defaulter's default fund contribution</w:t>
      </w:r>
      <w:r>
        <w:rPr>
          <w:rFonts w:ascii="Calibri" w:hAnsi="Calibri"/>
        </w:rPr>
        <w:t xml:space="preserve"> -- the defaulting member's contribution to the default fund</w:t>
      </w:r>
    </w:p>
    <w:p>
      <w:pPr>
        <w:pStyle w:val="ListBullet"/>
      </w:pPr>
      <w:r>
        <w:rPr>
          <w:rFonts w:ascii="Calibri" w:hAnsi="Calibri"/>
          <w:b/>
        </w:rPr>
        <w:t>SIX x-clear's own capital (skin-in-the-game)</w:t>
      </w:r>
      <w:r>
        <w:rPr>
          <w:rFonts w:ascii="Calibri" w:hAnsi="Calibri"/>
        </w:rPr>
        <w:t xml:space="preserve"> -- a dedicated portion of SIX x-clear's own resources</w:t>
      </w:r>
    </w:p>
    <w:p>
      <w:pPr>
        <w:pStyle w:val="ListBullet"/>
      </w:pPr>
      <w:r>
        <w:rPr>
          <w:rFonts w:ascii="Calibri" w:hAnsi="Calibri"/>
          <w:b/>
        </w:rPr>
        <w:t>Non-defaulting members' default fund contributions</w:t>
      </w:r>
      <w:r>
        <w:rPr>
          <w:rFonts w:ascii="Calibri" w:hAnsi="Calibri"/>
        </w:rPr>
        <w:t xml:space="preserve"> -- mutualized layer from surviving members</w:t>
      </w:r>
    </w:p>
    <w:p>
      <w:pPr>
        <w:pStyle w:val="ListBullet"/>
      </w:pPr>
      <w:r>
        <w:rPr>
          <w:rFonts w:ascii="Calibri" w:hAnsi="Calibri"/>
          <w:b/>
        </w:rPr>
        <w:t>Additional assessments</w:t>
      </w:r>
      <w:r>
        <w:rPr>
          <w:rFonts w:ascii="Calibri" w:hAnsi="Calibri"/>
        </w:rPr>
        <w:t xml:space="preserve"> -- further calls on surviving members if needed [unverified]</w:t>
      </w:r>
    </w:p>
    <w:p>
      <w:r>
        <w:rPr>
          <w:rFonts w:ascii="Calibri" w:hAnsi="Calibri"/>
        </w:rPr>
        <w:t>*Note: Specific monetary amounts for each layer of the waterfall were not identified in publicly available sources at the time of writing.*</w:t>
      </w:r>
    </w:p>
    <w:p>
      <w:pPr>
        <w:pStyle w:val="Heading3"/>
      </w:pPr>
      <w:r>
        <w:rPr>
          <w:rFonts w:ascii="Calibri" w:hAnsi="Calibri"/>
        </w:rPr>
        <w:t>3.6 Recovery &amp; Resolution</w:t>
      </w:r>
    </w:p>
    <w:p>
      <w:pPr>
        <w:pStyle w:val="ListBullet"/>
      </w:pPr>
      <w:r>
        <w:rPr>
          <w:rFonts w:ascii="Calibri" w:hAnsi="Calibri"/>
          <w:b/>
        </w:rPr>
        <w:t>Recovery Plan:</w:t>
      </w:r>
      <w:r>
        <w:rPr>
          <w:rFonts w:ascii="Calibri" w:hAnsi="Calibri"/>
        </w:rPr>
        <w:t xml:space="preserve"> First approved by FINMA in 2021 (subject to certain conditions)</w:t>
      </w:r>
    </w:p>
    <w:p>
      <w:pPr>
        <w:pStyle w:val="ListBullet"/>
      </w:pPr>
      <w:r>
        <w:rPr>
          <w:rFonts w:ascii="Calibri" w:hAnsi="Calibri"/>
          <w:b/>
        </w:rPr>
        <w:t>Resolution Strategy:</w:t>
      </w:r>
      <w:r>
        <w:rPr>
          <w:rFonts w:ascii="Calibri" w:hAnsi="Calibri"/>
        </w:rPr>
        <w:t xml:space="preserve"> FINMA's preferred resolution strategy for SIX x-clear aims to temporarily continue systemically critical functions for a maximum of six months to enable an orderly wind-down of operations</w:t>
      </w:r>
    </w:p>
    <w:p>
      <w:pPr>
        <w:pStyle w:val="ListBullet"/>
      </w:pPr>
      <w:r>
        <w:rPr>
          <w:rFonts w:ascii="Calibri" w:hAnsi="Calibri"/>
          <w:b/>
        </w:rPr>
        <w:t>Systemically Important FMI:</w:t>
      </w:r>
      <w:r>
        <w:rPr>
          <w:rFonts w:ascii="Calibri" w:hAnsi="Calibri"/>
        </w:rPr>
        <w:t xml:space="preserve"> SIX x-clear is designated as a systemically important financial market infrastructure by FINMA/SNB</w:t>
      </w:r>
    </w:p>
    <w:p>
      <w:pPr>
        <w:pStyle w:val="ListBullet"/>
      </w:pPr>
      <w:r>
        <w:rPr>
          <w:rFonts w:ascii="Calibri" w:hAnsi="Calibri"/>
          <w:b/>
        </w:rPr>
        <w:t>Legal Basis:</w:t>
      </w:r>
      <w:r>
        <w:rPr>
          <w:rFonts w:ascii="Calibri" w:hAnsi="Calibri"/>
        </w:rPr>
        <w:t xml:space="preserve"> Swiss Financial Market Infrastructure Act (FMIA) and Swiss Banking Act provide the framework for recovery and resolution</w:t>
      </w:r>
    </w:p>
    <w:p>
      <w:r>
        <w:rPr>
          <w:rFonts w:ascii="Calibri" w:hAnsi="Calibri"/>
        </w:rPr>
        <w:t>[Source: FINMA -- Focus on Financial Market Infrastructures, https://www.finma.ch/en/enforcement/recovery-und-resolution-n/publikationen/resolution-report/archive/resolution-report/focus-on-financial-market-infrastructures/]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Settlement</w:t>
      </w:r>
    </w:p>
    <w:p>
      <w:pPr>
        <w:pStyle w:val="Heading3"/>
      </w:pPr>
      <w:r>
        <w:rPr>
          <w:rFonts w:ascii="Calibri" w:hAnsi="Calibri"/>
        </w:rPr>
        <w:t>4.1 Settlement Cycle</w:t>
      </w:r>
    </w:p>
    <w:p>
      <w:pPr>
        <w:pStyle w:val="ListBullet"/>
      </w:pPr>
      <w:r>
        <w:rPr>
          <w:rFonts w:ascii="Calibri" w:hAnsi="Calibri"/>
          <w:b/>
        </w:rPr>
        <w:t>Swiss Market:</w:t>
      </w:r>
      <w:r>
        <w:rPr>
          <w:rFonts w:ascii="Calibri" w:hAnsi="Calibri"/>
        </w:rPr>
        <w:t xml:space="preserve"> T+2 standard settlement cycle for equities and bonds traded on SIX Swiss Exchange</w:t>
      </w:r>
    </w:p>
    <w:p>
      <w:pPr>
        <w:pStyle w:val="ListBullet"/>
      </w:pPr>
      <w:r>
        <w:rPr>
          <w:rFonts w:ascii="Calibri" w:hAnsi="Calibri"/>
          <w:b/>
        </w:rPr>
        <w:t>European Markets:</w:t>
      </w:r>
      <w:r>
        <w:rPr>
          <w:rFonts w:ascii="Calibri" w:hAnsi="Calibri"/>
        </w:rPr>
        <w:t xml:space="preserve"> T+2 in line with EU CSDR requirements for European venue trades</w:t>
      </w:r>
    </w:p>
    <w:p>
      <w:pPr>
        <w:pStyle w:val="ListBullet"/>
      </w:pPr>
      <w:r>
        <w:rPr>
          <w:rFonts w:ascii="Calibri" w:hAnsi="Calibri"/>
          <w:b/>
        </w:rPr>
        <w:t>T+1 Transition:</w:t>
      </w:r>
      <w:r>
        <w:rPr>
          <w:rFonts w:ascii="Calibri" w:hAnsi="Calibri"/>
        </w:rPr>
        <w:t xml:space="preserve"> The EU and UK are planning migration to T+1; Switzerland is expected to follow, though specific timelines remain under discussion [unverified]</w:t>
      </w:r>
    </w:p>
    <w:p>
      <w:pPr>
        <w:pStyle w:val="Heading3"/>
      </w:pPr>
      <w:r>
        <w:rPr>
          <w:rFonts w:ascii="Calibri" w:hAnsi="Calibri"/>
        </w:rPr>
        <w:t>4.2 DVP Model</w:t>
      </w:r>
    </w:p>
    <w:p>
      <w:pPr>
        <w:pStyle w:val="ListBullet"/>
      </w:pPr>
      <w:r>
        <w:rPr>
          <w:rFonts w:ascii="Calibri" w:hAnsi="Calibri"/>
        </w:rPr>
        <w:t>SIX x-clear does not itself operate a settlement system; settlement is performed through the relevant CSDs</w:t>
      </w:r>
    </w:p>
    <w:p>
      <w:pPr>
        <w:pStyle w:val="ListBullet"/>
      </w:pPr>
      <w:r>
        <w:rPr>
          <w:rFonts w:ascii="Calibri" w:hAnsi="Calibri"/>
          <w:b/>
        </w:rPr>
        <w:t>Swiss Market Settlement:</w:t>
      </w:r>
      <w:r>
        <w:rPr>
          <w:rFonts w:ascii="Calibri" w:hAnsi="Calibri"/>
        </w:rPr>
        <w:t xml:space="preserve"> Settled via SIX SIS (Swiss CSD) using DVP Model 1 (gross, simultaneous, and final transfer of securities and cash)</w:t>
      </w:r>
    </w:p>
    <w:p>
      <w:pPr>
        <w:pStyle w:val="ListBullet"/>
      </w:pPr>
      <w:r>
        <w:rPr>
          <w:rFonts w:ascii="Calibri" w:hAnsi="Calibri"/>
          <w:b/>
        </w:rPr>
        <w:t>European Markets:</w:t>
      </w:r>
      <w:r>
        <w:rPr>
          <w:rFonts w:ascii="Calibri" w:hAnsi="Calibri"/>
        </w:rPr>
        <w:t xml:space="preserve"> Settlement occurs through the relevant national CSDs or ICSDs depending on the trading venue (e.g., CREST for LSE, Euroclear for Euronext, etc.)</w:t>
      </w:r>
    </w:p>
    <w:p>
      <w:pPr>
        <w:pStyle w:val="ListBullet"/>
      </w:pPr>
      <w:r>
        <w:rPr>
          <w:rFonts w:ascii="Calibri" w:hAnsi="Calibri"/>
        </w:rPr>
        <w:t>Netted obligations from SIX x-clear are delivered to the relevant CSD for final settlement</w:t>
      </w:r>
    </w:p>
    <w:p>
      <w:r>
        <w:rPr>
          <w:rFonts w:ascii="Calibri" w:hAnsi="Calibri"/>
        </w:rPr>
        <w:t>[Source: SIX Group -- Clearing &amp; Settlement Provisions, https://www.six-group.com/en/products-services/the-swiss-stock-exchange/trading/trading-provisions/clearing-and-settlement.html]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Technology &amp; Infrastructure</w:t>
      </w:r>
    </w:p>
    <w:p>
      <w:pPr>
        <w:pStyle w:val="ListBullet"/>
      </w:pPr>
      <w:r>
        <w:rPr>
          <w:rFonts w:ascii="Calibri" w:hAnsi="Calibri"/>
          <w:b/>
        </w:rPr>
        <w:t>SECOM Platform:</w:t>
      </w:r>
      <w:r>
        <w:rPr>
          <w:rFonts w:ascii="Calibri" w:hAnsi="Calibri"/>
        </w:rPr>
        <w:t xml:space="preserve"> Core clearing and settlement application handling risk management, margin calculation, and trade clearing</w:t>
      </w:r>
    </w:p>
    <w:p>
      <w:pPr>
        <w:pStyle w:val="ListBullet"/>
      </w:pPr>
      <w:r>
        <w:rPr>
          <w:rFonts w:ascii="Calibri" w:hAnsi="Calibri"/>
          <w:b/>
        </w:rPr>
        <w:t>Connectivity:</w:t>
      </w:r>
      <w:r>
        <w:rPr>
          <w:rFonts w:ascii="Calibri" w:hAnsi="Calibri"/>
        </w:rPr>
        <w:t xml:space="preserve"> SIX x-clear connects to multiple European trading venues and CSDs through standardized interfaces</w:t>
      </w:r>
    </w:p>
    <w:p>
      <w:pPr>
        <w:pStyle w:val="ListBullet"/>
      </w:pPr>
      <w:r>
        <w:rPr>
          <w:rFonts w:ascii="Calibri" w:hAnsi="Calibri"/>
          <w:b/>
        </w:rPr>
        <w:t>SIX Digital Exchange (SDX):</w:t>
      </w:r>
      <w:r>
        <w:rPr>
          <w:rFonts w:ascii="Calibri" w:hAnsi="Calibri"/>
        </w:rPr>
        <w:t xml:space="preserve"> SIX Group operates a regulated digital asset exchange and CSD; potential future integration with x-clear clearing services [unverified]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Regulatory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Aspect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Legislation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Swiss Financial Market Infrastructure Act (FMIA, FinfraG)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Supervisor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FINMA (Swiss Financial Market Supervisory Authority)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Oversight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Swiss National Bank (SNB) -- for systemically important services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CCP License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Authorized as CCP under FMIA, 28 March 2018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Recognized Third Country CCP under EMIR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UK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Recognized Third Country CCP under UK EMIR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PFMI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Publishes CPMI-IOSCO self-assessments and PQD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Systemic Importance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Designated as systemically important FMI in Switzerland</w:t>
            </w:r>
          </w:p>
        </w:tc>
      </w:tr>
    </w:tbl>
    <w:p/>
    <w:p>
      <w:r>
        <w:rPr>
          <w:rFonts w:ascii="Calibri" w:hAnsi="Calibri"/>
          <w:b/>
        </w:rPr>
        <w:t>Swiss-EU Equivalence Context:</w:t>
      </w:r>
      <w:r>
        <w:rPr>
          <w:rFonts w:ascii="Calibri" w:hAnsi="Calibri"/>
        </w:rPr>
        <w:t xml:space="preserve"> Switzerland is not an EU/EEA member. SIX x-clear's EU recognition depends on the European Commission's equivalence decisions regarding Swiss regulation. This has been a politically sensitive topic given broader Swiss-EU relations. The planned integration with BME Clearing (which holds an EU CCP license) is partly motivated by securing direct EU market access.</w:t>
      </w:r>
    </w:p>
    <w:p>
      <w:r>
        <w:rPr>
          <w:rFonts w:ascii="Calibri" w:hAnsi="Calibri"/>
        </w:rPr>
        <w:t>[Source: SIX Group -- FINMA Recognition, https://www.six-group.com/en/newsroom/archive/2018/20180406-SIXxclear.html]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Interoperability</w:t>
      </w:r>
    </w:p>
    <w:p>
      <w:r>
        <w:rPr>
          <w:rFonts w:ascii="Calibri" w:hAnsi="Calibri"/>
        </w:rPr>
        <w:t>SIX x-clear is a pioneer and leader in CCP interoperability in Europe:</w:t>
      </w:r>
    </w:p>
    <w:p>
      <w:pPr>
        <w:pStyle w:val="Heading3"/>
      </w:pPr>
      <w:r>
        <w:rPr>
          <w:rFonts w:ascii="Calibri" w:hAnsi="Calibri"/>
        </w:rPr>
        <w:t>Active Interoperability 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Partner CCP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Markets Covered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Since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London Stock Exchange, others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2008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Cboe Clear Europe (formerly EuroCCP)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Cboe Europe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Various dates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Interoperability Model</w:t>
      </w:r>
    </w:p>
    <w:p>
      <w:pPr>
        <w:pStyle w:val="ListBullet"/>
      </w:pPr>
      <w:r>
        <w:rPr>
          <w:rFonts w:ascii="Calibri" w:hAnsi="Calibri"/>
          <w:b/>
        </w:rPr>
        <w:t>Clearing Choice:</w:t>
      </w:r>
      <w:r>
        <w:rPr>
          <w:rFonts w:ascii="Calibri" w:hAnsi="Calibri"/>
        </w:rPr>
        <w:t xml:space="preserve"> Trading participants on interoperable venues can choose which CCP clears their trades, enabling competition among CCPs</w:t>
      </w:r>
    </w:p>
    <w:p>
      <w:pPr>
        <w:pStyle w:val="ListBullet"/>
      </w:pPr>
      <w:r>
        <w:rPr>
          <w:rFonts w:ascii="Calibri" w:hAnsi="Calibri"/>
          <w:b/>
        </w:rPr>
        <w:t>Cross-CCP Risk Management:</w:t>
      </w:r>
      <w:r>
        <w:rPr>
          <w:rFonts w:ascii="Calibri" w:hAnsi="Calibri"/>
        </w:rPr>
        <w:t xml:space="preserve"> Interoperable CCPs maintain bilateral margin arrangements to cover inter-CCP exposures</w:t>
      </w:r>
    </w:p>
    <w:p>
      <w:pPr>
        <w:pStyle w:val="ListBullet"/>
      </w:pPr>
      <w:r>
        <w:rPr>
          <w:rFonts w:ascii="Calibri" w:hAnsi="Calibri"/>
          <w:b/>
        </w:rPr>
        <w:t>Coverage:</w:t>
      </w:r>
      <w:r>
        <w:rPr>
          <w:rFonts w:ascii="Calibri" w:hAnsi="Calibri"/>
        </w:rPr>
        <w:t xml:space="preserve"> By 2018, interoperability covered approximately 70% of European equity trades, with another 25% expected to gain clearing choice</w:t>
      </w:r>
    </w:p>
    <w:p>
      <w:pPr>
        <w:pStyle w:val="ListBullet"/>
      </w:pPr>
      <w:r>
        <w:rPr>
          <w:rFonts w:ascii="Calibri" w:hAnsi="Calibri"/>
          <w:b/>
        </w:rPr>
        <w:t>Proven Resilience:</w:t>
      </w:r>
      <w:r>
        <w:rPr>
          <w:rFonts w:ascii="Calibri" w:hAnsi="Calibri"/>
        </w:rPr>
        <w:t xml:space="preserve"> The LCH/x-clear interoperability link survived the Lehman Brothers collapse in 2008 without incident, serving as a template for subsequent interoperability arrangements</w:t>
      </w:r>
    </w:p>
    <w:p>
      <w:pPr>
        <w:pStyle w:val="Heading3"/>
      </w:pPr>
      <w:r>
        <w:rPr>
          <w:rFonts w:ascii="Calibri" w:hAnsi="Calibri"/>
        </w:rPr>
        <w:t>Planned Integration (2025-2026)</w:t>
      </w:r>
    </w:p>
    <w:p>
      <w:pPr>
        <w:pStyle w:val="ListBullet"/>
      </w:pPr>
      <w:r>
        <w:rPr>
          <w:rFonts w:ascii="Calibri" w:hAnsi="Calibri"/>
        </w:rPr>
        <w:t xml:space="preserve">SIX announced in December 2025 the integration of SIX x-clear (Switzerland) and BME Clearing (Spain) into a single entity: </w:t>
      </w:r>
      <w:r>
        <w:rPr>
          <w:rFonts w:ascii="Calibri" w:hAnsi="Calibri"/>
          <w:b/>
        </w:rPr>
        <w:t>SIX Clearing</w:t>
      </w:r>
    </w:p>
    <w:p>
      <w:pPr>
        <w:pStyle w:val="ListBullet"/>
      </w:pPr>
      <w:r>
        <w:rPr>
          <w:rFonts w:ascii="Calibri" w:hAnsi="Calibri"/>
        </w:rPr>
        <w:t>Headquartered in Madrid, with presences in Zurich and Oslo</w:t>
      </w:r>
    </w:p>
    <w:p>
      <w:pPr>
        <w:pStyle w:val="ListBullet"/>
      </w:pPr>
      <w:r>
        <w:rPr>
          <w:rFonts w:ascii="Calibri" w:hAnsi="Calibri"/>
        </w:rPr>
        <w:t>Will leverage BME Clearing's EU license for ECB EUR liquidity, T2, T2S access, and EU regulated market connectivity</w:t>
      </w:r>
    </w:p>
    <w:p>
      <w:pPr>
        <w:pStyle w:val="ListBullet"/>
      </w:pPr>
      <w:r>
        <w:rPr>
          <w:rFonts w:ascii="Calibri" w:hAnsi="Calibri"/>
        </w:rPr>
        <w:t>Combined entity will serve five asset classes across 28 trading venues and 18 markets</w:t>
      </w:r>
    </w:p>
    <w:p>
      <w:pPr>
        <w:pStyle w:val="ListBullet"/>
      </w:pPr>
      <w:r>
        <w:rPr>
          <w:rFonts w:ascii="Calibri" w:hAnsi="Calibri"/>
        </w:rPr>
        <w:t>Subject to regulatory approvals; 2026 focused on client readiness</w:t>
      </w:r>
    </w:p>
    <w:p>
      <w:r>
        <w:rPr>
          <w:rFonts w:ascii="Calibri" w:hAnsi="Calibri"/>
        </w:rPr>
        <w:t>[Source: SIX Group -- Integration Announcement, https://www.six-group.com/en/newsroom/media-releases/2025/20251204-six-clearing.html]</w:t>
      </w:r>
    </w:p>
    <w:p>
      <w:r>
        <w:rPr>
          <w:rFonts w:ascii="Calibri" w:hAnsi="Calibri"/>
        </w:rPr>
        <w:t>[Source: ESRB -- CCP Interoperability Arrangements, https://www.esrb.europa.eu/pub/pdf/reports/esrb.report190131_CCP_interoperability_arrangements~99908a78e7.en.pdf]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9. Recent Developments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Date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Development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Dec 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SIX announces integration of SIX x-clear and BME Clearing into "SIX Clearing" -- a single international, multi-asset CCP headquartered in Madrid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SIX x-clear continues to expand interoperable clearing across European cash equity venues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Post-trade results at SIX face headwinds from declining interest rates, motivating strategic consolidation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2026 (planned)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Client preparation and migration planning for SIX Clearing integration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TBD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approvals pending for the SIX x-clear / BME Clearing consolidation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Strategic Outlook</w:t>
      </w:r>
    </w:p>
    <w:p>
      <w:r>
        <w:rPr>
          <w:rFonts w:ascii="Calibri" w:hAnsi="Calibri"/>
        </w:rPr>
        <w:t>The formation of SIX Clearing represents a significant strategic move:</w:t>
      </w:r>
    </w:p>
    <w:p>
      <w:pPr>
        <w:pStyle w:val="ListBullet"/>
      </w:pPr>
      <w:r>
        <w:rPr>
          <w:rFonts w:ascii="Calibri" w:hAnsi="Calibri"/>
        </w:rPr>
        <w:t>Combines SIX x-clear's interoperable pan-European cash equity CCP model with BME Clearing's multi-asset capabilities (equities, fixed income, derivatives, energy, repos)</w:t>
      </w:r>
    </w:p>
    <w:p>
      <w:pPr>
        <w:pStyle w:val="ListBullet"/>
      </w:pPr>
      <w:r>
        <w:rPr>
          <w:rFonts w:ascii="Calibri" w:hAnsi="Calibri"/>
        </w:rPr>
        <w:t>Provides direct EU market access through BME Clearing's existing EU CCP license</w:t>
      </w:r>
    </w:p>
    <w:p>
      <w:pPr>
        <w:pStyle w:val="ListBullet"/>
      </w:pPr>
      <w:r>
        <w:rPr>
          <w:rFonts w:ascii="Calibri" w:hAnsi="Calibri"/>
        </w:rPr>
        <w:t>Positions the combined entity as an alternative to incumbent European CCPs (Eurex Clearing, LCH)</w:t>
      </w:r>
    </w:p>
    <w:p>
      <w:pPr>
        <w:pStyle w:val="ListBullet"/>
      </w:pPr>
      <w:r>
        <w:rPr>
          <w:rFonts w:ascii="Calibri" w:hAnsi="Calibri"/>
        </w:rPr>
        <w:t>Addresses the regulatory uncertainty around Swiss-EU equivalence</w:t>
      </w:r>
    </w:p>
    <w:p>
      <w:r>
        <w:rPr>
          <w:rFonts w:ascii="Calibri" w:hAnsi="Calibri"/>
        </w:rPr>
        <w:t>[Source: Finance Magnates -- SIX Pan-European Clearing, https://www.financemagnates.com/institutional-forex/exchanges/six-pushes-for-pan-european-clearing-crown-as-post-trade-results-face-rate-headwinds/]</w:t>
      </w:r>
    </w:p>
    <w:p>
      <w:r>
        <w:rPr>
          <w:rFonts w:ascii="Calibri" w:hAnsi="Calibri"/>
        </w:rPr>
        <w:t>[Source: Markets Media -- SIX Integrates CCPs, https://www.marketsmedia.com/six-integrates-ccps-to-position-for-growth/]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SIX Group -- Clearing Services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SIX Group -- 20 Years of Clearing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SIX Group -- Interoperability History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SIX Group -- SIX x-clear/BME Clearing Integration (Dec 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SIX Group -- FINMA CCP Recognition (2018)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SIX x-clear -- CPMI-IOSCO Disclosure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SIX Group -- Clearing &amp; Settlement Provisions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FINMA -- Focus on Financial Market Infrastructures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ESRB -- CCP Interoperability Arrangements (2019)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Finance Magnates -- SIX Pan-European Clearing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IMF -- Switzerland FSAP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