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LCH Clearing Platforms &amp; Margin Engines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**System Category:** Clearing System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System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Clearing Platforms (multiple)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Operated By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Ltd (London) / LCH SA (Paris), subsidiaries of LSEG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Purpose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CCP clearing, margin calculation, risk management, and settlement across multiple asset classes (OTC IRS, FX, repos, equities, CDS, energy, digital assets)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Launch Year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SwapClear: 1999; EquityClear MCCP: 2020; Collateral Management on AWS: 2025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Current Version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Millennium Clearing &amp; Risk (MCCP) for EquityClear; Murex MX.3 for SwapClear/SwapAgent; bespoke platforms for CDSClear, RepoClear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Vendor / In-house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Hybrid -- LSEG Technology (Millennium platform, in-house), Murex (MX.3 for OTC derivatives processing), proprietary risk engines (PAIRS), AWS/Azure cloud infrastructure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System Evolution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Period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System / Milestone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Key Changes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1999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SwapClear launch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First CCP for OTC interest rate swaps; bespoke clearing platform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2003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LCH.Clearnet merger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Integration of London Clearing House and Paris-based Clearnet SA systems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2009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CDSClear launch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Dedicated CDS clearing platform built for LCH SA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~2012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ForexClear launch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NDF clearing platform with proprietary API connectivity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2016-2020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LSEG Technology MCCP rollout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Millennium Clearing &amp; Risk platform developed; EquityClear went live March 2020 [Source: FinTech Futures, Finance Magnates]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~2017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SwapClear platform upgrade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Trade registration and margining platform upgraded; Murex MX.3 integration for SwapAgent [Source: Murex]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LSEG-Microsoft 10-year partnership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Strategic partnership for cloud migration to Azure; Microsoft equity investment in LSEG [Source: Microsoft News]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DigitalAssetClear launch (LCH SA)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New clearing service for digital asset derivatives (GFO-X partnership)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2025 (Q2)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Collateral Management System migrated to AWS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First core LCH clearing service to run on public cloud; multi-region architecture with 2-hour RTO and zero RPO [Source: AWS re:Invent 2025, AWS Industries Blog]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LSEG-AWS collaboration extended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AWS named preferred cloud provider for Markets, Risk Intelligence, and FTSE Russell divisions; multicloud strategy with 1,300+ AWS accounts [Source: LSEG Press Release]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Architecture</w:t>
      </w:r>
    </w:p>
    <w:p>
      <w:pPr>
        <w:pStyle w:val="Heading3"/>
      </w:pPr>
      <w:r>
        <w:rPr>
          <w:rFonts w:ascii="Calibri" w:hAnsi="Calibri"/>
        </w:rPr>
        <w:t>2.1 High-Level Design</w:t>
      </w:r>
    </w:p>
    <w:p>
      <w:r>
        <w:rPr>
          <w:rFonts w:ascii="Calibri" w:hAnsi="Calibri"/>
        </w:rPr>
        <w:t xml:space="preserve">LCH operates a </w:t>
      </w:r>
      <w:r>
        <w:rPr>
          <w:rFonts w:ascii="Calibri" w:hAnsi="Calibri"/>
          <w:b/>
        </w:rPr>
        <w:t>heterogeneous, service-oriented architecture</w:t>
      </w:r>
      <w:r>
        <w:rPr>
          <w:rFonts w:ascii="Calibri" w:hAnsi="Calibri"/>
        </w:rPr>
        <w:t xml:space="preserve"> in which each clearing service runs on a platform best suited to its asset class. The overall design is:</w:t>
      </w:r>
    </w:p>
    <w:p>
      <w:pPr>
        <w:pStyle w:val="ListBullet"/>
      </w:pPr>
      <w:r>
        <w:rPr>
          <w:rFonts w:ascii="Calibri" w:hAnsi="Calibri"/>
          <w:b/>
        </w:rPr>
        <w:t>Hybrid cloud / on-premise:</w:t>
      </w:r>
      <w:r>
        <w:rPr>
          <w:rFonts w:ascii="Calibri" w:hAnsi="Calibri"/>
        </w:rPr>
        <w:t xml:space="preserve"> Core clearing and risk engines remain on-premise in LCH data centers, with progressive migration of supporting services (collateral management, reporting, analytics) to public cloud (AWS primary, Azure for data/analytics).</w:t>
      </w:r>
    </w:p>
    <w:p>
      <w:pPr>
        <w:pStyle w:val="ListBullet"/>
      </w:pPr>
      <w:r>
        <w:rPr>
          <w:rFonts w:ascii="Calibri" w:hAnsi="Calibri"/>
          <w:b/>
        </w:rPr>
        <w:t>Service-per-asset-class model:</w:t>
      </w:r>
      <w:r>
        <w:rPr>
          <w:rFonts w:ascii="Calibri" w:hAnsi="Calibri"/>
        </w:rPr>
        <w:t xml:space="preserve"> Each clearing service (SwapClear, ForexClear, RepoClear, CDSClear, EquityClear, etc.) operates as a logically independent clearing unit with its own margin model, default fund, and technology stack, though sharing common infrastructure for connectivity, collateral management, and member portals.</w:t>
      </w:r>
    </w:p>
    <w:p>
      <w:pPr>
        <w:pStyle w:val="ListBullet"/>
      </w:pPr>
      <w:r>
        <w:rPr>
          <w:rFonts w:ascii="Calibri" w:hAnsi="Calibri"/>
          <w:b/>
        </w:rPr>
        <w:t>Event-driven + batch hybrid:</w:t>
      </w:r>
      <w:r>
        <w:rPr>
          <w:rFonts w:ascii="Calibri" w:hAnsi="Calibri"/>
        </w:rPr>
        <w:t xml:space="preserve"> Real-time trade registration, intraday margin monitoring, and position updates are event-driven; end-of-day margin recalculation, default fund resizing, and reporting use batch processing.</w:t>
      </w:r>
    </w:p>
    <w:p>
      <w:pPr>
        <w:pStyle w:val="ListBullet"/>
      </w:pPr>
      <w:r>
        <w:rPr>
          <w:rFonts w:ascii="Calibri" w:hAnsi="Calibri"/>
          <w:b/>
        </w:rPr>
        <w:t>Straight-through processing (STP):</w:t>
      </w:r>
      <w:r>
        <w:rPr>
          <w:rFonts w:ascii="Calibri" w:hAnsi="Calibri"/>
        </w:rPr>
        <w:t xml:space="preserve"> Near-100% STP for standard products with zero-touch automated workflows from trade submission through novation, margining, and settlement. [Source: LSEG Technology]</w:t>
      </w:r>
    </w:p>
    <w:p>
      <w:pPr>
        <w:pStyle w:val="Heading3"/>
      </w:pPr>
      <w:r>
        <w:rPr>
          <w:rFonts w:ascii="Calibri" w:hAnsi="Calibri"/>
        </w:rPr>
        <w:t>2.2 Core Components</w:t>
      </w:r>
    </w:p>
    <w:p>
      <w:pPr>
        <w:pStyle w:val="Heading3"/>
      </w:pPr>
      <w:r>
        <w:rPr>
          <w:rFonts w:ascii="Calibri" w:hAnsi="Calibri"/>
        </w:rPr>
        <w:t>SwapClear -- World's Largest OTC IRS Clearing 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Asset Class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OTC interest rate derivatives (IRS, OIS, FRAs, basis swaps, zero-coupon swaps, inflation swaps)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Scope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28 currencies; tenors up to 51 years in USD/GBP/EUR; dozens of benchmark rates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Market Share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~95% of vanilla OTC IRS globally; 99.4% in EMEA [Source: Clarus FT]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Volume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$779 trillion notional cleared in H1 2024 (up 15% YoY); cumulative cleared &gt; 65 million trades [Source: LSEG, Clarus FT]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Initial Margin Held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~$240 billion (GBP 192 billion) as of Q4 2024 [Source: Clarus FT Q4 2024 PQD]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Technology Platform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Murex MX.3 for trade processing and valuation; manages peak volumes exceeding 30,000 trades/day [Source: Murex]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 Engine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PAIRS</w:t>
            </w:r>
            <w:r>
              <w:rPr>
                <w:rFonts w:ascii="Calibri" w:hAnsi="Calibri"/>
              </w:rPr>
              <w:t xml:space="preserve"> (Portfolio Approach to Interest Rate Scenarios) -- see Section 6 for deep-dive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Registration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Real-time (~10 seconds from submission to novation); supported by dedicated GBP 600 million RTTR default fund component [Source: RBA Assessment 2020]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Operating Hours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06:00 UK time to 19:00 New York time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Connectivity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ClearLink API (FpML-based) over MQ messaging; middleware integration via MarkitWire/OSTTRA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Compression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Proprietary compression + OSTTRA triReduce multilateral compression; cumulative compressed notional exceeds $7,000 trillion (&gt;$1 quadrillion) [Source: LeapRate, Finance Magnates]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ForexClear -- FX Derivatives Clearing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Asset Class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OTC FX derivatives: NDFs (25 currency pairs), NDOs (9 pairs), deliverable FX (spot, forwards, options -- 8 pairs)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Launch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2012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Initial Margin Held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$10.7 billion (Q2 2024 record, up 32% YoY) [Source: LCH ForexClear Factsheet]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Members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~30 direct clearing members; 92 clients [Source: LCH ForexClear Factsheet]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 Engine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PAIRS (shared methodology with SwapClear, calibrated for FX risk factors)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Operating Hours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registration 24 hours/day, 5.5 days/week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Connectivity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ForexClear API (proprietary); direct venue connectivity; trade submission via approved trade sources including 24 Exchange [Source: Securities Finance Times]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Physical settlement via CLS for deliverable FX; cash variation margin via Protected Payments System (PPS)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Notable Feature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"FX Smart Clearing" in partnership with Quantile -- optimizes which trades to clear for maximum margin efficiency [Source: LSEG Press Release 2023]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RepoClear -- Fixed Income Repo Clearing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Entities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RepoClear Ltd (London) -- UK gilts and other markets; RepoClear SA (Paris) -- 13 eurozone government bond markets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Asset Class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Repos, reverse repos, cash government bond trades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RepoClear SA IM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1.9 billion gross notional unsettled cash bonds (Q4 2024) [Source: Clarus FT]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 Engine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RepoClear SA uses a historical simulation-based margin model with volatility scaling (similar principles to PAIRS but calibrated for fixed income/repo risk) [Source: LCH SA Margin Model Overview, May 2024]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T+0 to T+2 depending on instrument; DVP via CREST (UK), Euroclear, Clearstream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Connectivity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LCAP gateway (LCH SA); FIX protocol and proprietary messaging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EquityClear -- Cash Equities &amp; Equity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Entity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EquityClear Ltd (London)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Asset Class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Cash equities for LSE, SIX Swiss Exchange, Cboe Europe, Aquis, and other European venues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Platform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Millennium Clearing &amp; Risk (MCCP)</w:t>
            </w:r>
            <w:r>
              <w:rPr>
                <w:rFonts w:ascii="Calibri" w:hAnsi="Calibri"/>
              </w:rPr>
              <w:t xml:space="preserve"> -- LSEG Technology's flagship post-trade platform, live since March 2020 [Source: FinTech Futures]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Capacity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 million trades (40 million trade sides) per day; throughput of 1,600 trades/second [Source: LSEG Technology]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Peak Volume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Nearly 80 million trade sides cleared in first 5 days of operation (March 2020, COVID market volatility) [Source: FinanceFeeds]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Venues Connected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16 trading venues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CSD Connections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 depositories across Europe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Participants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~250 global participants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Operating Hours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24x6.5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Interoperability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Interoperable with SIX x-clear and Cboe Clear Europe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Key Technology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GPU-accelerated parallel real-time risk processing; zero-touch STP; trade-by-trade exposure and margin recalculation [Source: LSEG Technology, WatersTechnology AFTAs 2020]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Impact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Significantly reduced end-of-day processing time compared to predecessor platform [Source: Securities Finance Times]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CDSClear -- Credit Default Swaps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Entity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SA (Paris)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Asset Class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 indices (iTraxx, CDX) and single-name CDS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Members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28 members (20 GCMs) as of 2024 [Source: Risk.net]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Volume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5,437 billion total notional cleared in 2024 (up 9% YoY); client notional EUR 426 billion in H1 2024 (up 88%) [Source: Risk.net]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Initial Margin Held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~$10.2 billion (EUR 9.8 billion) Q4 2024 [Source: Clarus FT Q4 2024]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 Engine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Historical simulation with scaled returns; Expected Shortfall at 99.7% confidence; 5-day holding period; lookback from April 2007 (includes GFC) [Source: LCH SA CDSClear Risk Management]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Connectivity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ClearLink API; CDSClear PMC and Reporting API; LCAP access gateway supporting MMTP (real-time) and SFTP (file) protocols [Source: LCH SA Connectivity Guide]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Cash-settled variation margin daily; credit event settlement per ISDA protocols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EnClear -- Energy &amp; Commodities (Historical / Limited)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Divisions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Energy Division, Freight Division, Precious Metals Division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Energy Products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OTC emissions spot/forward/options (EUA, CER contracts); OTC power transactions (Dutch electricity via Endex) [Source: Global Custodian]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Freight Products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Forward Freight Agreements (FFAs), Container Freight Swaps, iron ore swaps, steel swaps, fertilizer swaps, coal swaps/options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Largely wound down or transferred following Euronext migration; LCH SA closed CommodityClear in 2024; remaining energy/commodity clearing minimal [Source: Euronext Press Release 2024]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DigitalAssetClear (LCH SA) -- New 2024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Asset Class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Bitcoin index futures and options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Partner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GFO-X (regulated digital asset derivatives exchange)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Launch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2024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Early stage; replaces former EquityClear SA/CommodityClear SA capacity at LCH 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Connectivity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LCAP gateway [Source: LCH SA Connectivity Guide]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PAIRS Margin Engine</w:t>
      </w:r>
    </w:p>
    <w:p>
      <w:r>
        <w:rPr>
          <w:rFonts w:ascii="Calibri" w:hAnsi="Calibri"/>
        </w:rPr>
        <w:t>See Section 6 for full technical deep-dive. Summary: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Full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Portfolio Approach to Interest Rate Scenarios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Applied To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SwapClear, ForexClear, Listed Rates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Model Type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Expected Shortfall (ES) based on filtered historical simulation with EWMA volatility scaling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Confidence Level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99.7%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Holding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5 days (members); 7 days (clients)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Lookback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10 years of daily market data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Anti-procyclicality Floor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Unscaled 10-year lookback + 2.5-year GFC window (2007-2009)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SPAN-like Models for Listed Derivatives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Applied To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Listed Rates (FMX SOFR futures and options cleared by LCH Ltd)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Approach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PAIRS methodology extended to listed interest rate derivatives; portfolio margining between listed futures and OTC IRS positions [Source: Coalition Greenwich]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Portfolio Margining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LCH's Portfolio Margining Service allows cross-margining between FMX Futures Exchange listed positions and SwapClear IRS portfolios; first client enabled September 2025 via Marex [Source: Marex Press Release]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2.3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Technology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Programming Languages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Java (primary), C++ (performance-critical components)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Java Spring Boot for services; C++ for matching and risk engines [Source: AWS re:Invent 2025; unverified for specific LCH components]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Clearing Platform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Millennium Clearing &amp; Risk (MCCP)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LSEG Technology in-house platform; GPU-accelerated risk computations [Source: LSEG Technology]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OTC Derivatives Processing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Murex MX.3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Trade processing, valuation, and margining for SwapClear and SwapAgent [Source: Murex]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Risk Engine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PAIRS (proprietary)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In-house developed Expected Shortfall engine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Cloud Infrastructure (Primary)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AWS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Amazon EKS (containers), Oracle RDS (database), S3 (storage), FSx for NetApp ONTAP (file systems); multi-region deployment [Source: AWS re:Invent 2025]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Cloud Infrastructure (Analytics)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Microsoft Azure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Synapse, Fabric, Purview for data analytics; Copilot integration; part of 10-year LSEG-Microsoft partnership [Source: Microsoft News]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Private Cloud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Dell Technologies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Private cloud platform build-out for on-premise workloads [Source: The TRADE]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Infrastructure as Code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Terraform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Standardized IaC with verified modules for security/policy compliance [Source: AWS re:Invent 2025]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Containerization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Amazon EKS (Kubernetes)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Containerized microservices for cloud-migrated components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Database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Oracle (RDS and EC2)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Primary database for clearing and collateral systems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Messaging / Middleware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IBM MQ, FpML (ClearLink)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MQ for ClearLink API connectivity; FpML messaging standard for OTC trade submission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Network Connectivity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CMC (Customer Managed Connectivity)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Secure IP network between CMC City PoPs and LCH Data Centres; members connect via dedicated "Last Mile" connections [Source: LCH SA Connectivity Guide]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Member Portal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Web-based (SSO)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Single sign-on portal with parameterized applications per user permissions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Performance Specifications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Value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Conditions / Service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EquityClear Daily Capacity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 million trades (40 million trade sides)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MCCP platform [Source: LSEG Technology]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EquityClear Throughput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1,600 trades/second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Sustained throughput [Source: LSEG Technology]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EquityClear Peak (Actual)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~16 million trade sides/day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First week of operation (March 2020, COVID volatility)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SwapClear Trade Registration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~10 seconds (submission to novation)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Real-time trade registration [Source: RBA Assessment 2020]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SwapClear Daily Volume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30,000+ trades/day peak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Via Murex MX.3 platform [Source: Murex]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SwapClear H1 2024 Volume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$779 trillion notional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Record half-year volume [Source: Clarus FT]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Margin Calculation Frequency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Real-time (intraday) + full EOD recalculation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All services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Collateral Management RTO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 hours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AWS multi-region architecture [Source: AWS re:Invent 2025]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Collateral Management RPO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Zero data loss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Multi-AZ replication [Source: AWS re:Invent 2025]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Uptime SLA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99.9%+ [unverified]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PFMI-compliant; systemically important infrastructure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Operating Hours (EquityClear)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24x6.5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Covering global equity markets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Operating Hours (SwapClear)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06:00 UK to 19:00 NY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~13 hours daily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Operating Hours (ForexClear)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24x5.5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Trade registration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Performance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Impact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2008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Lehman Brothers default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$9 trillion IRS portfolio (66,390 trades) managed using only 35% of initial margin; no default fund losses [Source: LSEG SwapClear Risk Management]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2020 (Mar)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COVID-19 market volatility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EquityClear MCCP processed ~80 million trade sides in first 5 days of live operation; system performed without incident [Source: FinanceFeeds]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2024 (H1)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Record SwapClear volumes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$779 trillion notional cleared, up 15% YoY [Source: Clarus FT]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Interfaces &amp; Protocols</w:t>
      </w:r>
    </w:p>
    <w:p>
      <w:pPr>
        <w:pStyle w:val="Heading3"/>
      </w:pPr>
      <w:r>
        <w:rPr>
          <w:rFonts w:ascii="Calibri" w:hAnsi="Calibri"/>
        </w:rPr>
        <w:t>4.1 Clearing Connectivity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Interface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Protocol / Technology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Services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ClearLink API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FpML over IBM MQ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SwapClear, ForexClear, CDSClear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Primary interface for OTC trade submission, clearing acceptance, and real-time status updates; based on Financial products Markup Language (FpML) industry standard [Source: LCH ClearLink Overview]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ForexClear API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Proprietary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ForexClear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Direct connectivity for FX trade submission and clearing notifications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CDSClear PMC API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Proprietary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CDSClear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Portfolio Management and Certification; reporting API with LCH Portal security model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LCAP Gateway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MMTP (real-time) / SFTP (file)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LCH SA services (CDSClear, RepoClear SA, DigitalAssetClear)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Access server supporting real-time messaging and file-based data exchange; compresses and stores data in transit [Source: LCH SA Connectivity Guide]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FIX Protocol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FIX 4.x / 5.0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Exchange-traded products (EquityClear, Listed Rates)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Standard protocol for trade submission from trading venues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CMC Network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Secure IP (dedicated)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All services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Customer Managed Connectivity -- secure network between CMC City PoPs and LCH Data Centres with dedicated "Last Mile" member connections [Source: LCH SA Connectivity Guide]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MarkitWire / OSTTRA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Middleware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SwapClear, ForexClear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Trade affirmation, matching, and routing for OTC derivatives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Tradeweb STP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Direct venue connection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SwapClear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Straight-through processing from Tradeweb execution to LCH clearing [Source: LSEG]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4.2 Market Data Feeds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Feed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End-of-Day Prices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publishes EOD settlement prices, yield curves, and zero-coupon curves used for margin and valuation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Intraday Risk Data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Real-time risk analytics available to members via portal and API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Curve Data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Yield curves, discount curves, and FX rates used in PAIRS model published to members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4.3 Member Portal / Reporting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Feature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LCH Member Portal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Web-based single sign-on (SSO) platform; parameterized access per user role/permissions [Source: LCH SA Connectivity Guide]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Position Reports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Real-time and EOD position, trade, and margin reports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Margin Calculators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LCH Rates Online Margin Calculator (SwapClear pre-trade IM estimation); CDSClear Margin Simulator [Source: LCH Margin Calculator PDF]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File Delivery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SFTP-based report delivery for batch/EOD files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Risk Analytics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Member-level risk dashboards, stress test results, what-if analysis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4.4 SWIFT / FIX / Proprietary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Protocol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Use Case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SWIFT FIN / ISO 15022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Collateral management instructions, settlement messages, payment messaging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ISO 20022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Collateral management -- LCH was an early adopter of ISO 20022 for collateral workflows [Source: SWIFT]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FIX Protocol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Trade submission for exchange-traded products; venue connectivity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FpML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OTC derivative trade messaging via ClearLink API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MMTP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Real-time messaging protocol for LCH SA services (via LCAP)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SFTP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Batch file delivery (reports, positions, margin data)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Resilience &amp; Business Continuity</w:t>
      </w:r>
    </w:p>
    <w:p>
      <w:pPr>
        <w:pStyle w:val="Heading3"/>
      </w:pPr>
      <w:r>
        <w:rPr>
          <w:rFonts w:ascii="Calibri" w:hAnsi="Calibri"/>
        </w:rPr>
        <w:t>5.1 Redundancy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On-premise Architecture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Active data centers with geographically separated disaster recovery sites for both LCH Ltd and LCH SA [Source: standard for PFMI-compliant systemically important CCPs]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Cloud Architecture (Collateral Mgmt)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Multi-region AWS deployment: primary region with 3 availability zones; secondary region for data replication (DR); tertiary environment on AWS Outposts capable of independent operation for up to 5 days [Source: AWS re:Invent 2025]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Network Redundancy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CMC network with multiple City PoPs providing redundant connectivity paths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EquityClear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Connects to 16 trading venues and 19 depositories; designed for continuous operation 24x6.5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5.2 Disaster Recovery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RTO (Recovery Time Objective)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2 hours</w:t>
            </w:r>
            <w:r>
              <w:rPr>
                <w:rFonts w:ascii="Calibri" w:hAnsi="Calibri"/>
              </w:rPr>
              <w:t xml:space="preserve"> for critical clearing and collateral systems (confirmed for Collateral Management System on AWS) [Source: AWS re:Invent 2025]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RPO (Recovery Point Objective)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Zero data loss</w:t>
            </w:r>
            <w:r>
              <w:rPr>
                <w:rFonts w:ascii="Calibri" w:hAnsi="Calibri"/>
              </w:rPr>
              <w:t xml:space="preserve"> -- multi-AZ and multi-region replication ensures no transaction data is lost [Source: AWS re:Invent 2025]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DR 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Geographically separate from primary; for cloud-migrated services, secondary AWS region + AWS Outposts tertiary site [Source: AWS re:Invent 2025]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Independent Operation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Tertiary AWS Outposts environment can operate independently for up to 5 days in case of full cloud region failure [Source: AWS re:Invent 2025]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Testing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Regular DR testing with clearing members; BCP exercises covering pandemic, cyber-incident, and physical disruption scenarios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Framework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Subject to Bank of England CBEST (UK cyber resilience testing) and ECB/Eurosystem cyber resilience frameworks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5.3 Capacity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EquityClear Capacity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 million trades/day baseline; demonstrated ability to handle ~16 million trade sides/day under stress (March 2020) [Source: LSEG Technology, FinanceFeeds]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SwapClear Scalability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Murex MX.3 platform manages peak volumes exceeding 30,000 trades/day and has supported SwapClear's growth as volumes scaled globally [Source: Murex]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Cloud Scalability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Containerized cluster pods on Amazon EKS for elastic scaling; multi-AZ RDS for database resilience [Source: AWS re:Invent 2025]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Stress Capacity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LSEG's Autex Trade Route (trading network) successfully absorbed a 400% volume surge with zero incidents after Azure migration [Source: Microsoft; applies to LSEG broadly, not LCH-specific]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Load Testing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Regular capacity and performance testing as part of PFMI compliance; member connectivity testing</w:t>
            </w:r>
          </w:p>
        </w:tc>
      </w:tr>
    </w:tbl>
    <w:p/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Notable Technical Features</w:t>
      </w:r>
    </w:p>
    <w:p>
      <w:pPr>
        <w:pStyle w:val="Heading3"/>
      </w:pPr>
      <w:r>
        <w:rPr>
          <w:rFonts w:ascii="Calibri" w:hAnsi="Calibri"/>
        </w:rPr>
        <w:t>6.1 PAIRS Margin Methodology -- Technical Deep-Dive</w:t>
      </w:r>
    </w:p>
    <w:p>
      <w:r>
        <w:rPr>
          <w:rFonts w:ascii="Calibri" w:hAnsi="Calibri"/>
          <w:b/>
        </w:rPr>
        <w:t>PAIRS (Portfolio Approach to Interest Rate Scenarios)</w:t>
      </w:r>
      <w:r>
        <w:rPr>
          <w:rFonts w:ascii="Calibri" w:hAnsi="Calibri"/>
        </w:rPr>
        <w:t xml:space="preserve"> is LCH's proprietary margin model, used for SwapClear, ForexClear, and Listed Rates. It is one of the most sophisticated CCP margin models in the world, managing over $240 billion in initial margin.</w:t>
      </w:r>
    </w:p>
    <w:p>
      <w:pPr>
        <w:pStyle w:val="Heading3"/>
      </w:pPr>
      <w:r>
        <w:rPr>
          <w:rFonts w:ascii="Calibri" w:hAnsi="Calibri"/>
        </w:rPr>
        <w:t>Model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Model Type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Expected Shortfall (ES) based on filtered historical simulation with volatility scaling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Confidence Level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99.7% (equivalent to ~2.75 standard deviations under normal distribution)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Holding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5 days for clearing members; 7 days for clients (5 + 2 days for portfolio transfer)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Lookback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10 years of daily historical market data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Risk Factors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Yield curves (by currency and tenor), FX rates, credit spreads (depending on service), inflation rates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Volatility Model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EWMA (Exponentially Weighted Moving Average) for volatility scaling of historical returns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Calculation Process (Step-by-Step)</w:t>
      </w:r>
    </w:p>
    <w:p>
      <w:pPr>
        <w:pStyle w:val="ListBullet"/>
      </w:pPr>
      <w:r>
        <w:rPr>
          <w:rFonts w:ascii="Calibri" w:hAnsi="Calibri"/>
          <w:b/>
        </w:rPr>
        <w:t>Data Collection:</w:t>
      </w:r>
      <w:r>
        <w:rPr>
          <w:rFonts w:ascii="Calibri" w:hAnsi="Calibri"/>
        </w:rPr>
        <w:t xml:space="preserve"> Collects 10 years of daily market data including yield curve movements, FX rate changes, and other relevant risk factors.</w:t>
      </w:r>
    </w:p>
    <w:p>
      <w:pPr>
        <w:pStyle w:val="ListBullet"/>
      </w:pPr>
      <w:r>
        <w:rPr>
          <w:rFonts w:ascii="Calibri" w:hAnsi="Calibri"/>
          <w:b/>
        </w:rPr>
        <w:t>Volatility Scaling:</w:t>
      </w:r>
      <w:r>
        <w:rPr>
          <w:rFonts w:ascii="Calibri" w:hAnsi="Calibri"/>
        </w:rPr>
        <w:t xml:space="preserve"> Applies EWMA-based volatility scaling to historical returns. This is the "filtered" component -- historical scenarios are scaled to reflect current market volatility conditions. When current volatility is high, historical returns are amplified; when low, they are dampened. This makes the model responsive to changing market conditions.</w:t>
      </w:r>
    </w:p>
    <w:p>
      <w:pPr>
        <w:pStyle w:val="ListBullet"/>
      </w:pPr>
      <w:r>
        <w:rPr>
          <w:rFonts w:ascii="Calibri" w:hAnsi="Calibri"/>
          <w:b/>
        </w:rPr>
        <w:t>Scenario Generation:</w:t>
      </w:r>
      <w:r>
        <w:rPr>
          <w:rFonts w:ascii="Calibri" w:hAnsi="Calibri"/>
        </w:rPr>
        <w:t xml:space="preserve"> Generates a distribution of simulated portfolio P&amp;L changes by revaluing the portfolio under each volatility-scaled historical scenario over the holding period (5 or 7 days).</w:t>
      </w:r>
    </w:p>
    <w:p>
      <w:pPr>
        <w:pStyle w:val="ListBullet"/>
      </w:pPr>
      <w:r>
        <w:rPr>
          <w:rFonts w:ascii="Calibri" w:hAnsi="Calibri"/>
          <w:b/>
        </w:rPr>
        <w:t>Expected Shortfall Calculation:</w:t>
      </w:r>
      <w:r>
        <w:rPr>
          <w:rFonts w:ascii="Calibri" w:hAnsi="Calibri"/>
        </w:rPr>
        <w:t xml:space="preserve"> Calculates ES at the 99.7% confidence level -- this is the expected loss conditional on losses exceeding the 99.7% VaR threshold. ES (unlike VaR) accounts for "fat tail" risk by averaging all losses beyond the threshold, making it more conservative.</w:t>
      </w:r>
    </w:p>
    <w:p>
      <w:pPr>
        <w:pStyle w:val="ListBullet"/>
      </w:pPr>
      <w:r>
        <w:rPr>
          <w:rFonts w:ascii="Calibri" w:hAnsi="Calibri"/>
          <w:b/>
        </w:rPr>
        <w:t>Initial Margin Determination:</w:t>
      </w:r>
      <w:r>
        <w:rPr>
          <w:rFonts w:ascii="Calibri" w:hAnsi="Calibri"/>
        </w:rPr>
        <w:t xml:space="preserve"> The initial margin is set as the ES figure, subject to a floor.</w:t>
      </w:r>
    </w:p>
    <w:p>
      <w:r>
        <w:rPr>
          <w:rFonts w:ascii="Calibri" w:hAnsi="Calibri"/>
        </w:rPr>
        <w:t>[Source: RBA Assessment 2020 Appendix B; LCH Ltd Margin Methodology page; Clarus FT]</w:t>
      </w:r>
    </w:p>
    <w:p>
      <w:pPr>
        <w:pStyle w:val="Heading3"/>
      </w:pPr>
      <w:r>
        <w:rPr>
          <w:rFonts w:ascii="Calibri" w:hAnsi="Calibri"/>
        </w:rPr>
        <w:t>Anti-Procyclicality Floor</w:t>
      </w:r>
    </w:p>
    <w:p>
      <w:r>
        <w:rPr>
          <w:rFonts w:ascii="Calibri" w:hAnsi="Calibri"/>
        </w:rPr>
        <w:t>To prevent margin requirements from falling too low during periods of calm markets (and then spiking during stress, creating procyclical liquidity demands):</w:t>
      </w:r>
    </w:p>
    <w:p>
      <w:pPr>
        <w:pStyle w:val="ListBullet"/>
      </w:pPr>
      <w:r>
        <w:rPr>
          <w:rFonts w:ascii="Calibri" w:hAnsi="Calibri"/>
        </w:rPr>
        <w:t xml:space="preserve">LCH imposes a </w:t>
      </w:r>
      <w:r>
        <w:rPr>
          <w:rFonts w:ascii="Calibri" w:hAnsi="Calibri"/>
          <w:b/>
        </w:rPr>
        <w:t>floor</w:t>
      </w:r>
      <w:r>
        <w:rPr>
          <w:rFonts w:ascii="Calibri" w:hAnsi="Calibri"/>
        </w:rPr>
        <w:t xml:space="preserve"> on initial margin based on an </w:t>
      </w:r>
      <w:r>
        <w:rPr>
          <w:rFonts w:ascii="Calibri" w:hAnsi="Calibri"/>
          <w:b/>
        </w:rPr>
        <w:t>unscaled</w:t>
      </w:r>
      <w:r>
        <w:rPr>
          <w:rFonts w:ascii="Calibri" w:hAnsi="Calibri"/>
        </w:rPr>
        <w:t xml:space="preserve"> historical 10-year lookback </w:t>
      </w:r>
      <w:r>
        <w:rPr>
          <w:rFonts w:ascii="Calibri" w:hAnsi="Calibri"/>
          <w:b/>
        </w:rPr>
        <w:t>plus an additional 2.5-year window</w:t>
      </w:r>
      <w:r>
        <w:rPr>
          <w:rFonts w:ascii="Calibri" w:hAnsi="Calibri"/>
        </w:rPr>
        <w:t xml:space="preserve"> specifically covering the Global Financial Crisis (2007-2009).</w:t>
      </w:r>
    </w:p>
    <w:p>
      <w:pPr>
        <w:pStyle w:val="ListBullet"/>
      </w:pPr>
      <w:r>
        <w:rPr>
          <w:rFonts w:ascii="Calibri" w:hAnsi="Calibri"/>
        </w:rPr>
        <w:t>This ensures that even when current volatility is very low, the floor captures GFC-level stress scenarios without volatility dampening.</w:t>
      </w:r>
    </w:p>
    <w:p>
      <w:r>
        <w:rPr>
          <w:rFonts w:ascii="Calibri" w:hAnsi="Calibri"/>
        </w:rPr>
        <w:t>[Source: RBA Assessment 2020 Appendix B]</w:t>
      </w:r>
    </w:p>
    <w:p>
      <w:pPr>
        <w:pStyle w:val="Heading3"/>
      </w:pPr>
      <w:r>
        <w:rPr>
          <w:rFonts w:ascii="Calibri" w:hAnsi="Calibri"/>
        </w:rPr>
        <w:t>Margin Add-ons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Add-on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Credit Risk Add-on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Captures credit exposure not fully reflected in base PAIRS model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Liquidity Risk Add-on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Accounts for potential costs of liquidating large or concentrated positions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Concentration Risk Add-on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Penalizes disproportionately large positions in specific tenors or currencies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Stress Margin Add-on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Discretionary add-on during periods of elevated market stress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Wrong-way Risk Add-on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Applied where a member's default risk is correlated with its portfolio risk [unverified]</w:t>
            </w:r>
          </w:p>
        </w:tc>
      </w:tr>
    </w:tbl>
    <w:p/>
    <w:p>
      <w:r>
        <w:rPr>
          <w:rFonts w:ascii="Calibri" w:hAnsi="Calibri"/>
        </w:rPr>
        <w:t>[Source: RBA Assessment 2020 Appendix B]</w:t>
      </w:r>
    </w:p>
    <w:p>
      <w:pPr>
        <w:pStyle w:val="Heading3"/>
      </w:pPr>
      <w:r>
        <w:rPr>
          <w:rFonts w:ascii="Calibri" w:hAnsi="Calibri"/>
        </w:rPr>
        <w:t>CDSClear Margin Model (LCH SA)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Model Type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Historical simulation with scaled returns; Expected Shortfall methodology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Confidence Level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99.7%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Holding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5 days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Lookback Period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From April 2007 (includes GFC period)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Risk Factors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CDS spread changes, recovery rate changes, jump-to-default risk</w:t>
            </w:r>
          </w:p>
        </w:tc>
      </w:tr>
    </w:tbl>
    <w:p/>
    <w:p>
      <w:r>
        <w:rPr>
          <w:rFonts w:ascii="Calibri" w:hAnsi="Calibri"/>
        </w:rPr>
        <w:t>[Source: LCH SA CDSClear Risk Management]</w:t>
      </w:r>
    </w:p>
    <w:p>
      <w:pPr>
        <w:pStyle w:val="Heading3"/>
      </w:pPr>
      <w:r>
        <w:rPr>
          <w:rFonts w:ascii="Calibri" w:hAnsi="Calibri"/>
        </w:rPr>
        <w:t>RepoClear SA Margin Model</w:t>
      </w:r>
    </w:p>
    <w:p>
      <w:pPr>
        <w:pStyle w:val="ListBullet"/>
      </w:pPr>
      <w:r>
        <w:rPr>
          <w:rFonts w:ascii="Calibri" w:hAnsi="Calibri"/>
        </w:rPr>
        <w:t>Historical simulation-based margin model with volatility scaling, calibrated for fixed income and repo-specific risk factors (interest rate risk, credit spread risk, settlement risk).</w:t>
      </w:r>
    </w:p>
    <w:p>
      <w:pPr>
        <w:pStyle w:val="ListBullet"/>
      </w:pPr>
      <w:r>
        <w:rPr>
          <w:rFonts w:ascii="Calibri" w:hAnsi="Calibri"/>
        </w:rPr>
        <w:t>Published margin model overview updated May 2024.</w:t>
      </w:r>
    </w:p>
    <w:p>
      <w:r>
        <w:rPr>
          <w:rFonts w:ascii="Calibri" w:hAnsi="Calibri"/>
        </w:rPr>
        <w:t>[Source: LCH SA Margin Model Overview, May 2024]</w:t>
      </w:r>
    </w:p>
    <w:p>
      <w:pPr>
        <w:pStyle w:val="Heading3"/>
      </w:pPr>
      <w:r>
        <w:rPr>
          <w:rFonts w:ascii="Calibri" w:hAnsi="Calibri"/>
        </w:rPr>
        <w:t>6.2 Portfolio Margining Across Asset Classes</w:t>
      </w:r>
    </w:p>
    <w:p>
      <w:r>
        <w:rPr>
          <w:rFonts w:ascii="Calibri" w:hAnsi="Calibri"/>
        </w:rPr>
        <w:t xml:space="preserve">LCH's </w:t>
      </w:r>
      <w:r>
        <w:rPr>
          <w:rFonts w:ascii="Calibri" w:hAnsi="Calibri"/>
          <w:b/>
        </w:rPr>
        <w:t>Portfolio Margining Service</w:t>
      </w:r>
      <w:r>
        <w:rPr>
          <w:rFonts w:ascii="Calibri" w:hAnsi="Calibri"/>
        </w:rPr>
        <w:t xml:space="preserve"> is a key competitive differentiator, allowing cross-margining between:</w:t>
      </w:r>
    </w:p>
    <w:p>
      <w:pPr>
        <w:pStyle w:val="ListBullet"/>
      </w:pPr>
      <w:r>
        <w:rPr>
          <w:rFonts w:ascii="Calibri" w:hAnsi="Calibri"/>
          <w:b/>
        </w:rPr>
        <w:t>Listed interest rate futures</w:t>
      </w:r>
      <w:r>
        <w:rPr>
          <w:rFonts w:ascii="Calibri" w:hAnsi="Calibri"/>
        </w:rPr>
        <w:t xml:space="preserve"> (FMX SOFR futures) and </w:t>
      </w:r>
      <w:r>
        <w:rPr>
          <w:rFonts w:ascii="Calibri" w:hAnsi="Calibri"/>
          <w:b/>
        </w:rPr>
        <w:t>OTC IRS</w:t>
      </w:r>
      <w:r>
        <w:rPr>
          <w:rFonts w:ascii="Calibri" w:hAnsi="Calibri"/>
        </w:rPr>
        <w:t xml:space="preserve"> (SwapClear)</w:t>
      </w:r>
    </w:p>
    <w:p>
      <w:pPr>
        <w:pStyle w:val="ListBullet"/>
      </w:pPr>
      <w:r>
        <w:rPr>
          <w:rFonts w:ascii="Calibri" w:hAnsi="Calibri"/>
        </w:rPr>
        <w:t>This recognizes offsetting risk across exchange-traded and OTC positions, producing significant capital efficiencies</w:t>
      </w:r>
    </w:p>
    <w:p>
      <w:r>
        <w:rPr>
          <w:rFonts w:ascii="Calibri" w:hAnsi="Calibri"/>
        </w:rPr>
        <w:t>Key milestones:</w:t>
      </w:r>
    </w:p>
    <w:p>
      <w:pPr>
        <w:pStyle w:val="ListBullet"/>
      </w:pPr>
      <w:r>
        <w:rPr>
          <w:rFonts w:ascii="Calibri" w:hAnsi="Calibri"/>
          <w:b/>
        </w:rPr>
        <w:t>September 2025:</w:t>
      </w:r>
      <w:r>
        <w:rPr>
          <w:rFonts w:ascii="Calibri" w:hAnsi="Calibri"/>
        </w:rPr>
        <w:t xml:space="preserve"> Marex became the first clearing firm to enable client access to portfolio margining benefits between FMX Futures Exchange and LCH Ltd positions [Source: Marex Press Release]</w:t>
      </w:r>
    </w:p>
    <w:p>
      <w:pPr>
        <w:pStyle w:val="ListBullet"/>
      </w:pPr>
      <w:r>
        <w:rPr>
          <w:rFonts w:ascii="Calibri" w:hAnsi="Calibri"/>
        </w:rPr>
        <w:t>The service is fully automated and reduces counterparty risk while providing margin savings</w:t>
      </w:r>
    </w:p>
    <w:p>
      <w:r>
        <w:rPr>
          <w:rFonts w:ascii="Calibri" w:hAnsi="Calibri"/>
        </w:rPr>
        <w:t>[Source: Coalition Greenwich; Marex]</w:t>
      </w:r>
    </w:p>
    <w:p>
      <w:pPr>
        <w:pStyle w:val="Heading3"/>
      </w:pPr>
      <w:r>
        <w:rPr>
          <w:rFonts w:ascii="Calibri" w:hAnsi="Calibri"/>
        </w:rPr>
        <w:t>6.3 Compression Services (Notional Reduction)</w:t>
      </w:r>
    </w:p>
    <w:p>
      <w:r>
        <w:rPr>
          <w:rFonts w:ascii="Calibri" w:hAnsi="Calibri"/>
        </w:rPr>
        <w:t>LCH operates one of the world's most impactful portfolio compression programs, critical for managing the enormous gross notional outstanding in OTC IRS markets.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Cumulative Compressed Notional (SwapClear)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&gt; $7,000 trillion (over $1 quadrillion) [Source: LeapRate, Finance Magnates]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2015 Single-Year Example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$323 trillion in trades compressed; $107 trillion net notional reduction [Source: LCH Compression page]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OSTTRA triReduce Monthly Record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~$1 trillion additional gross notional reduction in September 2022 [Source: OSTTRA]</w:t>
            </w:r>
          </w:p>
        </w:tc>
      </w:tr>
    </w:tbl>
    <w:p/>
    <w:p>
      <w:r>
        <w:rPr>
          <w:rFonts w:ascii="Calibri" w:hAnsi="Calibri"/>
          <w:b/>
        </w:rPr>
        <w:t>Compression Techniques:</w:t>
      </w:r>
    </w:p>
    <w:p>
      <w:pPr>
        <w:pStyle w:val="ListBullet"/>
      </w:pPr>
      <w:r>
        <w:rPr>
          <w:rFonts w:ascii="Calibri" w:hAnsi="Calibri"/>
          <w:b/>
        </w:rPr>
        <w:t>Proprietary bilateral compression:</w:t>
      </w:r>
      <w:r>
        <w:rPr>
          <w:rFonts w:ascii="Calibri" w:hAnsi="Calibri"/>
        </w:rPr>
        <w:t xml:space="preserve"> Members can cancel or offset trades within their own portfolios within defined risk parameters</w:t>
      </w:r>
    </w:p>
    <w:p>
      <w:pPr>
        <w:pStyle w:val="ListBullet"/>
      </w:pPr>
      <w:r>
        <w:rPr>
          <w:rFonts w:ascii="Calibri" w:hAnsi="Calibri"/>
          <w:b/>
        </w:rPr>
        <w:t>Multilateral compression (OSTTRA triReduce):</w:t>
      </w:r>
      <w:r>
        <w:rPr>
          <w:rFonts w:ascii="Calibri" w:hAnsi="Calibri"/>
        </w:rPr>
        <w:t xml:space="preserve"> Cross-member compression cycles eliminate offsetting trades across multiple counterparties</w:t>
      </w:r>
    </w:p>
    <w:p>
      <w:pPr>
        <w:pStyle w:val="ListBullet"/>
      </w:pPr>
      <w:r>
        <w:rPr>
          <w:rFonts w:ascii="Calibri" w:hAnsi="Calibri"/>
          <w:b/>
        </w:rPr>
        <w:t>Blended rate compression:</w:t>
      </w:r>
      <w:r>
        <w:rPr>
          <w:rFonts w:ascii="Calibri" w:hAnsi="Calibri"/>
        </w:rPr>
        <w:t xml:space="preserve"> Combines multiple trades with different rates into fewer trades</w:t>
      </w:r>
    </w:p>
    <w:p>
      <w:pPr>
        <w:pStyle w:val="ListBullet"/>
      </w:pPr>
      <w:r>
        <w:rPr>
          <w:rFonts w:ascii="Calibri" w:hAnsi="Calibri"/>
          <w:b/>
        </w:rPr>
        <w:t>Future cash flow netting:</w:t>
      </w:r>
      <w:r>
        <w:rPr>
          <w:rFonts w:ascii="Calibri" w:hAnsi="Calibri"/>
        </w:rPr>
        <w:t xml:space="preserve"> Eliminates redundant cash flows across trades</w:t>
      </w:r>
    </w:p>
    <w:p>
      <w:pPr>
        <w:pStyle w:val="ListBullet"/>
      </w:pPr>
      <w:r>
        <w:rPr>
          <w:rFonts w:ascii="Calibri" w:hAnsi="Calibri"/>
          <w:b/>
        </w:rPr>
        <w:t>Eligible products:</w:t>
      </w:r>
      <w:r>
        <w:rPr>
          <w:rFonts w:ascii="Calibri" w:hAnsi="Calibri"/>
        </w:rPr>
        <w:t xml:space="preserve"> IRS, OIS, FRAs, basis swaps, zero-coupon inflation swaps</w:t>
      </w:r>
    </w:p>
    <w:p>
      <w:r>
        <w:rPr>
          <w:rFonts w:ascii="Calibri" w:hAnsi="Calibri"/>
          <w:b/>
        </w:rPr>
        <w:t>ForexClear Compression:</w:t>
      </w:r>
      <w:r>
        <w:rPr>
          <w:rFonts w:ascii="Calibri" w:hAnsi="Calibri"/>
        </w:rPr>
        <w:t xml:space="preserve"> Also available for FX NDF portfolios, reducing trade counts and notional values. [Source: LCH ForexClear Compression Factsheet]</w:t>
      </w:r>
    </w:p>
    <w:p>
      <w:pPr>
        <w:pStyle w:val="Heading3"/>
      </w:pPr>
      <w:r>
        <w:rPr>
          <w:rFonts w:ascii="Calibri" w:hAnsi="Calibri"/>
        </w:rPr>
        <w:t>6.4 Cloud Migration Initiatives</w:t>
      </w:r>
    </w:p>
    <w:p>
      <w:r>
        <w:rPr>
          <w:rFonts w:ascii="Calibri" w:hAnsi="Calibri"/>
        </w:rPr>
        <w:t>LSEG is undertaking a major multi-year cloud transformation affecting LCH systems: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Initiative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LSEG-Microsoft Partnership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10-year strategic partnership (announced Dec 2022); LSEG data platform migrating to Azure; Microsoft made equity investment in LSEG [Source: Microsoft News]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LSEG-AWS Collaboration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Multi-year collaboration extended in 2025; AWS named preferred cloud provider for Markets division (including LCH); 1,300+ AWS accounts across LSEG [Source: LSEG Press Release]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LCH Collateral Management on AWS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Core Collateral Management Service migrated to AWS in Q2 2025; first LCH clearing service on public cloud [Source: AWS re:Invent 2025]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Architecture Pattern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Multi-region: Primary (EKS + Oracle RDS + S3 + FSx), Secondary (DR replication), Tertiary (AWS Outposts, independent for 5 days) [Source: AWS re:Invent 2025]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Dell Private Cloud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Private cloud platform build-out via multi-year Dell Technologies collaboration for on-premise workloads [Source: The TRADE]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b/>
              </w:rPr>
              <w:t>Multicloud Strategy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AWS (primary for clearing infrastructure), Azure (data/analytics, Workspace), GCP (selected workloads); hybrid model with significant on-premise footprint remaining [Source: AWS re:Invent 2025]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6.5 Real-Time Risk Management Capabilities</w:t>
      </w:r>
    </w:p>
    <w:p>
      <w:pPr>
        <w:pStyle w:val="ListBullet"/>
      </w:pPr>
      <w:r>
        <w:rPr>
          <w:rFonts w:ascii="Calibri" w:hAnsi="Calibri"/>
          <w:b/>
        </w:rPr>
        <w:t>Intraday margin monitoring:</w:t>
      </w:r>
      <w:r>
        <w:rPr>
          <w:rFonts w:ascii="Calibri" w:hAnsi="Calibri"/>
        </w:rPr>
        <w:t xml:space="preserve"> Automated margin calls triggered when combined margin liability exceeds participant-specific credit thresholds</w:t>
      </w:r>
    </w:p>
    <w:p>
      <w:pPr>
        <w:pStyle w:val="ListBullet"/>
      </w:pPr>
      <w:r>
        <w:rPr>
          <w:rFonts w:ascii="Calibri" w:hAnsi="Calibri"/>
          <w:b/>
        </w:rPr>
        <w:t>Trade-by-trade risk assessment:</w:t>
      </w:r>
      <w:r>
        <w:rPr>
          <w:rFonts w:ascii="Calibri" w:hAnsi="Calibri"/>
        </w:rPr>
        <w:t xml:space="preserve"> EquityClear MCCP calculates exposure and margin changes on every individual trade (GPU-accelerated)</w:t>
      </w:r>
    </w:p>
    <w:p>
      <w:pPr>
        <w:pStyle w:val="ListBullet"/>
      </w:pPr>
      <w:r>
        <w:rPr>
          <w:rFonts w:ascii="Calibri" w:hAnsi="Calibri"/>
          <w:b/>
        </w:rPr>
        <w:t>Real-time trade registration:</w:t>
      </w:r>
      <w:r>
        <w:rPr>
          <w:rFonts w:ascii="Calibri" w:hAnsi="Calibri"/>
        </w:rPr>
        <w:t xml:space="preserve"> SwapClear novation within ~10 seconds of submission</w:t>
      </w:r>
    </w:p>
    <w:p>
      <w:pPr>
        <w:pStyle w:val="ListBullet"/>
      </w:pPr>
      <w:r>
        <w:rPr>
          <w:rFonts w:ascii="Calibri" w:hAnsi="Calibri"/>
          <w:b/>
        </w:rPr>
        <w:t>Cover 2 stress testing:</w:t>
      </w:r>
      <w:r>
        <w:rPr>
          <w:rFonts w:ascii="Calibri" w:hAnsi="Calibri"/>
        </w:rPr>
        <w:t xml:space="preserve"> Default fund sized to cover simultaneous default of two largest participants under extreme but plausible scenarios; stress tests run daily</w:t>
      </w:r>
    </w:p>
    <w:p>
      <w:pPr>
        <w:pStyle w:val="ListBullet"/>
      </w:pPr>
      <w:r>
        <w:rPr>
          <w:rFonts w:ascii="Calibri" w:hAnsi="Calibri"/>
          <w:b/>
        </w:rPr>
        <w:t>Back-testing:</w:t>
      </w:r>
      <w:r>
        <w:rPr>
          <w:rFonts w:ascii="Calibri" w:hAnsi="Calibri"/>
        </w:rPr>
        <w:t xml:space="preserve"> Daily and monthly back-testing of margin model performance against actual market moves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Comparison Notes</w:t>
      </w:r>
    </w:p>
    <w:p>
      <w:pPr>
        <w:pStyle w:val="Heading3"/>
      </w:pPr>
      <w:r>
        <w:rPr>
          <w:rFonts w:ascii="Calibri" w:hAnsi="Calibri"/>
        </w:rPr>
        <w:t>vs. KRX/KSD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Aspect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LCH Systems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KRX/KSD Equivalent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CCP Operator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LCH Ltd (UK) + LCH SA (France); owned by LSEG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KRX acts as CCP for its own markets; KSD (Korea Securities Depository) handles settlement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Clearing System Provider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LSEG Technology (Millennium), Murex, proprietary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KOSCOM provides IT infrastructure for all KRX clearing, settlement, and trading systems [Source: KOSCOM]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Margin Methodology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PAIRS (Expected Shortfall, filtered historical simulation, 99.7%, 10-year lookback)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EWMA-based VaR model; intraday margin calls introduced; SPAN-like methodology for derivatives [Source: IMF FSAP Korea 2014]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Asset Class Coverage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Multi-asset across separate services: OTC IRS, FX, repos, equities, CDS, digital assets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Integrated: equities (KOSPI, KOSDAQ), derivatives (KOSPI 200 options/futures, single stock futures, etc.), bonds, KONEX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Architecture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Heterogeneous -- different platforms per asset class; hybrid cloud + on-premise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Unified -- single KOSCOM-operated platform covering all KRX markets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Cloud Adoption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Active migration to AWS/Azure; Collateral Management on AWS since Q2 2025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Primarily on-premise; KOSCOM data center [unverified -- limited public information on cloud strategy]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OTC Clearing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World's largest OTC IRS CCP ($240B IM); dedicated OTC services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KRX OTC CCP function launched more recently; smaller scale [Source: WFE article "A Milestone for Global Market Infrastructure in Seoul"]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Compression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Cumulative &gt;$1 quadrillion compressed; critical for OTC IRS market structure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Not applicable at comparable scale (smaller OTC clearing volume)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Portfolio Margining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Cross-asset margining between listed futures and OTC IRS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Limited to within-market netting [unverified]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Default Fund Size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SwapClear: ~GBP 6 billion total; CDSClear: ~EUR 2.8 billion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Joint compensation fund + settlement reserves; significantly smaller in absolute terms [Source: IMF FSAP Korea]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GPU Acceleration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EquityClear MCCP uses GPU-accelerated parallel risk processing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Not publicly documented for KRX/KOSCOM systems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  <w:b/>
              </w:rPr>
              <w:t>Interoperability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CCP interop with SIX x-clear, Cboe Clear Europe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Eurex-KRX link (cross-listing of KOSPI 200 options) [Source: Eurex]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Key Differentiators</w:t>
      </w:r>
    </w:p>
    <w:p>
      <w:pPr>
        <w:pStyle w:val="ListBullet"/>
      </w:pPr>
      <w:r>
        <w:rPr>
          <w:rFonts w:ascii="Calibri" w:hAnsi="Calibri"/>
          <w:b/>
        </w:rPr>
        <w:t>Scale in OTC clearing:</w:t>
      </w:r>
      <w:r>
        <w:rPr>
          <w:rFonts w:ascii="Calibri" w:hAnsi="Calibri"/>
        </w:rPr>
        <w:t xml:space="preserve"> LCH SwapClear is the dominant global IRS CCP with ~95% market share and $240 billion in initial margin -- an order of magnitude larger than any other single CCP margin pool. KRX operates primarily in exchange-traded products.</w:t>
      </w:r>
    </w:p>
    <w:p>
      <w:pPr>
        <w:pStyle w:val="ListBullet"/>
      </w:pPr>
      <w:r>
        <w:rPr>
          <w:rFonts w:ascii="Calibri" w:hAnsi="Calibri"/>
          <w:b/>
        </w:rPr>
        <w:t>Multi-entity, multi-jurisdiction structure:</w:t>
      </w:r>
      <w:r>
        <w:rPr>
          <w:rFonts w:ascii="Calibri" w:hAnsi="Calibri"/>
        </w:rPr>
        <w:t xml:space="preserve"> LCH operates across two legal entities (LCH Ltd, LCH SA) under different regulatory regimes (UK, EU), with QCCP recognition in 10+ jurisdictions. KRX operates as a single CCP within Korea's regulatory framework.</w:t>
      </w:r>
    </w:p>
    <w:p>
      <w:pPr>
        <w:pStyle w:val="ListBullet"/>
      </w:pPr>
      <w:r>
        <w:rPr>
          <w:rFonts w:ascii="Calibri" w:hAnsi="Calibri"/>
          <w:b/>
        </w:rPr>
        <w:t>PAIRS methodology sophistication:</w:t>
      </w:r>
      <w:r>
        <w:rPr>
          <w:rFonts w:ascii="Calibri" w:hAnsi="Calibri"/>
        </w:rPr>
        <w:t xml:space="preserve"> The filtered historical simulation with EWMA volatility scaling, 99.7% ES confidence level, and anti-procyclicality floor represents a more complex margin approach than standard SPAN or VaR models typically used for exchange-traded products.</w:t>
      </w:r>
    </w:p>
    <w:p>
      <w:pPr>
        <w:pStyle w:val="ListBullet"/>
      </w:pPr>
      <w:r>
        <w:rPr>
          <w:rFonts w:ascii="Calibri" w:hAnsi="Calibri"/>
          <w:b/>
        </w:rPr>
        <w:t>Compression as systemic infrastructure:</w:t>
      </w:r>
      <w:r>
        <w:rPr>
          <w:rFonts w:ascii="Calibri" w:hAnsi="Calibri"/>
        </w:rPr>
        <w:t xml:space="preserve"> LCH's compression services are a critical component of global OTC derivatives market infrastructure, having reduced over $1 quadrillion in gross notional. This function has no equivalent in exchange-traded markets.</w:t>
      </w:r>
    </w:p>
    <w:p>
      <w:pPr>
        <w:pStyle w:val="ListBullet"/>
      </w:pPr>
      <w:r>
        <w:rPr>
          <w:rFonts w:ascii="Calibri" w:hAnsi="Calibri"/>
          <w:b/>
        </w:rPr>
        <w:t>Cloud-first trajectory:</w:t>
      </w:r>
      <w:r>
        <w:rPr>
          <w:rFonts w:ascii="Calibri" w:hAnsi="Calibri"/>
        </w:rPr>
        <w:t xml:space="preserve"> LSEG's multicloud strategy (AWS + Azure + private cloud) with core clearing services migrating to public cloud represents an industry-leading approach. Most Asian exchange groups, including KRX/KOSCOM, maintain primarily on-premise infrastructure.</w:t>
      </w:r>
    </w:p>
    <w:p>
      <w:pPr>
        <w:pStyle w:val="ListBullet"/>
      </w:pPr>
      <w:r>
        <w:rPr>
          <w:rFonts w:ascii="Calibri" w:hAnsi="Calibri"/>
          <w:b/>
        </w:rPr>
        <w:t>Cross-asset portfolio margining:</w:t>
      </w:r>
      <w:r>
        <w:rPr>
          <w:rFonts w:ascii="Calibri" w:hAnsi="Calibri"/>
        </w:rPr>
        <w:t xml:space="preserve"> The ability to cross-margin between OTC IRS and listed futures is a significant competitive advantage for LCH, enabling capital efficiencies that single-asset CCPs cannot offer.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LSEG -- LCH Clearing Services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Ltd Margin Methodology (PAIRS)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SA Margin Methodology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RBA Assessment of LCH Ltd SwapClear -- Appendix B (2020)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Clarus FT -- 2024 CCP Volumes and Share in IRD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Clarus FT -- What's New in CCP Disclosures Q4 2024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FinTech Futures -- LCH Implements Clearing and Settlement Solution from LSEG Technology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FinanceFeeds -- LSEG Technology Implements New Clearing Platform for LCH EquityClear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Murex -- LCH SwapAgent Implements Murex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ClearLink Overview (PDF)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SA Connectivity Guide (PDF)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Microsoft -- LSEG and Microsoft Launch 10-Year Strategic Partnership (Dec 2022)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LSEG -- Extends Multi-Year Cloud Collaboration with AWS (2025)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AWS re:Invent 2025 -- LSEG's Migration &amp; Modernization Journey (MAM206)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AWS Industries Blog -- Cloud Adoption Update for FMI Providers 1H25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Risk.net -- Clearing House of the Year: LCH (2024)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LeapRate -- LCH SwapClear Compresses Over $1 Quadrillion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OSTTRA -- Trade Refactoring Unlocks Additional Compression Benefits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Coalition Greenwich -- Portfolio Margining Imperative for Interest-Rate Derivatives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Marex -- First Clearing Firm to Enable Client Access to Margin Benefits with FMX and LCH (2025)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WatersTechnology -- AFTAs 2020: Best New Technology -- LSEG Technology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ForexClear Factsheet (PDF)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LCH SA Margin Model Overview (May 2024, PDF)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KOSCOM -- KRX Trading System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IMF -- Republic of Korea FSAP 2014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WFE -- A Milestone for Global Market Infrastructure in Seoul (KRX Clearing)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Eurex -- Eurex/KRX Link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The TRADE -- LSEG Embarks on Private Cloud Platform Build with Dell Technologies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Euromoney -- World's Best FX Clearing Venue 2025: LSEG FX and LCH ForexClear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SWIFT -- ISO 20022 and LCH Collateral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