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글로벌 청산결제 — 개요 (Global Clearing &amp; Settlement — Overview)</w:t>
      </w:r>
    </w:p>
    <w:p>
      <w:r>
        <w:rPr>
          <w:i/>
          <w:sz w:val="18"/>
        </w:rPr>
        <w:t>**최종 수정일:** 2026-04-13</w:t>
      </w:r>
    </w:p>
    <w:p>
      <w:r>
        <w:rPr>
          <w:i/>
          <w:sz w:val="18"/>
        </w:rPr>
        <w:t>**상태:** 완료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서론 (Introduction)</w:t>
      </w:r>
    </w:p>
    <w:p>
      <w:r>
        <w:t>본 문서는 글로벌 청산결제 인프라 — 중앙청산소(Central Counterparty, CCP), 중앙예탁기관(Central Securities Depository, CSD), 그리고 관련 사후거래 시스템에 대한 개괄적인 개요를 제공한다.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사후거래 환경 (Post-Trade Landscape)</w:t>
      </w:r>
    </w:p>
    <w:p>
      <w:pPr>
        <w:pStyle w:val="Heading3"/>
      </w:pPr>
      <w:r>
        <w:t>2.1 사후거래 가치 사슬 (Post-Trade Value Chain)</w:t>
      </w:r>
    </w:p>
    <w:p>
      <w:r>
        <w:rPr>
          <w:rFonts w:ascii="Consolas" w:hAnsi="Consolas"/>
          <w:color w:val="333333"/>
          <w:sz w:val="16"/>
        </w:rPr>
        <w:t>매매체결 → 거래확인 → 청산 → 결제 → 수탁</w:t>
        <w:br/>
        <w:t>(Trade Execution → Trade Capture → Clearing → Settlement → Custody)</w:t>
        <w:br/>
        <w:t xml:space="preserve">                                    ↓</w:t>
        <w:br/>
        <w:t xml:space="preserve">                              리스크 관리</w:t>
        <w:br/>
        <w:t xml:space="preserve">                              (증거금, 부도 관리)</w:t>
      </w:r>
    </w:p>
    <w:p>
      <w:pPr>
        <w:pStyle w:val="Heading3"/>
      </w:pPr>
      <w:r>
        <w:t>2.2 주요 인프라 유형 (Key Infrastructure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사례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 상대방으로 개입하여 거래상대방 리스크 관리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LCH, CME Clearing, Eurex Clearing, KRX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증권 보관 및 결제 처리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DTC (미국예탁신탁회사), Euroclear, Clearstream, KSD (한국예탁결제원)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ICSD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국제 결제 및 수탁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Euroclear Bank, Clearstream Banking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Trade Repository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규제 투명성을 위한 거래 데이터 저장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DTCC GTR</w:t>
            </w:r>
          </w:p>
        </w:tc>
      </w:tr>
    </w:tbl>
    <w:p/>
    <w:p>
      <w:pPr>
        <w:pStyle w:val="Heading3"/>
      </w:pPr>
      <w:r>
        <w:t>2.3 글로벌 규모 (Global Scale)</w:t>
      </w:r>
    </w:p>
    <w:p>
      <w:pPr>
        <w:pStyle w:val="ListBullet"/>
      </w:pPr>
      <w:r>
        <w:t>본 조사 대상 CCP 수: 15개 관할권에 걸친 20개 기관 (미국, 영국, EU, 일본, 홍콩, 싱가포르, 호주, 스위스, 중국, 인도, 캐나다, 사우디아라비아, 한국)</w:t>
      </w:r>
    </w:p>
    <w:p>
      <w:pPr>
        <w:pStyle w:val="ListBullet"/>
      </w:pPr>
      <w:r>
        <w:t>주요 CCP 보유 개시증거금(Initial Margin) 총액:</w:t>
      </w:r>
    </w:p>
    <w:p>
      <w:pPr>
        <w:pStyle w:val="ListBullet"/>
      </w:pPr>
      <w:r>
        <w:t>CME Clearing: 약 2,000억 USD 이상의 보증기금 + 이행보증금 (2024-2025년)</w:t>
      </w:r>
    </w:p>
    <w:p>
      <w:pPr>
        <w:pStyle w:val="ListBullet"/>
      </w:pPr>
      <w:r>
        <w:t>OCC (옵션청산공사): 약 1,800억 USD IM (2025년 3분기, 전년동기 대비 +59%); 청산기금 약 195억 USD</w:t>
      </w:r>
    </w:p>
    <w:p>
      <w:pPr>
        <w:pStyle w:val="ListBullet"/>
      </w:pPr>
      <w:r>
        <w:t>LCH SwapClear: 약 2,400억 USD IM (2024년 4분기); ForexClear: 107억 USD IM</w:t>
      </w:r>
    </w:p>
    <w:p>
      <w:pPr>
        <w:pStyle w:val="ListBullet"/>
      </w:pPr>
      <w:r>
        <w:t>Eurex Clearing: OTC 잔액 명목금액 EUR 43,668 billion (2025년 말)</w:t>
      </w:r>
    </w:p>
    <w:p>
      <w:pPr>
        <w:pStyle w:val="ListBullet"/>
      </w:pPr>
      <w:r>
        <w:t>DTCC (미국예탁결제공사)/NSCC: 일일 최대 거래액 5.55조 USD (2025년 4월); FICC-GSD: 일일 최대 13.2조 USD</w:t>
      </w:r>
    </w:p>
    <w:p>
      <w:pPr>
        <w:pStyle w:val="ListBullet"/>
      </w:pPr>
      <w:r>
        <w:t>CSD/ICSD 수탁 자산:</w:t>
      </w:r>
    </w:p>
    <w:p>
      <w:pPr>
        <w:pStyle w:val="ListBullet"/>
      </w:pPr>
      <w:r>
        <w:t>DTC: 100조 USD 이상 (2025년)</w:t>
      </w:r>
    </w:p>
    <w:p>
      <w:pPr>
        <w:pStyle w:val="ListBullet"/>
      </w:pPr>
      <w:r>
        <w:t>Euroclear: EUR 42.5조 (유럽 CSD 시장의 약 50%)</w:t>
      </w:r>
    </w:p>
    <w:p>
      <w:pPr>
        <w:pStyle w:val="ListBullet"/>
      </w:pPr>
      <w:r>
        <w:t>Clearstream: EUR 20조 이상; T2S 거래량의 50% 이상 처리</w:t>
      </w:r>
    </w:p>
    <w:p>
      <w:pPr>
        <w:pStyle w:val="ListBullet"/>
      </w:pPr>
      <w:r>
        <w:t>CSDC (중국증권예탁결산공사): 보관 증권 규모 RMB 11.05 quadrillion</w:t>
      </w:r>
    </w:p>
    <w:p>
      <w:pPr>
        <w:pStyle w:val="ListBullet"/>
      </w:pPr>
      <w:r>
        <w:t>CDS (캐나다예탁기관): 예탁 증권 약 CAD 4조</w:t>
      </w:r>
    </w:p>
    <w:p>
      <w:pPr>
        <w:pStyle w:val="ListBullet"/>
      </w:pPr>
      <w:r>
        <w:t>연간 거래량:</w:t>
      </w:r>
    </w:p>
    <w:p>
      <w:pPr>
        <w:pStyle w:val="ListBullet"/>
      </w:pPr>
      <w:r>
        <w:t>DTCC: 2024년 증권 거래 처리액 3.7 quadrillion USD</w:t>
      </w:r>
    </w:p>
    <w:p>
      <w:pPr>
        <w:pStyle w:val="ListBullet"/>
      </w:pPr>
      <w:r>
        <w:t>OCC: 2024년 옵션 계약 청산 122억 건 (역대 최고)</w:t>
      </w:r>
    </w:p>
    <w:p>
      <w:pPr>
        <w:pStyle w:val="ListBullet"/>
      </w:pPr>
      <w:r>
        <w:t>Eurex Clearing: 2025년 청산 계약 수 20억 6,590만 건</w:t>
      </w:r>
    </w:p>
    <w:p>
      <w:pPr>
        <w:pStyle w:val="ListBullet"/>
      </w:pPr>
      <w:r>
        <w:t>LCH SwapClear: 2024년 상반기 청산 명목금액 779조 USD</w:t>
      </w:r>
    </w:p>
    <w:p>
      <w:pPr>
        <w:pStyle w:val="ListBullet"/>
      </w:pPr>
      <w:r>
        <w:t>ICE Clear Credit: CDS 미결제약정 2조 USD 이상</w:t>
      </w:r>
    </w:p>
    <w:p>
      <w:pPr>
        <w:pStyle w:val="ListBullet"/>
      </w:pPr>
      <w:r>
        <w:t>Source: CPMI-IOSCO PQD, CCP12, individual CCP annual reports and PQD disclosures (2024-2025)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청산 모델 (Clearing Models)</w:t>
      </w:r>
    </w:p>
    <w:p>
      <w:pPr>
        <w:pStyle w:val="Heading3"/>
      </w:pPr>
      <w:r>
        <w:t>3.1 CCP 청산 (중앙청산) (CCP Clearing / Central Clearing)</w:t>
      </w:r>
    </w:p>
    <w:p>
      <w:pPr>
        <w:pStyle w:val="ListBullet"/>
      </w:pPr>
      <w:r>
        <w:t>채무인수(Novation)와 공개매수(Open Offer)</w:t>
      </w:r>
    </w:p>
    <w:p>
      <w:pPr>
        <w:pStyle w:val="ListBullet"/>
      </w:pPr>
      <w:r>
        <w:t>다자간차감(Multilateral Netting)</w:t>
      </w:r>
    </w:p>
    <w:p>
      <w:pPr>
        <w:pStyle w:val="ListBullet"/>
      </w:pPr>
      <w:r>
        <w:t>이점: 거래상대방 리스크 감소, 차감 효율성, 투명성</w:t>
      </w:r>
    </w:p>
    <w:p>
      <w:pPr>
        <w:pStyle w:val="Heading3"/>
      </w:pPr>
      <w:r>
        <w:t>3.2 쌍무 청산 (Bilateral Clearing)</w:t>
      </w:r>
    </w:p>
    <w:p>
      <w:pPr>
        <w:pStyle w:val="ListBullet"/>
      </w:pPr>
      <w:r>
        <w:t>청산 의무 대상이 아닌 일부 OTC 파생상품, 쌍무 레포, 일부 채권 상품에 여전히 적용된다</w:t>
      </w:r>
    </w:p>
    <w:p>
      <w:pPr>
        <w:pStyle w:val="ListBullet"/>
      </w:pPr>
      <w:r>
        <w:t>중앙청산으로의 전환 추세: 도드-프랭크법(Dodd-Frank Act) Title VII 및 유럽시장인프라규정(EMIR)에 의해 표준화된 OTC 금리스왑(IRS) 및 CDS의 청산이 의무화되었다. SEC의 미국채 청산 의무(2024년)에 따라 FICC를 통한 미국채 현물(2026년 12월) 및 레포(2027년 6월)의 중앙청산이 확대될 예정이다</w:t>
      </w:r>
    </w:p>
    <w:p>
      <w:pPr>
        <w:pStyle w:val="ListBullet"/>
      </w:pPr>
      <w:r>
        <w:t>CCIL (인도청산공사)은 과거 쌍무 거래였던 국채, 외환 및 자금시장 상품의 청산을 수행한다</w:t>
      </w:r>
    </w:p>
    <w:p>
      <w:pPr>
        <w:pStyle w:val="ListBullet"/>
      </w:pPr>
      <w:r>
        <w:t>Muqassa (사우디 청산소)는 이전에 쌍무 결제되던 주식 및 레포 시장에 CCP 청산을 도입하였다</w:t>
      </w:r>
    </w:p>
    <w:p>
      <w:pPr>
        <w:pStyle w:val="Heading3"/>
      </w:pPr>
      <w:r>
        <w:t>3.3 혼합 모델 (Hybrid Models)</w:t>
      </w:r>
    </w:p>
    <w:p>
      <w:pPr>
        <w:pStyle w:val="ListBullet"/>
      </w:pPr>
      <w:r>
        <w:t>상호운용성 (Interoperability): SIX x-clear와 LCH Ltd는 유럽 현물 주식에 대한 상호운용 가능한 CCP 링크를 운영하여, 청산회원이 선호하는 CCP를 선택하면서도 연결된 CCP 간 리스크 관리를 유지할 수 있도록 한다. Cboe Clear Europe도 상호운용 체계에 참여하고 있다.</w:t>
      </w:r>
    </w:p>
    <w:p>
      <w:pPr>
        <w:pStyle w:val="ListBullet"/>
      </w:pPr>
      <w:r>
        <w:t>고객 청산 / 후원 접근 (Client Clearing / Sponsored Access): FICC의 Sponsored Member 모델은 바이사이드 기관이 후원 청산회원을 통해 CCP 청산에 접근할 수 있도록 한다. JSCC (일본증권청산기구)는 CFTC 면제를 통해 미국 참가자에게 JPY IRS 고객 청산을 개방하였다(2025년 9월).</w:t>
      </w:r>
    </w:p>
    <w:p>
      <w:pPr>
        <w:pStyle w:val="ListBullet"/>
      </w:pPr>
      <w:r>
        <w:t>교차증거금 (Cross-Margining): CME-FICC 교차증거금 체계(2024년 1월)는 미국채 선물 대비 미국채 현물에 대한 자본 효율성을 제공한다. OCC는 NSCC/FICC/DTC와 교차보증 협정을 체결하고 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리스크 관리 체계 (Risk Management Frameworks)</w:t>
      </w:r>
    </w:p>
    <w:p>
      <w:pPr>
        <w:pStyle w:val="Heading3"/>
      </w:pPr>
      <w:r>
        <w:t>4.1 증거금 방법론 비교 (Margin Methodologies Comparison)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방법론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사용 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특징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SPAN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 (레거시), CDCC, HKCC (PRiME)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16개 고정 리스크 시나리오; 가격/변동성 변동에 대한 포트폴리오 기반 스캐닝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SPAN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CME (2023-2025년 단계적 도입)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과거 VaR과 기대손실(Expected Shortfall) 기반; 수천 개 시나리오; 집중 리스크; 경기순응성 완화 기능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PRISMA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Eurex Clearing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여과된 과거 시뮬레이션(FHS)으로 750개 여과 + 250개 스트레스 시나리오; 99%/99.5% 기대손실; 교차증거금을 위한 청산그룹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PAIRS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LCH SwapClear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금리 시나리오에 대한 포트폴리오 접근법; 99.7% 기대손실, 5일 보유기간, 글로벌 금융위기 하한을 포함한 10년 소급 기간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OCC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10,000건 이상의 몬테카를로 시뮬레이션; 99% 기대손실, 2일 보유기간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IRM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ICE Clear (2022-2025년 단계적 도입)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99% 신뢰수준의 여과된 과거 시뮬레이션 VaR; 레거시 시나리오 기반 IRM 대체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VaR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JSCC (2023년 SPAN에서 전환), SIX x-clear (Monte Carlo VaR), Cboe Clear Europe, NSCC/FICC, CDP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모수적, 과거 시뮬레이션, 몬테카를로 등 다양한 구현 방식</w:t>
            </w:r>
          </w:p>
        </w:tc>
      </w:tr>
    </w:tbl>
    <w:p/>
    <w:p>
      <w:pPr>
        <w:pStyle w:val="Heading3"/>
      </w:pPr>
      <w:r>
        <w:t>4.2 손실부담순서 — 표준 구조 (Default Waterfall — Standard Structure)</w:t>
      </w:r>
    </w:p>
    <w:p>
      <w:pPr>
        <w:pStyle w:val="ListNumber"/>
      </w:pPr>
      <w:r>
        <w:t>부도 회원의 증거금</w:t>
      </w:r>
    </w:p>
    <w:p>
      <w:pPr>
        <w:pStyle w:val="ListNumber"/>
      </w:pPr>
      <w:r>
        <w:t>부도 회원의 공동기금 출연분</w:t>
      </w:r>
    </w:p>
    <w:p>
      <w:pPr>
        <w:pStyle w:val="ListNumber"/>
      </w:pPr>
      <w:r>
        <w:t>CCP 자기자본 출연분(SITG)</w:t>
      </w:r>
    </w:p>
    <w:p>
      <w:pPr>
        <w:pStyle w:val="ListNumber"/>
      </w:pPr>
      <w:r>
        <w:t>비부도 회원의 공동기금</w:t>
      </w:r>
    </w:p>
    <w:p>
      <w:pPr>
        <w:pStyle w:val="ListNumber"/>
      </w:pPr>
      <w:r>
        <w:t>CCP 추가 자본 / 추가분담금 부과 권한(Assessment Powers)</w:t>
      </w:r>
    </w:p>
    <w:p>
      <w:pPr>
        <w:pStyle w:val="Heading3"/>
      </w:pPr>
      <w:r>
        <w:t>4.3 회복 및 정리 (Recovery &amp; Resolution)</w:t>
      </w:r>
    </w:p>
    <w:p>
      <w:pPr>
        <w:pStyle w:val="ListBullet"/>
      </w:pPr>
      <w:r>
        <w:t>FSB 핵심 속성(Key Attributes): 금융기관에 대한 효과적 정리 체제(2014년, CCP 관련 업데이트 가이드라인)</w:t>
      </w:r>
    </w:p>
    <w:p>
      <w:pPr>
        <w:pStyle w:val="ListBullet"/>
      </w:pPr>
      <w:r>
        <w:t>CCP 회복 수단: 변동증거금 이익삭감(VMGH), 부분적 포지션 청산(Partial Tear-up), 추가분담금 부과 권한(생존 회원에 대한 현금 징수), 강제 포지션 배분, 부도 포트폴리오 자발적 경매</w:t>
      </w:r>
    </w:p>
    <w:p>
      <w:pPr>
        <w:pStyle w:val="ListBullet"/>
      </w:pPr>
      <w:r>
        <w:t>EU CCP 회복 및 정리 규정(EU 2021/23): 2023년부터 전면 적용; CCP 회복 계획 수립 및 정리 수단에 대한 포괄적 체계 확립</w:t>
      </w:r>
    </w:p>
    <w:p>
      <w:pPr>
        <w:pStyle w:val="ListBullet"/>
      </w:pPr>
      <w:r>
        <w:t>미국 체계: SIFMU(시스템적으로 중요한 금융시장인프라)(DTCC, OCC, CME, ICE Clear Credit)는 연방준비제도의 Title VIII 감독을 받으나, 전용 CCP 정리 법률은 아직 없다</w:t>
      </w:r>
    </w:p>
    <w:p>
      <w:pPr>
        <w:pStyle w:val="ListBullet"/>
      </w:pPr>
      <w:r>
        <w:t>정리 당국: Bank of England (LCH Ltd 담당), BaFin/SRB (Eurex Clearing 담당), SEC/CFTC/FDIC (미국 SIFMU 담당)</w:t>
      </w:r>
    </w:p>
    <w:p>
      <w:pPr>
        <w:pStyle w:val="ListBullet"/>
      </w:pPr>
      <w:r>
        <w:t>부도 보험: ICE Clear는 손실부담순서에서 추가 계층으로 제3자 부도 보험을 활용한다</w:t>
      </w:r>
    </w:p>
    <w:p>
      <w:pPr>
        <w:pStyle w:val="ListBullet"/>
      </w:pPr>
      <w:r>
        <w:t>회복 계획/정리 계획(Living Wills): EU CCP RRR에 따라 의무화; FINMA는 2021년 SIX x-clear의 첫 회복 계획을 승인; ASX는 2017년 회복 규정을 도입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결제 (Settlement)</w:t>
      </w:r>
    </w:p>
    <w:p>
      <w:pPr>
        <w:pStyle w:val="Heading3"/>
      </w:pPr>
      <w:r>
        <w:t>5.1 결제주기 — 글로벌 전환 현황 (Settlement Cycles — Global Transition)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지역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이전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현재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목표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미국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T+1 (2024년 5월)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T+1 (계획 중)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영국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T+1 (검토 중)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인도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T+1 (2023년 1월)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중국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T+0 / T+1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T+0 / T+1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한국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T+2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5.2 DVP 모델 (DVP Models)</w:t>
      </w:r>
    </w:p>
    <w:p>
      <w:pPr>
        <w:pStyle w:val="ListBullet"/>
      </w:pPr>
      <w:r>
        <w:t>BIS Model 1: 총액-총액(Gross-Gross)</w:t>
      </w:r>
    </w:p>
    <w:p>
      <w:pPr>
        <w:pStyle w:val="ListBullet"/>
      </w:pPr>
      <w:r>
        <w:t>BIS Model 2: 증권 총액, 대금 차감(Gross Securities, Net Funds)</w:t>
      </w:r>
    </w:p>
    <w:p>
      <w:pPr>
        <w:pStyle w:val="ListBullet"/>
      </w:pPr>
      <w:r>
        <w:t>BIS Model 3: 차감-차감(Net-Net)</w:t>
      </w:r>
    </w:p>
    <w:p>
      <w:pPr>
        <w:pStyle w:val="Heading3"/>
      </w:pPr>
      <w:r>
        <w:t>5.3 결제완결성 (Settlement Finality)</w:t>
      </w:r>
    </w:p>
    <w:p>
      <w:pPr>
        <w:pStyle w:val="ListBullet"/>
      </w:pPr>
      <w:r>
        <w:t>EU: 결제완결성 지침(SFD, 98/26/EC)은 지정 시스템에 입력된 이체 지시가 도산 상황에서도 법적으로 집행 가능하고 취소 불가능함을 보장한다</w:t>
      </w:r>
    </w:p>
    <w:p>
      <w:pPr>
        <w:pStyle w:val="ListBullet"/>
      </w:pPr>
      <w:r>
        <w:t>영국: Financial Markets and Insolvency (Settlement Finality) Regulations 1999</w:t>
      </w:r>
    </w:p>
    <w:p>
      <w:pPr>
        <w:pStyle w:val="ListBullet"/>
      </w:pPr>
      <w:r>
        <w:t>미국: NSCC/FICC/DTC 결제는 DTC에서의 장부기입 시점에 확정된다; UCC Article 8 및 도드-프랭크법에 의한 법적 확실성</w:t>
      </w:r>
    </w:p>
    <w:p>
      <w:pPr>
        <w:pStyle w:val="ListBullet"/>
      </w:pPr>
      <w:r>
        <w:t>홍콩: HKSCC 결제완결성은 CCASS를 통해 T+2에 달성된다; 2011년 7월 도입된 당일 자금 결제 완결성 적용</w:t>
      </w:r>
    </w:p>
    <w:p>
      <w:pPr>
        <w:pStyle w:val="ListBullet"/>
      </w:pPr>
      <w:r>
        <w:t>일본: JGB 결제주기는 2018년 T+1로 단축; 주식은 2019년 이후 T+2</w:t>
      </w:r>
    </w:p>
    <w:p>
      <w:pPr>
        <w:pStyle w:val="ListBullet"/>
      </w:pPr>
      <w:r>
        <w:t>호주: ASX는 일괄 결제 완결성을 갖춘 CHESS 결제를 운영한다; 2024년 12월 일괄 처리 장애로 운영 리스크 우려 부각</w:t>
      </w:r>
    </w:p>
    <w:p>
      <w:pPr>
        <w:pStyle w:val="ListBullet"/>
      </w:pPr>
      <w:r>
        <w:t>싱가포르: CDP는 2018년(사후거래 현대화 Phase 2)에 진정한 DVP 결제완결성을 달성</w:t>
      </w:r>
    </w:p>
    <w:p>
      <w:pPr>
        <w:pStyle w:val="ListBullet"/>
      </w:pPr>
      <w:r>
        <w:t>T2S (유럽): 참여 CSD에 대해 중앙은행 화폐로 실시간 총액 결제를 제공하며 즉시 완결성 보장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규제 체계 (Regulatory Framework)</w:t>
      </w:r>
    </w:p>
    <w:p>
      <w:pPr>
        <w:pStyle w:val="Heading3"/>
      </w:pPr>
      <w:r>
        <w:t>6.1 국제 기준 (International Standards)</w:t>
      </w:r>
    </w:p>
    <w:p>
      <w:pPr>
        <w:pStyle w:val="ListBullet"/>
      </w:pPr>
      <w:r>
        <w:t>CPMI-IOSCO 금융시장인프라에 관한 원칙(PFMI, 2012년)</w:t>
      </w:r>
    </w:p>
    <w:p>
      <w:pPr>
        <w:pStyle w:val="ListBullet"/>
      </w:pPr>
      <w:r>
        <w:t>FSB CCP 회복 및 정리 가이드라인</w:t>
      </w:r>
    </w:p>
    <w:p>
      <w:pPr>
        <w:pStyle w:val="ListBullet"/>
      </w:pPr>
      <w:r>
        <w:t>Basel III CCP 자본 요건</w:t>
      </w:r>
    </w:p>
    <w:p>
      <w:pPr>
        <w:pStyle w:val="Heading3"/>
      </w:pPr>
      <w:r>
        <w:t>6.2 지역별 규제 (Regional Regulations)</w:t>
      </w:r>
    </w:p>
    <w:p>
      <w:pPr>
        <w:pStyle w:val="ListBullet"/>
      </w:pPr>
      <w:r>
        <w:t>미국: 도드-프랭크법 Title VII 및 VIII</w:t>
      </w:r>
    </w:p>
    <w:p>
      <w:pPr>
        <w:pStyle w:val="ListBullet"/>
      </w:pPr>
      <w:r>
        <w:t>EU: 유럽시장인프라규정(EMIR), CSDR</w:t>
      </w:r>
    </w:p>
    <w:p>
      <w:pPr>
        <w:pStyle w:val="ListBullet"/>
      </w:pPr>
      <w:r>
        <w:t>영국: UK EMIR</w:t>
      </w:r>
    </w:p>
    <w:p>
      <w:pPr>
        <w:pStyle w:val="ListBullet"/>
      </w:pPr>
      <w:r>
        <w:t>아시아: 관할권별 상이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주요 동향 (Key Trends)</w:t>
      </w:r>
    </w:p>
    <w:p>
      <w:pPr>
        <w:pStyle w:val="ListBullet"/>
      </w:pPr>
      <w:r>
        <w:t>CCP 복원력 및 스트레스 테스트</w:t>
      </w:r>
    </w:p>
    <w:p>
      <w:pPr>
        <w:pStyle w:val="ListBullet"/>
      </w:pPr>
      <w:r>
        <w:t>T+1 / T+0 결제주기 단축</w:t>
      </w:r>
    </w:p>
    <w:p>
      <w:pPr>
        <w:pStyle w:val="ListBullet"/>
      </w:pPr>
      <w:r>
        <w:t>사후거래에서의 DLT/블록체인 활용</w:t>
      </w:r>
    </w:p>
    <w:p>
      <w:pPr>
        <w:pStyle w:val="ListBullet"/>
      </w:pPr>
      <w:r>
        <w:t>청산 시스템의 클라우드 도입</w:t>
      </w:r>
    </w:p>
    <w:p>
      <w:pPr>
        <w:pStyle w:val="ListBullet"/>
      </w:pPr>
      <w:r>
        <w:t>CCP 간 상호운용성</w:t>
      </w:r>
    </w:p>
    <w:p>
      <w:pPr>
        <w:pStyle w:val="ListBullet"/>
      </w:pPr>
      <w:r>
        <w:t>국경 간 규제 협력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조사 로드맵 (Research Roadmap)</w:t>
      </w:r>
    </w:p>
    <w:p>
      <w:pPr>
        <w:pStyle w:val="Heading3"/>
      </w:pPr>
      <w:r>
        <w:t>Tier 1 — 심층 분석 (Deep Dive)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파일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DTCC (미국예탁결제공사)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[dtcc.md](organizations/dtcc.md)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[lch.md](organizations/lch.md)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OCC (옵션청산공사)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[occ.md](organizations/occ.md)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CME Clearing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[cme_clearing.md](organizations/cme_clearing.md)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Eurex Clearing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[eurex_clearing.md](organizations/eurex_clearing.md)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KRX Clearing (한국거래소 청산)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[krx_clearing.md](organizations/krx_clearing.md)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(2026-04-13)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KSD (한국예탁결제원)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[ksd.md](organizations/ksd.md)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(2026-04-13)</w:t>
            </w:r>
          </w:p>
        </w:tc>
      </w:tr>
    </w:tbl>
    <w:p/>
    <w:p>
      <w:pPr>
        <w:pStyle w:val="Heading3"/>
      </w:pPr>
      <w:r>
        <w:t>Tier 2 — 표준 분석 (Standard)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파일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JSCC (일본증권청산기구)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[jscc.md](organizations/jscc.md)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HKSCC/HKCC/SEOCH (HKEX 청산기관)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[hkex_clearing.md](organizations/hkex_clearing.md)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CDP (싱가포르)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[cdp.md](organizations/cdp.md)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EuroCCP / Cboe Clear Europe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[euroccp.md](organizations/euroccp.md)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ICE Clear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[ice_clear.md](organizations/ice_clear.md)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ASX Clear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[asx_clear.md](organizations/asx_clear.md)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</w:tbl>
    <w:p/>
    <w:p>
      <w:pPr>
        <w:pStyle w:val="Heading3"/>
      </w:pPr>
      <w:r>
        <w:t>Tier 3 — 개요 (Overview)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파일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SIX x-clear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[six_xclear.md](organizations/six_xclear.md)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Euroclear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[euroclear.md](organizations/euroclear.md)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Clearstream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[clearstream.md](organizations/clearstream.md)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CSDC (중국증권예탁결산공사)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[csdc.md](organizations/csdc.md)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CCIL (인도청산공사)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[ccil.md](organizations/ccil.md)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CDS Canada (캐나다예탁기관)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[cds_canada.md](organizations/cds_canada.md)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Muqassa (사우디 청산소)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[muqassa.md](organizations/muqassa.md)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</w:tbl>
    <w:p/>
    <w:p>
      <w:pPr>
        <w:pStyle w:val="Heading3"/>
      </w:pPr>
      <w:r>
        <w:t>시스템 심층 분석 (Systems Deep-Dives)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파일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DTCC 시스템 (NSCC CNS, FICC GSD/MBSD, DTC, Project 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[dtcc_systems.md](systems/dtcc_systems.md)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LCH 시스템 (SwapClear, ForexClear, RepoClear, CDSClear)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[lch_systems.md](systems/lch_systems.md)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Eurex Clearing Prisma 증거금 방법론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[eurex_clearing_prisma.md](systems/eurex_clearing_prisma.md)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</w:tbl>
    <w:p/>
    <w:p>
      <w:pPr>
        <w:pStyle w:val="Heading3"/>
      </w:pPr>
      <w:r>
        <w:t>규제 분석 (Regulatory Analysis)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파일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미국 청산 규제 (Dodd-Frank Title VII/VIII, SEC Rule 17Ad-22, 미국채 청산 의무)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[us_clearing_regulation.md](regulations/us_clearing_regulation.md)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EU 청산 규제 (EMIR, CSDR, CCP RRR, EMIR 3.0)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[eu_clearing_regulation.md](regulations/eu_clearing_regulation.md)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아시아 청산 규제 (일본, 홍콩, 싱가포르, 중국, 인도, 호주)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[asia_clearing_regulation.md](regulations/asia_clearing_regulation.md)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**완료** (2026-04-07)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