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algun Gothic" w:hAnsi="Malgun Gothic" w:eastAsia="맑은 고딕"/>
        </w:rPr>
        <w:t>Clearstream (클리어스트림)</w:t>
      </w:r>
    </w:p>
    <w:p>
      <w:pPr>
        <w:ind w:left="720"/>
        <w:shd w:fill="F0F0F0" w:val="clear"/>
      </w:pPr>
      <w:r>
        <w:rPr>
          <w:rFonts w:ascii="Malgun Gothic" w:hAnsi="Malgun Gothic" w:eastAsia="맑은 고딕"/>
          <w:i/>
        </w:rPr>
        <w:t>**최종 업데이트:** 2026-04-07</w:t>
      </w:r>
    </w:p>
    <w:p>
      <w:pPr>
        <w:ind w:left="720"/>
        <w:shd w:fill="F0F0F0" w:val="clear"/>
      </w:pPr>
      <w:r>
        <w:rPr>
          <w:rFonts w:ascii="Malgun Gothic" w:hAnsi="Malgun Gothic" w:eastAsia="맑은 고딕"/>
          <w:i/>
        </w:rPr>
        <w:t>**조사 등급:** Tier 3 (개요)</w:t>
      </w:r>
    </w:p>
    <w:p>
      <w:pPr>
        <w:ind w:left="720"/>
        <w:shd w:fill="F0F0F0" w:val="clear"/>
      </w:pPr>
      <w:r>
        <w:rPr>
          <w:rFonts w:ascii="Malgun Gothic" w:hAnsi="Malgun Gothic" w:eastAsia="맑은 고딕"/>
          <w:i/>
        </w:rPr>
        <w:t>**유형:** ICSD (국제예탁기관, International Central Securities Depository) + CSD (중앙예탁기관)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1. 개요 및 프로필 (Overview &amp; Profile)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항목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내용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정식 명칭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Clearstream International S.A. (지주회사); Clearstream Banking S.A. (ICSD); Clearstream Europe AG (CSD, 구 Clearstream Banking AG)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약칭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Clearstream; CBL (룩셈부르크 ICSD); CBF (프랑크푸르트 CSD, 현 Clearstream Europe)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웹사이트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color w:val="0563C1"/>
                <w:u w:val="single"/>
              </w:rPr>
              <w:t>https://www.clearstream.com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설립연도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2000년 (Cedel International과 Deutsche Borse Clearing의 합병으로 설립)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국가 / 도시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룩셈부르크 (ICSD 본사); 독일 프랑크푸르트 (CSD)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소유 구조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Deutsche Borse Group (도이체뵈르제 그룹, 상장기업, 티커 DB1)의 완전자회사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모회사 / 그룹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Deutsche Borse Group -- Eurex (파생상품), Xetra (현물주식), Eurex Clearing (CCP), Clearstream (CSD/ICSD), EEX (에너지), 360T (외환), STOXX/Qontigo (지수)를 포괄하는 수직통합형 그룹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감독기관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CSSF (룩셈부르크 금융감독위원회, Commission de Surveillance du Secteur Financier) -- CBL 감독; BaFin/Bundesbank (독일 연방금융감독청/연방은행) -- Clearstream Europe AG 감독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CPMI-IOSCO PFMI 준수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예 -- CBL 및 Clearstream Europe에 대한 포괄적 CPMI-IOSCO 공시보고서 발행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CSDR 인가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CBL은 2021년 4월 12일 CSDR(유럽중앙예탁기관규정)에 따라 인가 취득 (핵심 CSD 서비스, 부수 은행 서비스, 상호운용 Bridge 링크)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수탁자산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그룹 전체 20조 EUR 이상; 전 세계 60개 시장 접근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T2S 거래량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Clearstream Europe를 통해 전체 T2S 결제량의 50% 이상 처리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시장 지위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2대 글로벌 ICSD 중 하나 (Euroclear Bank과 함께); T2S 거래량 기준 유로존 최대 CSD</w:t>
            </w:r>
          </w:p>
        </w:tc>
      </w:tr>
    </w:tbl>
    <w:p/>
    <w:p>
      <w:r>
        <w:rPr>
          <w:rFonts w:ascii="Malgun Gothic" w:hAnsi="Malgun Gothic" w:eastAsia="맑은 고딕"/>
        </w:rPr>
        <w:t>[Source: Clearstream -- About Clearstream, https://www.clearstream.com/clearstream-en/about-clearstream]</w:t>
      </w:r>
    </w:p>
    <w:p>
      <w:r>
        <w:rPr>
          <w:rFonts w:ascii="Malgun Gothic" w:hAnsi="Malgun Gothic" w:eastAsia="맑은 고딕"/>
        </w:rPr>
        <w:t>[Source: Wikipedia -- Clearstream, https://en.wikipedia.org/wiki/Clearstream]</w:t>
      </w:r>
    </w:p>
    <w:p>
      <w:r>
        <w:rPr>
          <w:rFonts w:ascii="Malgun Gothic" w:hAnsi="Malgun Gothic" w:eastAsia="맑은 고딕"/>
        </w:rPr>
        <w:t>[Source: Deutsche Borse -- Clearstream Europe Rebranding, https://www.deutsche-boerse.com/dbg-en/media/news-stories/press-releases/Clearstream-reinforces-commitment-to-Europe-by-rebranding-its-Germany-based-CSD-to-Clearstream-Europe-4688174]</w:t>
      </w:r>
    </w:p>
    <w:p>
      <w:pPr>
        <w:pStyle w:val="Heading3"/>
      </w:pPr>
      <w:r>
        <w:rPr>
          <w:rFonts w:ascii="Malgun Gothic" w:hAnsi="Malgun Gothic" w:eastAsia="맑은 고딕"/>
        </w:rPr>
        <w:t>Clearstream 그룹 법인 (Clearstream Group Entities)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법인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유형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소재지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역할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Clearstream International S.A.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지주회사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룩셈부르크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그룹 지주 법인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Clearstream Banking S.A. (CBL)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ICSD + 신용기관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룩셈부르크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국제증권(주로 유로본드) 결제 및 보관; ICSD 운영; 은행 서비스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Clearstream Europe AG</w:t>
            </w:r>
            <w:r>
              <w:rPr>
                <w:rFonts w:ascii="Malgun Gothic" w:hAnsi="Malgun Gothic" w:eastAsia="맑은 고딕"/>
              </w:rPr>
              <w:t xml:space="preserve"> (구 Clearstream Banking AG / CBF)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CSD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독일 프랑크푸르트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독일 국내 CSD; T2S를 통한 범유럽 CSD (유럽 19개 시장); 2025년 9월 명칭 변경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LuxCSD S.A.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CSD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룩셈부르크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룩셈부르크 국내 CSD (Banque Centrale du Luxembourg과의 합작법인, 2010년 설립)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맑은 고딕"/>
        </w:rPr>
        <w:t>주요 연혁 (Key Historical Milestones)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연도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사건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1970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Cedel (Centrale de Livraison de Valeurs Mobilieres), 유로본드 결제를 위해 유럽 및 북미 35개 은행이 룩셈부르크에 설립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1989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Deutsche Kassenverein (Deutsche Borse Clearing의 전신), 독일 증권 인프라 현대화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2000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Cedel International (50%)과 Deutsche Borse Clearing (50%)의 합병으로 Clearstream 설립 (2000년 1월 1일)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2002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Deutsche Borse, Clearstream 완전 인수 (2002년 7월 1일)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2010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Banque Centrale du Luxembourg과 LuxCSD 공동 설립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2010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Iberclear와 REGIS-TR (거래보고기관) 공동 설립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2015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Clearstream Banking AG (CBF), T2S 접속 (Wave 1, 2015년 6월)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2017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T2S 완전 이관 완료; Global Securities Financing 서비스 T2S 확장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2021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CBL, CSDR 인가 취득 (2021년 4월 12일)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2025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Clearstream Banking AG, "Clearstream Europe AG"로 명칭 변경 (2025년 9월 26일 발효)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2025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CBL, CSSF로부터 암호자산 서비스 제공자(CASP) 인가 취득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2025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Deutsche Borse Group, Eurex Clearing 및 Clearstream의 은행 면허 검토 발표; CSDR 개정에 따라 CBF의 은행 면허 반납 검토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2025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Euroclear과 유로본드 시장 디지털화 공동 추진</w:t>
            </w:r>
          </w:p>
        </w:tc>
      </w:tr>
    </w:tbl>
    <w:p/>
    <w:p>
      <w:r>
        <w:rPr>
          <w:rFonts w:ascii="Malgun Gothic" w:hAnsi="Malgun Gothic" w:eastAsia="맑은 고딕"/>
        </w:rPr>
        <w:t>[Source: Wikipedia -- Clearstream]</w:t>
      </w:r>
    </w:p>
    <w:p>
      <w:r>
        <w:rPr>
          <w:rFonts w:ascii="Malgun Gothic" w:hAnsi="Malgun Gothic" w:eastAsia="맑은 고딕"/>
        </w:rPr>
        <w:t>[Source: Clearstream -- 50 Years History, https://www.clearstream.com/clearstream-en/newsroom/200429-1969172]</w:t>
      </w:r>
    </w:p>
    <w:p>
      <w:r>
        <w:rPr>
          <w:rFonts w:ascii="Malgun Gothic" w:hAnsi="Malgun Gothic" w:eastAsia="맑은 고딕"/>
        </w:rPr>
        <w:t>[Source: Deutsche Borse -- Regulatory Complexity Reduction, https://www.deutsche-boerse.com/dbg-en/media/news-stories/press-releases/Deutsche-B-rse-Group-Plans-to-Use-Improved-European-Regulatory-Environment-to-Reduce-Regulatory-Complexity--4561082]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2. 결제 모델 (Settlement Model)</w:t>
      </w:r>
    </w:p>
    <w:p>
      <w:pPr>
        <w:pStyle w:val="Heading3"/>
      </w:pPr>
      <w:r>
        <w:rPr>
          <w:rFonts w:ascii="Malgun Gothic" w:hAnsi="Malgun Gothic" w:eastAsia="맑은 고딕"/>
        </w:rPr>
        <w:t>2.1 Clearstream Banking S.A. (CBL -- ICSD)</w:t>
      </w:r>
    </w:p>
    <w:p>
      <w:r>
        <w:rPr>
          <w:rFonts w:ascii="Malgun Gothic" w:hAnsi="Malgun Gothic" w:eastAsia="맑은 고딕"/>
        </w:rPr>
        <w:t>2대 글로벌 ICSD 중 하나로서, CBL은 국제증권(주로 유로본드) 및 크로스보더 거래에 대한 결제 및 보관 서비스를 제공한다: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장부기입 결제 (Book-Entry Settlement):</w:t>
      </w:r>
      <w:r>
        <w:rPr>
          <w:rFonts w:ascii="Malgun Gothic" w:hAnsi="Malgun Gothic" w:eastAsia="맑은 고딕"/>
        </w:rPr>
        <w:t xml:space="preserve"> 모든 증권을 무권화 또는 부동화 형태로 보유하며, 장부기입을 통해 이전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다통화 결제 (Multi-Currency Settlement):</w:t>
      </w:r>
      <w:r>
        <w:rPr>
          <w:rFonts w:ascii="Malgun Gothic" w:hAnsi="Malgun Gothic" w:eastAsia="맑은 고딕"/>
        </w:rPr>
        <w:t xml:space="preserve"> 환거래은행 네트워크를 통한 상업은행화폐(CMB)로 다통화 결제 수행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내부결제 (Internal Settlement):</w:t>
      </w:r>
      <w:r>
        <w:rPr>
          <w:rFonts w:ascii="Malgun Gothic" w:hAnsi="Malgun Gothic" w:eastAsia="맑은 고딕"/>
        </w:rPr>
        <w:t xml:space="preserve"> 2명의 CBL 참가자 간 거래는 CBL 장부상에서 내부적으로 결제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Bridge 결제 (Bridge Settlement):</w:t>
      </w:r>
      <w:r>
        <w:rPr>
          <w:rFonts w:ascii="Malgun Gothic" w:hAnsi="Malgun Gothic" w:eastAsia="맑은 고딕"/>
        </w:rPr>
        <w:t xml:space="preserve"> CBL과 Euroclear Bank 참가자 간 거래는 Bridge를 통해 결제 (제7절 참조)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외부결제 (External Settlement):</w:t>
      </w:r>
      <w:r>
        <w:rPr>
          <w:rFonts w:ascii="Malgun Gothic" w:hAnsi="Malgun Gothic" w:eastAsia="맑은 고딕"/>
        </w:rPr>
        <w:t xml:space="preserve"> 타 CSD에 보관된 증권 관련 거래는 CBL의 링크 네트워크를 통해 결제</w:t>
      </w:r>
    </w:p>
    <w:p>
      <w:pPr>
        <w:pStyle w:val="Heading3"/>
      </w:pPr>
      <w:r>
        <w:rPr>
          <w:rFonts w:ascii="Malgun Gothic" w:hAnsi="Malgun Gothic" w:eastAsia="맑은 고딕"/>
        </w:rPr>
        <w:t>2.2 Clearstream Europe AG (CSD -- 독일 + 범유럽)</w:t>
      </w:r>
    </w:p>
    <w:p>
      <w:r>
        <w:rPr>
          <w:rFonts w:ascii="Malgun Gothic" w:hAnsi="Malgun Gothic" w:eastAsia="맑은 고딕"/>
        </w:rPr>
        <w:t>Clearstream Europe (구 CBF)의 역할: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독일 국내 CSD:</w:t>
      </w:r>
      <w:r>
        <w:rPr>
          <w:rFonts w:ascii="Malgun Gothic" w:hAnsi="Malgun Gothic" w:eastAsia="맑은 고딕"/>
        </w:rPr>
        <w:t xml:space="preserve"> 모든 독일 국내 증권의 결제 및 보관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범유럽 CSD:</w:t>
      </w:r>
      <w:r>
        <w:rPr>
          <w:rFonts w:ascii="Malgun Gothic" w:hAnsi="Malgun Gothic" w:eastAsia="맑은 고딕"/>
        </w:rPr>
        <w:t xml:space="preserve"> T2S를 통해 단일 접점으로 유럽 19개 시장 접근 제공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T2S 결제:</w:t>
      </w:r>
      <w:r>
        <w:rPr>
          <w:rFonts w:ascii="Malgun Gothic" w:hAnsi="Malgun Gothic" w:eastAsia="맑은 고딕"/>
        </w:rPr>
        <w:t xml:space="preserve"> TARGET2를 통한 중앙은행화폐(EUR)로 대금결제; 실시간총액결제(RTGS) 방식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T2S 거래량의 50% 이상:</w:t>
      </w:r>
      <w:r>
        <w:rPr>
          <w:rFonts w:ascii="Malgun Gothic" w:hAnsi="Malgun Gothic" w:eastAsia="맑은 고딕"/>
        </w:rPr>
        <w:t xml:space="preserve"> Clearstream Europe는 전체 T2S 결제 트래픽의 절반 이상을 지속적으로 처리</w:t>
      </w:r>
    </w:p>
    <w:p>
      <w:pPr>
        <w:pStyle w:val="Heading3"/>
      </w:pPr>
      <w:r>
        <w:rPr>
          <w:rFonts w:ascii="Malgun Gothic" w:hAnsi="Malgun Gothic" w:eastAsia="맑은 고딕"/>
        </w:rPr>
        <w:t>2.3 결제 처리 (Settlement Processing)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특성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CBL (ICSD)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Clearstream Europe (CSD)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결제 방식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건별결제(Gross, trade-by-trade)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T2S를 통한 건별결제(Gross, trade-by-trade)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대금결제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상업은행화폐 (CMB)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TARGET2를 통한 중앙은행화폐 (CeBM)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처리 시간대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야간 일괄처리 + 실시간 주간 처리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T2S 플랫폼 상 실시간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DVP 모델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Model 1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Model 1 (T2S 경유)</w:t>
            </w:r>
          </w:p>
        </w:tc>
      </w:tr>
    </w:tbl>
    <w:p/>
    <w:p>
      <w:r>
        <w:rPr>
          <w:rFonts w:ascii="Malgun Gothic" w:hAnsi="Malgun Gothic" w:eastAsia="맑은 고딕"/>
        </w:rPr>
        <w:t>[Source: Clearstream -- Settlement, https://www.clearstream.com/clearstream-en/securities-services/settlement]</w:t>
      </w:r>
    </w:p>
    <w:p>
      <w:r>
        <w:rPr>
          <w:rFonts w:ascii="Malgun Gothic" w:hAnsi="Malgun Gothic" w:eastAsia="맑은 고딕"/>
        </w:rPr>
        <w:t>[Source: Clearstream -- Pan-European CSD Solution, https://www.clearstream.com/clearstream-en/securities-services/custody-and-investor-solutions/pan-european-csd-solution]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3. 리스크 관리 (Risk Management)</w:t>
      </w:r>
    </w:p>
    <w:p>
      <w:pPr>
        <w:pStyle w:val="Heading3"/>
      </w:pPr>
      <w:r>
        <w:rPr>
          <w:rFonts w:ascii="Malgun Gothic" w:hAnsi="Malgun Gothic" w:eastAsia="맑은 고딕"/>
        </w:rPr>
        <w:t>3.1 증거금 체계 (Margin Framework)</w:t>
      </w:r>
    </w:p>
    <w:p>
      <w:r>
        <w:rPr>
          <w:rFonts w:ascii="Malgun Gothic" w:hAnsi="Malgun Gothic" w:eastAsia="맑은 고딕"/>
        </w:rPr>
        <w:t>Clearstream은 CSD/ICSD로서 CCP 기능을 수행하지 않으며, 전통적 증거금을 징수하지 않는다. 리스크 관리는 다음에 중점을 둔다: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DVP 결제:</w:t>
      </w:r>
      <w:r>
        <w:rPr>
          <w:rFonts w:ascii="Malgun Gothic" w:hAnsi="Malgun Gothic" w:eastAsia="맑은 고딕"/>
        </w:rPr>
        <w:t xml:space="preserve"> 증권과 대금의 동시 교환으로 원금 리스크 제거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신용공여 (Credit Facilities):</w:t>
      </w:r>
      <w:r>
        <w:rPr>
          <w:rFonts w:ascii="Malgun Gothic" w:hAnsi="Malgun Gothic" w:eastAsia="맑은 고딕"/>
        </w:rPr>
        <w:t xml:space="preserve"> CBL은 참가자에게 담보 제공 증권을 기반으로 신용을 공여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담보 평가 (Collateral Valuation):</w:t>
      </w:r>
      <w:r>
        <w:rPr>
          <w:rFonts w:ascii="Malgun Gothic" w:hAnsi="Malgun Gothic" w:eastAsia="맑은 고딕"/>
        </w:rPr>
        <w:t xml:space="preserve"> 담보로 사용되는 증권에 대해 보수적 헤어컷을 적용하여 일일 시가평가 실시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익스포저 한도 (Exposure Limits):</w:t>
      </w:r>
      <w:r>
        <w:rPr>
          <w:rFonts w:ascii="Malgun Gothic" w:hAnsi="Malgun Gothic" w:eastAsia="맑은 고딕"/>
        </w:rPr>
        <w:t xml:space="preserve"> 참가자별 신용 및 익스포저 한도를 실시간 모니터링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유동성 리스크 관리 (Liquidity Risk Management):</w:t>
      </w:r>
      <w:r>
        <w:rPr>
          <w:rFonts w:ascii="Malgun Gothic" w:hAnsi="Malgun Gothic" w:eastAsia="맑은 고딕"/>
        </w:rPr>
        <w:t xml:space="preserve"> 통화별 결제 유동성의 현금 예측 및 관리</w:t>
      </w:r>
    </w:p>
    <w:p>
      <w:pPr>
        <w:pStyle w:val="Heading3"/>
      </w:pPr>
      <w:r>
        <w:rPr>
          <w:rFonts w:ascii="Malgun Gothic" w:hAnsi="Malgun Gothic" w:eastAsia="맑은 고딕"/>
        </w:rPr>
        <w:t>3.3 손실부담순서 (Default Waterfall)</w:t>
      </w:r>
    </w:p>
    <w:p>
      <w:r>
        <w:rPr>
          <w:rFonts w:ascii="Malgun Gothic" w:hAnsi="Malgun Gothic" w:eastAsia="맑은 고딕"/>
        </w:rPr>
        <w:t>CSD/ICSD(CCP가 아님)로서, Clearstream은 상호부담형 공동기금을 운영하지 않는다. 손실 흡수 순서는 다음과 같다: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불이행 참가자의 담보증권</w:t>
      </w:r>
      <w:r>
        <w:rPr>
          <w:rFonts w:ascii="Malgun Gothic" w:hAnsi="Malgun Gothic" w:eastAsia="맑은 고딕"/>
        </w:rPr>
        <w:t xml:space="preserve"> -- CBL은 불이행 참가자가 제공한 증권을 처분할 권리를 보유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Clearstream 자기자본</w:t>
      </w:r>
      <w:r>
        <w:rPr>
          <w:rFonts w:ascii="Malgun Gothic" w:hAnsi="Malgun Gothic" w:eastAsia="맑은 고딕"/>
        </w:rPr>
        <w:t xml:space="preserve"> -- CRR/CRD 요건에 따라 유지되는 자본 완충분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손실 상호부담 없음</w:t>
      </w:r>
      <w:r>
        <w:rPr>
          <w:rFonts w:ascii="Malgun Gothic" w:hAnsi="Malgun Gothic" w:eastAsia="맑은 고딕"/>
        </w:rPr>
        <w:t xml:space="preserve"> -- 비불이행 참가자에게 손실 부담을 요청하지 않음</w:t>
      </w:r>
    </w:p>
    <w:p>
      <w:pPr>
        <w:pStyle w:val="Heading3"/>
      </w:pPr>
      <w:r>
        <w:rPr>
          <w:rFonts w:ascii="Malgun Gothic" w:hAnsi="Malgun Gothic" w:eastAsia="맑은 고딕"/>
        </w:rPr>
        <w:t>3.6 회복 및 정리 (Recovery &amp; Resolution)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CSDR 체계:</w:t>
      </w:r>
      <w:r>
        <w:rPr>
          <w:rFonts w:ascii="Malgun Gothic" w:hAnsi="Malgun Gothic" w:eastAsia="맑은 고딕"/>
        </w:rPr>
        <w:t xml:space="preserve"> EU CSD 회복 및 정리 요건 적용 대상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은행 정리:</w:t>
      </w:r>
      <w:r>
        <w:rPr>
          <w:rFonts w:ascii="Malgun Gothic" w:hAnsi="Malgun Gothic" w:eastAsia="맑은 고딕"/>
        </w:rPr>
        <w:t xml:space="preserve"> CBL은 인가된 신용기관으로서 은행회복정리지침(BRRD) 적용 대상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정리당국:</w:t>
      </w:r>
      <w:r>
        <w:rPr>
          <w:rFonts w:ascii="Malgun Gothic" w:hAnsi="Malgun Gothic" w:eastAsia="맑은 고딕"/>
        </w:rPr>
        <w:t xml:space="preserve"> CSSF (룩셈부르크) -- CBL 담당; BaFin/SRB -- Clearstream Europe AG 담당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시스템적 중요성:</w:t>
      </w:r>
      <w:r>
        <w:rPr>
          <w:rFonts w:ascii="Malgun Gothic" w:hAnsi="Malgun Gothic" w:eastAsia="맑은 고딕"/>
        </w:rPr>
        <w:t xml:space="preserve"> 시스템적으로 중요한 금융시장인프라로 지정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은행 면허 검토 (2025):</w:t>
      </w:r>
      <w:r>
        <w:rPr>
          <w:rFonts w:ascii="Malgun Gothic" w:hAnsi="Malgun Gothic" w:eastAsia="맑은 고딕"/>
        </w:rPr>
        <w:t xml:space="preserve"> Deutsche Borse Group은 개정 CSDR에 따라 Clearstream Europe AG의 은행 면허 유지 필요성을 검토 중; CBL은 그룹의 Service CSD로서 CRR 면허를 계속 활용할 예정</w:t>
      </w:r>
    </w:p>
    <w:p>
      <w:r>
        <w:rPr>
          <w:rFonts w:ascii="Malgun Gothic" w:hAnsi="Malgun Gothic" w:eastAsia="맑은 고딕"/>
        </w:rPr>
        <w:t>[Source: Clearstream -- CPMI-IOSCO Principles Report 2024, https://www.clearstream.com/resource/blob/4416516/da6226a03ecca1a4d943b9081098f2f7/cpmi-iosco-cbl-2024-data.pdf]</w:t>
      </w:r>
    </w:p>
    <w:p>
      <w:r>
        <w:rPr>
          <w:rFonts w:ascii="Malgun Gothic" w:hAnsi="Malgun Gothic" w:eastAsia="맑은 고딕"/>
        </w:rPr>
        <w:t>[Source: Clearstream -- Regulatory Oversight, https://www.clearstream.com/clearstream-en/about-clearstream/regulation/regulatory-oversight-1278060]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4. 결제 (Settlement)</w:t>
      </w:r>
    </w:p>
    <w:p>
      <w:pPr>
        <w:pStyle w:val="Heading3"/>
      </w:pPr>
      <w:r>
        <w:rPr>
          <w:rFonts w:ascii="Malgun Gothic" w:hAnsi="Malgun Gothic" w:eastAsia="맑은 고딕"/>
        </w:rPr>
        <w:t>4.1 결제주기 (Settlement Cycle)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시장 / 법인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표준 주기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비고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CBL (ICSD) -- 유로본드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T+2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유통시장 표준; 발행시장은 상이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Clearstream Europe -- 독일 증권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T+2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EU CSDR에 부합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Clearstream Europe -- T2S 시장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T+2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T2S를 통한 유럽 19개 시장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LuxCSD -- 룩셈부르크 증권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T+2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EU CSDR에 부합</w:t>
            </w:r>
          </w:p>
        </w:tc>
      </w:tr>
    </w:tbl>
    <w:p/>
    <w:p>
      <w:r>
        <w:rPr>
          <w:rFonts w:ascii="Malgun Gothic" w:hAnsi="Malgun Gothic" w:eastAsia="맑은 고딕"/>
          <w:b/>
        </w:rPr>
        <w:t>T+1 전환:</w:t>
      </w:r>
      <w:r>
        <w:rPr>
          <w:rFonts w:ascii="Malgun Gothic" w:hAnsi="Malgun Gothic" w:eastAsia="맑은 고딕"/>
        </w:rPr>
        <w:t xml:space="preserve"> EU는 T+1 결제를 추진 중이다. Clearstream은 새로운 결제주기에 맞춰 ICSD 및 CSD 운영을 조정해야 한다. 구체적 시행 일정은 2026년 초 현재 논의 중이었다. [unverified]</w:t>
      </w:r>
    </w:p>
    <w:p>
      <w:pPr>
        <w:pStyle w:val="Heading3"/>
      </w:pPr>
      <w:r>
        <w:rPr>
          <w:rFonts w:ascii="Malgun Gothic" w:hAnsi="Malgun Gothic" w:eastAsia="맑은 고딕"/>
        </w:rPr>
        <w:t>4.2 DVP 모델 (DVP Model)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법인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DVP 모델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대금결제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설명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CBL (ICSD)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Model 1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상업은행화폐 (CMB)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증권과 대금의 건별 동시 최종이전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Clearstream Europe (CSD, T2S 경유)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Model 1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TARGET2를 통한 중앙은행화폐 (CeBM)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T2S 상에서 EUR 중앙은행화폐로 실시간 DVP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Bridge (CBL-Euroclear Bank)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Model 1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CMB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양 ICSD 간 동시 최종이전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LuxCSD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Model 1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TARGET2를 통한 CeBM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T2S 접속</w:t>
            </w:r>
          </w:p>
        </w:tc>
      </w:tr>
    </w:tbl>
    <w:p/>
    <w:p>
      <w:r>
        <w:rPr>
          <w:rFonts w:ascii="Malgun Gothic" w:hAnsi="Malgun Gothic" w:eastAsia="맑은 고딕"/>
          <w:b/>
        </w:rPr>
        <w:t>DVP 마감시한 연장:</w:t>
      </w:r>
      <w:r>
        <w:rPr>
          <w:rFonts w:ascii="Malgun Gothic" w:hAnsi="Malgun Gothic" w:eastAsia="맑은 고딕"/>
        </w:rPr>
        <w:t xml:space="preserve"> Clearstream은 T2S에서의 결제 효율성 개선 및 결제 실패 감소를 위해 EUR DVP 마감시한을 주기적으로 연장해 왔다.</w:t>
      </w:r>
    </w:p>
    <w:p>
      <w:r>
        <w:rPr>
          <w:rFonts w:ascii="Malgun Gothic" w:hAnsi="Malgun Gothic" w:eastAsia="맑은 고딕"/>
        </w:rPr>
        <w:t>[Source: Clearstream -- Settlement]</w:t>
      </w:r>
    </w:p>
    <w:p>
      <w:r>
        <w:rPr>
          <w:rFonts w:ascii="Malgun Gothic" w:hAnsi="Malgun Gothic" w:eastAsia="맑은 고딕"/>
        </w:rPr>
        <w:t>[Source: Clearstream -- T2S DVP Cut-Off Extension, https://www.clearstream.com/clearstream-en/newsroom/ops250314-3-4331014]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5. 기술 및 인프라 (Technology &amp; Infrastructure)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CASCADE / Creation:</w:t>
      </w:r>
      <w:r>
        <w:rPr>
          <w:rFonts w:ascii="Malgun Gothic" w:hAnsi="Malgun Gothic" w:eastAsia="맑은 고딕"/>
        </w:rPr>
        <w:t xml:space="preserve"> 독일 국내 및 국제 증권의 핵심 결제 및 보관 시스템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T2S 통합:</w:t>
      </w:r>
      <w:r>
        <w:rPr>
          <w:rFonts w:ascii="Malgun Gothic" w:hAnsi="Malgun Gothic" w:eastAsia="맑은 고딕"/>
        </w:rPr>
        <w:t xml:space="preserve"> 2017년부터 유로시스템의 T2S 플랫폼과 완전 통합하여 범유럽 결제 수행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담보관리시스템 (OneCMS):</w:t>
      </w:r>
      <w:r>
        <w:rPr>
          <w:rFonts w:ascii="Malgun Gothic" w:hAnsi="Malgun Gothic" w:eastAsia="맑은 고딕"/>
        </w:rPr>
        <w:t xml:space="preserve"> ICSD 및 CSD 소재지 전반에 걸친 통합 담보관리로 최적화된 담보 배분 실현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D7 플랫폼:</w:t>
      </w:r>
      <w:r>
        <w:rPr>
          <w:rFonts w:ascii="Malgun Gothic" w:hAnsi="Malgun Gothic" w:eastAsia="맑은 고딕"/>
        </w:rPr>
        <w:t xml:space="preserve"> Deutsche Borse Group의 DLT 기반 증권 발행 및 보관을 위한 디지털 거래후처리 플랫폼 [unverified -- 개발 중]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암호자산 보관:</w:t>
      </w:r>
      <w:r>
        <w:rPr>
          <w:rFonts w:ascii="Malgun Gothic" w:hAnsi="Malgun Gothic" w:eastAsia="맑은 고딕"/>
        </w:rPr>
        <w:t xml:space="preserve"> CBL은 2025년 CSSF로부터 암호자산 서비스 제공자(CASP)로 인가받아 규제된 디지털 자산 보관 서비스로 확장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유로본드 디지털화:</w:t>
      </w:r>
      <w:r>
        <w:rPr>
          <w:rFonts w:ascii="Malgun Gothic" w:hAnsi="Malgun Gothic" w:eastAsia="맑은 고딕"/>
        </w:rPr>
        <w:t xml:space="preserve"> 2026년 1분기부터 무권화 유로본드 발행을 지원하기 위한 Euroclear과의 공동 이니셔티브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6. 규제 체계 (Regulatory Framework)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측면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내용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CBL (룩셈부르크 ICSD)</w:t>
            </w:r>
          </w:p>
        </w:tc>
        <w:tc>
          <w:tcPr>
            <w:tcW w:type="dxa" w:w="4320"/>
          </w:tcPr>
          <w:p>
            <w:pPr/>
            <w:r/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주요 법규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 CSDR (Regulation 909/2014); 룩셈부르크 금융부문법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감독기관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CSSF (룩셈부르크 금융감독위원회)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CSDR 인가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2021년 4월 12일 (핵심 CSD 서비스, 부수 은행 서비스, Bridge 링크)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은행 면허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룩셈부르크 법에 따른 인가 신용기관; CRR/CRD 준수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결제완결성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룩셈부르크 법으로 EU 결제완결성지침(98/26/EC) 이행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Clearstream Europe AG (독일 CSD)</w:t>
            </w:r>
          </w:p>
        </w:tc>
        <w:tc>
          <w:tcPr>
            <w:tcW w:type="dxa" w:w="4320"/>
          </w:tcPr>
          <w:p>
            <w:pPr/>
            <w:r/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주요 법규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 CSDR; 독일 은행법 (KWG); 독일 유가증권예탁법 (DepotG)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감독기관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BaFin / Deutsche Bundesbank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CSDR 인가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CSDR에 따라 인가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은행 면허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현재 은행 면허 보유; CSDR 개정에 따른 반납 검토 중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LuxCSD</w:t>
            </w:r>
          </w:p>
        </w:tc>
        <w:tc>
          <w:tcPr>
            <w:tcW w:type="dxa" w:w="4320"/>
          </w:tcPr>
          <w:p>
            <w:pPr/>
            <w:r/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감독기관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CSSF / Banque Centrale du Luxembourg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CSDR 인가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CSDR에 따라 인가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맑은 고딕"/>
        </w:rPr>
        <w:t>국제적 인정 (International Recognition)</w:t>
      </w:r>
    </w:p>
    <w:p>
      <w:r>
        <w:rPr>
          <w:rFonts w:ascii="Malgun Gothic" w:hAnsi="Malgun Gothic" w:eastAsia="맑은 고딕"/>
        </w:rPr>
        <w:t>CBL은 전 세계 여러 관할권에서 인정받고 있으며, 다음을 포함한다:</w:t>
      </w:r>
    </w:p>
    <w:p>
      <w:pPr>
        <w:pStyle w:val="ListBullet"/>
      </w:pPr>
      <w:r>
        <w:rPr>
          <w:rFonts w:ascii="Malgun Gothic" w:hAnsi="Malgun Gothic" w:eastAsia="맑은 고딕"/>
        </w:rPr>
        <w:t>호주 (호주중앙은행 인정; 최근 평가 2025년 6월)</w:t>
      </w:r>
    </w:p>
    <w:p>
      <w:pPr>
        <w:pStyle w:val="ListBullet"/>
      </w:pPr>
      <w:r>
        <w:rPr>
          <w:rFonts w:ascii="Malgun Gothic" w:hAnsi="Malgun Gothic" w:eastAsia="맑은 고딕"/>
        </w:rPr>
        <w:t>기타 관할권에서 양자 인정 협약을 통해 인정 [unverified -- 구체적 목록 미확인]</w:t>
      </w:r>
    </w:p>
    <w:p>
      <w:r>
        <w:rPr>
          <w:rFonts w:ascii="Malgun Gothic" w:hAnsi="Malgun Gothic" w:eastAsia="맑은 고딕"/>
        </w:rPr>
        <w:t>[Source: Clearstream -- Licences, https://www.clearstream.com/clearstream-en/about-clearstream/regulation-1-/licences]</w:t>
      </w:r>
    </w:p>
    <w:p>
      <w:r>
        <w:rPr>
          <w:rFonts w:ascii="Malgun Gothic" w:hAnsi="Malgun Gothic" w:eastAsia="맑은 고딕"/>
        </w:rPr>
        <w:t>[Source: Clearstream -- Regulatory Oversight]</w:t>
      </w:r>
    </w:p>
    <w:p>
      <w:r>
        <w:rPr>
          <w:rFonts w:ascii="Malgun Gothic" w:hAnsi="Malgun Gothic" w:eastAsia="맑은 고딕"/>
        </w:rPr>
        <w:t>[Source: RBA -- Assessment of Clearstream Banking S.A. 2025, https://www.rba.gov.au/payments-and-infrastructure/financial-market-infrastructure/clearing-and-settlement-facilities/assessments/clearstream/2025/pdf/clearstream-assessment-2025-06.pdf]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7. 상호운용성 (Interoperability)</w:t>
      </w:r>
    </w:p>
    <w:p>
      <w:pPr>
        <w:pStyle w:val="Heading3"/>
      </w:pPr>
      <w:r>
        <w:rPr>
          <w:rFonts w:ascii="Malgun Gothic" w:hAnsi="Malgun Gothic" w:eastAsia="맑은 고딕"/>
        </w:rPr>
        <w:t>7.1 Bridge (Clearstream-Euroclear)</w:t>
      </w:r>
    </w:p>
    <w:p>
      <w:r>
        <w:rPr>
          <w:rFonts w:ascii="Malgun Gothic" w:hAnsi="Malgun Gothic" w:eastAsia="맑은 고딕"/>
        </w:rPr>
        <w:t>Bridge는 2대 글로벌 ICSD 간의 핵심 상호운용 링크이다: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목적:</w:t>
      </w:r>
      <w:r>
        <w:rPr>
          <w:rFonts w:ascii="Malgun Gothic" w:hAnsi="Malgun Gothic" w:eastAsia="맑은 고딕"/>
        </w:rPr>
        <w:t xml:space="preserve"> Clearstream Banking Luxembourg과 Euroclear Bank 참가자 간 증권 거래 결제 지원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결제:</w:t>
      </w:r>
      <w:r>
        <w:rPr>
          <w:rFonts w:ascii="Malgun Gothic" w:hAnsi="Malgun Gothic" w:eastAsia="맑은 고딕"/>
        </w:rPr>
        <w:t xml:space="preserve"> 무상이전(free-of-payment) 및 증권과대금의 동시결제(DVP) 거래 모두 지원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처리:</w:t>
      </w:r>
      <w:r>
        <w:rPr>
          <w:rFonts w:ascii="Malgun Gothic" w:hAnsi="Malgun Gothic" w:eastAsia="맑은 고딕"/>
        </w:rPr>
        <w:t xml:space="preserve"> 복수 야간 일괄교환 + Automated Daytime Bridge를 통한 영업시간 중 실시간 결제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DVP 모델:</w:t>
      </w:r>
      <w:r>
        <w:rPr>
          <w:rFonts w:ascii="Malgun Gothic" w:hAnsi="Malgun Gothic" w:eastAsia="맑은 고딕"/>
        </w:rPr>
        <w:t xml:space="preserve"> Model 1 (동시 최종이전)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CSDR 지위:</w:t>
      </w:r>
      <w:r>
        <w:rPr>
          <w:rFonts w:ascii="Malgun Gothic" w:hAnsi="Malgun Gothic" w:eastAsia="맑은 고딕"/>
        </w:rPr>
        <w:t xml:space="preserve"> Bridge 링크는 CBL의 CSDR 인가에 명시적으로 포함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연혁:</w:t>
      </w:r>
      <w:r>
        <w:rPr>
          <w:rFonts w:ascii="Malgun Gothic" w:hAnsi="Malgun Gothic" w:eastAsia="맑은 고딕"/>
        </w:rPr>
        <w:t xml:space="preserve"> 1970년대부터 운영; 지속적으로 현대화</w:t>
      </w:r>
    </w:p>
    <w:p>
      <w:pPr>
        <w:pStyle w:val="Heading3"/>
      </w:pPr>
      <w:r>
        <w:rPr>
          <w:rFonts w:ascii="Malgun Gothic" w:hAnsi="Malgun Gothic" w:eastAsia="맑은 고딕"/>
        </w:rPr>
        <w:t>7.2 CSD 링크 네트워크 (CSD Links Network)</w:t>
      </w:r>
    </w:p>
    <w:p>
      <w:r>
        <w:rPr>
          <w:rFonts w:ascii="Malgun Gothic" w:hAnsi="Malgun Gothic" w:eastAsia="맑은 고딕"/>
        </w:rPr>
        <w:t>Clearstream은 광범위한 글로벌 CSD 링크 네트워크를 유지한다: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Clearstream Europe:</w:t>
      </w:r>
      <w:r>
        <w:rPr>
          <w:rFonts w:ascii="Malgun Gothic" w:hAnsi="Malgun Gothic" w:eastAsia="맑은 고딕"/>
        </w:rPr>
        <w:t xml:space="preserve"> 유럽 19개 시장과의 직접 T2S 링크; 비T2S 시장에 대한 추가 링크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CBL (ICSD):</w:t>
      </w:r>
      <w:r>
        <w:rPr>
          <w:rFonts w:ascii="Malgun Gothic" w:hAnsi="Malgun Gothic" w:eastAsia="맑은 고딕"/>
        </w:rPr>
        <w:t xml:space="preserve"> CSD 및 에이전트 뱅크 링크를 통해 전 세계 60개 이상 시장 접근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크로스-CSD 결제:</w:t>
      </w:r>
      <w:r>
        <w:rPr>
          <w:rFonts w:ascii="Malgun Gothic" w:hAnsi="Malgun Gothic" w:eastAsia="맑은 고딕"/>
        </w:rPr>
        <w:t xml:space="preserve"> T2S는 Clearstream Europe와 기타 T2S 연결 CSD(Euroclear 그룹 CSD 포함) 간의 표준화된 크로스-CSD 결제를 가능하게 함</w:t>
      </w:r>
    </w:p>
    <w:p>
      <w:pPr>
        <w:pStyle w:val="Heading3"/>
      </w:pPr>
      <w:r>
        <w:rPr>
          <w:rFonts w:ascii="Malgun Gothic" w:hAnsi="Malgun Gothic" w:eastAsia="맑은 고딕"/>
        </w:rPr>
        <w:t>7.3 T2S 참가 (T2S Participation)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법인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T2S 연결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연결 일자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Clearstream Europe AG (CBF)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예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2015년 6월 (Wave 1 -- T2S 최초 접속 CSD 중 하나)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LuxCSD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예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2016년 9월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CBL (ICSD)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부분적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CBL은 T2S 직접 참가자가 아니며, Clearstream Europe를 통해 T2S 시장에 접근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맑은 고딕"/>
        </w:rPr>
        <w:t>7.4 Global Securities Financing (GSF) 통합 (GSF Integration)</w:t>
      </w:r>
    </w:p>
    <w:p>
      <w:r>
        <w:rPr>
          <w:rFonts w:ascii="Malgun Gothic" w:hAnsi="Malgun Gothic" w:eastAsia="맑은 고딕"/>
        </w:rPr>
        <w:t>Clearstream의 상호운용성은 담보 및 대차 서비스로 확장된다: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소재지 간 GSF 통합:</w:t>
      </w:r>
      <w:r>
        <w:rPr>
          <w:rFonts w:ascii="Malgun Gothic" w:hAnsi="Malgun Gothic" w:eastAsia="맑은 고딕"/>
        </w:rPr>
        <w:t xml:space="preserve"> 2017년 T2S 이관 이후, GSF 서비스(증권대차, 담보관리)가 ICSD 및 CSD 포지션 전반에 걸쳐 이용 가능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단일 풀 (Single Pool):</w:t>
      </w:r>
      <w:r>
        <w:rPr>
          <w:rFonts w:ascii="Malgun Gothic" w:hAnsi="Malgun Gothic" w:eastAsia="맑은 고딕"/>
        </w:rPr>
        <w:t xml:space="preserve"> 고객은 대차 및 담보 목적으로 ICSD와 CSD(T2S) 계좌의 자산을 통합 운용 가능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T2S 결제실패 대차:</w:t>
      </w:r>
      <w:r>
        <w:rPr>
          <w:rFonts w:ascii="Malgun Gothic" w:hAnsi="Malgun Gothic" w:eastAsia="맑은 고딕"/>
        </w:rPr>
        <w:t xml:space="preserve"> Automated Securities Lending (ASL) 서비스가 T2S 결제를 커버하며, ICSD와 동일한 서비스 수준 제공</w:t>
      </w:r>
    </w:p>
    <w:p>
      <w:r>
        <w:rPr>
          <w:rFonts w:ascii="Malgun Gothic" w:hAnsi="Malgun Gothic" w:eastAsia="맑은 고딕"/>
        </w:rPr>
        <w:t>[Source: Clearstream -- Bridge Settlement, https://www.clearstream.com/clearstream-en/res-library/res-library/bridge-settlement-1276276]</w:t>
      </w:r>
    </w:p>
    <w:p>
      <w:r>
        <w:rPr>
          <w:rFonts w:ascii="Malgun Gothic" w:hAnsi="Malgun Gothic" w:eastAsia="맑은 고딕"/>
        </w:rPr>
        <w:t>[Source: Clearstream -- Global Liquidity Hub with T2S, https://www.clearstream.com/clearstream-en/securities-services/collateral-lending-liquidity/global-liquidity-hub-with-t2s-1275354]</w:t>
      </w:r>
    </w:p>
    <w:p>
      <w:r>
        <w:rPr>
          <w:rFonts w:ascii="Malgun Gothic" w:hAnsi="Malgun Gothic" w:eastAsia="맑은 고딕"/>
        </w:rPr>
        <w:t>[Source: Clearstream -- GSF ASL for T2S, https://www.clearstream.com/clearstream-en/products-and-services/global-securities-financing/a17094-1299950]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9. 최근 동향 (Recent Developments)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일자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동향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2025년 9월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Clearstream Banking AG, 범유럽 CSD 역할을 반영하여 "Clearstream Europe AG"로 명칭 변경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2025년 7월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Deutsche Borse Group, 규제 구조 간소화 계획 발표; 개정 CSDR에 따라 Eurex Clearing 및 Clearstream Europe의 은행 면허 검토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2025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CBL, CSSF로부터 규제된 디지털 자산 보관을 위한 암호자산 서비스 제공자(CASP) 인가 취득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2025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Euroclear과 유로본드 시장 디지털화 공동 추진 (2026년 1분기부터 무권화 발행)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2025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Clearstream과 Euronext, 범유럽 거래후처리 상호운용성 강화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2025년 7월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Eurex Clearing, HQLAx 및 Clearstream과 함께 DLT 기반 담보 유동화 서비스 개시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2024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CBL, 최신 CPMI-IOSCO 원칙 보고서 발행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2025년 6월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호주중앙은행, Clearstream Banking S.A. 평가 발표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맑은 고딕"/>
        </w:rPr>
        <w:t>주요 전략적 주제 (Key Strategic Themes)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범유럽 CSD 통합:</w:t>
      </w:r>
      <w:r>
        <w:rPr>
          <w:rFonts w:ascii="Malgun Gothic" w:hAnsi="Malgun Gothic" w:eastAsia="맑은 고딕"/>
        </w:rPr>
        <w:t xml:space="preserve"> Clearstream Europe는 T2S를 통해 유럽 19개 시장의 게이트웨이로서 범유럽 CSD 선두주자를 목표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규제 간소화:</w:t>
      </w:r>
      <w:r>
        <w:rPr>
          <w:rFonts w:ascii="Malgun Gothic" w:hAnsi="Malgun Gothic" w:eastAsia="맑은 고딕"/>
        </w:rPr>
        <w:t xml:space="preserve"> CSDR 개정에 따른 Clearstream Europe 은행 면허의 잠재적 반납으로 규제 중복 감소, CBL은 그룹을 위한 CRR 면허 유지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디지털 자산:</w:t>
      </w:r>
      <w:r>
        <w:rPr>
          <w:rFonts w:ascii="Malgun Gothic" w:hAnsi="Malgun Gothic" w:eastAsia="맑은 고딕"/>
        </w:rPr>
        <w:t xml:space="preserve"> 암호자산 보관(CASP 면허) 및 DLT 기반 담보 서비스로 확장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유로본드 현대화:</w:t>
      </w:r>
      <w:r>
        <w:rPr>
          <w:rFonts w:ascii="Malgun Gothic" w:hAnsi="Malgun Gothic" w:eastAsia="맑은 고딕"/>
        </w:rPr>
        <w:t xml:space="preserve"> 실물 증권 폐지를 위한 Euroclear과의 공동 디지털화 추진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글로벌 유동성 허브:</w:t>
      </w:r>
      <w:r>
        <w:rPr>
          <w:rFonts w:ascii="Malgun Gothic" w:hAnsi="Malgun Gothic" w:eastAsia="맑은 고딕"/>
        </w:rPr>
        <w:t xml:space="preserve"> ICSD 및 CSD 소재지 전반에 걸친 담보관리, 증권대차, 자금조달 서비스의 심화 통합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T+1 대응:</w:t>
      </w:r>
      <w:r>
        <w:rPr>
          <w:rFonts w:ascii="Malgun Gothic" w:hAnsi="Malgun Gothic" w:eastAsia="맑은 고딕"/>
        </w:rPr>
        <w:t xml:space="preserve"> EU의 T+1 결제주기 전환 준비</w:t>
      </w:r>
    </w:p>
    <w:p>
      <w:r>
        <w:rPr>
          <w:rFonts w:ascii="Malgun Gothic" w:hAnsi="Malgun Gothic" w:eastAsia="맑은 고딕"/>
        </w:rPr>
        <w:t>[Source: Deutsche Borse -- Clearstream Europe Rebranding]</w:t>
      </w:r>
    </w:p>
    <w:p>
      <w:r>
        <w:rPr>
          <w:rFonts w:ascii="Malgun Gothic" w:hAnsi="Malgun Gothic" w:eastAsia="맑은 고딕"/>
        </w:rPr>
        <w:t>[Source: Deutsche Borse -- Regulatory Complexity Reduction]</w:t>
      </w:r>
    </w:p>
    <w:p>
      <w:r>
        <w:rPr>
          <w:rFonts w:ascii="Malgun Gothic" w:hAnsi="Malgun Gothic" w:eastAsia="맑은 고딕"/>
        </w:rPr>
        <w:t>[Source: Clearstream -- CSSF Crypto Authorization, https://en.paperjam.lu/article/cssf-certifies-clearstream-as-crypto-asset-service-provider]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출처 (Sources)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Clearstream -- About Clearstream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Clearstream -- Settlement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Clearstream -- Bridge Settlement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Clearstream -- Pan-European CSD Solution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Clearstream -- Global Liquidity Hub with T2S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Clearstream -- GSF ASL for T2S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Clearstream -- Regulatory Oversight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Clearstream -- Licences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Clearstream -- CPMI-IOSCO Disclosure Framework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Clearstream -- CPMI-IOSCO Principles Report 2024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Clearstream -- 50 Years History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Deutsche Borse -- Clearstream Europe Rebranding (Sep 2025)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Deutsche Borse -- Regulatory Complexity Reduction (Jul 2025)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RBA -- Assessment of Clearstream Banking S.A. (Jun 2025)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Wikipedia -- Clearstream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IMF -- Germany FSAP 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