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eastAsia="맑은 고딕"/>
        </w:rPr>
        <w:t>DTCC (Depository Trust &amp; Clearing Corporation, 미국예탁결제공사)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**최종 갱신일:** 2026-04-07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**조사 단계:** Tier 1 (심층 분석)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**유형:** 지주회사 (CCP + CSD) -- DTC (중앙예탁기관), NSCC (주식 CCP), FICC (채권 CCP) 포괄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항목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정식 명칭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The Depository Trust &amp; Clearing Corporation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약칭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DTCC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웹사이트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color w:val="0563C1"/>
                <w:u w:val="single"/>
              </w:rPr>
              <w:t>https://www.dtcc.com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설립 연도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1999년 (DTC와 NSCC를 통합하는 지주회사로 설립)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소재지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미국 / 뉴저지주 저지시티 (570 Washington Blvd)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소유구조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이용자 소유·운영 방식. 청산기관 참가자가 서비스 이용량에 비례하여 보통주를 보유한다. 우선주는 Stock Clearing Corporation (NYSE 자회사), FINRA, 기관투자자가 보유한다.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모회사 / 그룹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없음 (DTCC가 최상위 지주회사)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감독기관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SEC (DTC, NSCC, FICC 주요 감독기관); 연방준비제도이사회 (도드-프랭크법(Dodd-Frank Act) Title VIII에 따른 감독); CFTC (상품선물거래위원회, 일부 스왑 관련 업무)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CPMI-IOSCO 금융시장인프라에 관한 원칙 (PFMI) 준수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예 -- DTC, NSCC, FICC 각각 PFMI 공시 프레임워크 및 CPMI-IOSCO 공적정량공시(PQD)를 분기별로 발표한다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적격중앙청산소 (QCCP) 지위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예 -- DTC, NSCC, FICC는 Basel III 체계에서 은행 자본 산출 목적의 적격중앙청산소로 인정된다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주요 자회사 (Key Subsidiaries)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자회사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유형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설립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기능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DTC</w:t>
            </w:r>
            <w:r>
              <w:rPr>
                <w:rFonts w:ascii="Malgun Gothic" w:hAnsi="Malgun Gothic" w:eastAsia="맑은 고딕"/>
              </w:rPr>
              <w:t xml:space="preserve"> (Depository Trust Company)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중앙예탁기관 (CSD) / 청산기관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1973년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중앙예탁기관; 주식, 회사채/지방채, 단기금융상품의 장부대체 결제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NSCC</w:t>
            </w:r>
            <w:r>
              <w:rPr>
                <w:rFonts w:ascii="Malgun Gothic" w:hAnsi="Malgun Gothic" w:eastAsia="맑은 고딕"/>
              </w:rPr>
              <w:t xml:space="preserve"> (National Securities Clearing Corporation)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중앙청산소 (CCP) / 청산기관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1976년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주식, ETF, 회사채/지방채, UIT, ADR의 청산, 결제, 리스크 관리 및 CCP 보증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FICC</w:t>
            </w:r>
            <w:r>
              <w:rPr>
                <w:rFonts w:ascii="Malgun Gothic" w:hAnsi="Malgun Gothic" w:eastAsia="맑은 고딕"/>
              </w:rPr>
              <w:t xml:space="preserve"> (Fixed Income Clearing Corporation)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중앙청산소 (CCP) / 청산기관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2003년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미국 국채(GSD 부문) 및 주택저당증권(MBSD 부문)의 청산 및 CCP 서비스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DTCC Solutions LLC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서비스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--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데이터 및 거래 후 서비스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DTCC Deriv/SERV LLC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거래정보저장소 (Trade Repository)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--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OTC 파생상품 거래정보 보관소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DTCC Digital Assets (구 Securrency)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기술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2023년 (인수)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디지털 자산 인프라 및 토큰화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주요 연혁 (Key Historical Milestones)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1973년:</w:t>
      </w:r>
      <w:r>
        <w:rPr>
          <w:rFonts w:ascii="Malgun Gothic" w:hAnsi="Malgun Gothic" w:eastAsia="맑은 고딕"/>
        </w:rPr>
        <w:t xml:space="preserve"> DTC 설립. 1960년대 후반 "서류 위기(paperwork crisis)"를 해소하기 위해 실물 증권의 부동화(immobilization) 및 장부대체 이전을 가능하게 하였다.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1976년:</w:t>
      </w:r>
      <w:r>
        <w:rPr>
          <w:rFonts w:ascii="Malgun Gothic" w:hAnsi="Malgun Gothic" w:eastAsia="맑은 고딕"/>
        </w:rPr>
        <w:t xml:space="preserve"> NYSE, AMEX, NASD 청산 자회사의 합병으로 NSCC 설립, 중앙집중식 주식 청산 개시.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1986년:</w:t>
      </w:r>
      <w:r>
        <w:rPr>
          <w:rFonts w:ascii="Malgun Gothic" w:hAnsi="Malgun Gothic" w:eastAsia="맑은 고딕"/>
        </w:rPr>
        <w:t xml:space="preserve"> 미국 국채 청산을 위한 GSCC (Government Securities Clearing Corporation) 설립.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1999년:</w:t>
      </w:r>
      <w:r>
        <w:rPr>
          <w:rFonts w:ascii="Malgun Gothic" w:hAnsi="Malgun Gothic" w:eastAsia="맑은 고딕"/>
        </w:rPr>
        <w:t xml:space="preserve"> DTC와 NSCC를 통합 지배구조 하에 결합하기 위해 DTCC 지주회사 설립.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2003년:</w:t>
      </w:r>
      <w:r>
        <w:rPr>
          <w:rFonts w:ascii="Malgun Gothic" w:hAnsi="Malgun Gothic" w:eastAsia="맑은 고딕"/>
        </w:rPr>
        <w:t xml:space="preserve"> GSCC와 MBSCC (Mortgage-Backed Securities Clearing Corporation) 합병으로 FICC 설립.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2012년:</w:t>
      </w:r>
      <w:r>
        <w:rPr>
          <w:rFonts w:ascii="Malgun Gothic" w:hAnsi="Malgun Gothic" w:eastAsia="맑은 고딕"/>
        </w:rPr>
        <w:t xml:space="preserve"> 도드-프랭크법 Title VIII에 따라 FSOC가 DTC, NSCC, FICC를 시스템적으로 중요한 금융시장인프라(SIFMU)로 지정.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2017년:</w:t>
      </w:r>
      <w:r>
        <w:rPr>
          <w:rFonts w:ascii="Malgun Gothic" w:hAnsi="Malgun Gothic" w:eastAsia="맑은 고딕"/>
        </w:rPr>
        <w:t xml:space="preserve"> SEC Rule 17Ad-22(e)의 대상 청산기관 강화 기준 시행 (2017년 4월).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2017년:</w:t>
      </w:r>
      <w:r>
        <w:rPr>
          <w:rFonts w:ascii="Malgun Gothic" w:hAnsi="Malgun Gothic" w:eastAsia="맑은 고딕"/>
        </w:rPr>
        <w:t xml:space="preserve"> 미국 결제주기(Settlement Cycle)를 T+3에서 T+2로 단축 (2017년 9월).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2019년:</w:t>
      </w:r>
      <w:r>
        <w:rPr>
          <w:rFonts w:ascii="Malgun Gothic" w:hAnsi="Malgun Gothic" w:eastAsia="맑은 고딕"/>
        </w:rPr>
        <w:t xml:space="preserve"> DTCC가 EuroCCP를 Cboe Global Markets에 매각.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2022년:</w:t>
      </w:r>
      <w:r>
        <w:rPr>
          <w:rFonts w:ascii="Malgun Gothic" w:hAnsi="Malgun Gothic" w:eastAsia="맑은 고딕"/>
        </w:rPr>
        <w:t xml:space="preserve"> Project Ion DLT 기반 결제 플랫폼이 병렬 운영 환경에서 가동, 일일 100,000건 이상의 주식 거래를 처리.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2023년:</w:t>
      </w:r>
      <w:r>
        <w:rPr>
          <w:rFonts w:ascii="Malgun Gothic" w:hAnsi="Malgun Gothic" w:eastAsia="맑은 고딕"/>
        </w:rPr>
        <w:t xml:space="preserve"> DTCC가 Securrency 인수 (DTCC Digital Assets로 리브랜딩), 디지털 자산 인프라 확보.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2024년 (5월 28일):</w:t>
      </w:r>
      <w:r>
        <w:rPr>
          <w:rFonts w:ascii="Malgun Gothic" w:hAnsi="Malgun Gothic" w:eastAsia="맑은 고딕"/>
        </w:rPr>
        <w:t xml:space="preserve"> 미국 결제주기를 T+2에서 T+1으로 단축. NSCC 청산기금 약 23% (30억 USD) 감소.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2024년 (12월):</w:t>
      </w:r>
      <w:r>
        <w:rPr>
          <w:rFonts w:ascii="Malgun Gothic" w:hAnsi="Malgun Gothic" w:eastAsia="맑은 고딕"/>
        </w:rPr>
        <w:t xml:space="preserve"> SEC가 미국 국채 중앙청산 의무화 규칙 채택 (Rule 17Ad-22(e) 개정). FICC를 통한 미국 국채 현물 및 레포 거래의 중앙청산 확대 의무화. 준수 기한: 현물 2026년 12월 31일, 레포 2027년 6월 30일.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2025년 (6월):</w:t>
      </w:r>
      <w:r>
        <w:rPr>
          <w:rFonts w:ascii="Malgun Gothic" w:hAnsi="Malgun Gothic" w:eastAsia="맑은 고딕"/>
        </w:rPr>
        <w:t xml:space="preserve"> DTC 수탁자산 100조 USD 돌파.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2025년 (12월):</w:t>
      </w:r>
      <w:r>
        <w:rPr>
          <w:rFonts w:ascii="Malgun Gothic" w:hAnsi="Malgun Gothic" w:eastAsia="맑은 고딕"/>
        </w:rPr>
        <w:t xml:space="preserve"> SEC가 Canton Network에서 DTC 수탁 미국 국채의 토큰화 서비스를 DTC에 허용하는 No-Action Letter 발행.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2026년:</w:t>
      </w:r>
      <w:r>
        <w:rPr>
          <w:rFonts w:ascii="Malgun Gothic" w:hAnsi="Malgun Gothic" w:eastAsia="맑은 고딕"/>
        </w:rPr>
        <w:t xml:space="preserve"> DTCC Digital Assets Solutions 신규 사업부문 출범. Canton Network 토큰화 MVP를 2026년 상반기 중 통제된 운영 환경에서 가동 예정.</w:t>
      </w:r>
    </w:p>
    <w:p>
      <w:pPr>
        <w:pStyle w:val="Heading3"/>
      </w:pPr>
      <w:r>
        <w:rPr>
          <w:rFonts w:ascii="Malgun Gothic" w:hAnsi="Malgun Gothic" w:eastAsia="맑은 고딕"/>
        </w:rPr>
        <w:t>주요 재무 데이터 (2024년) (Key Financial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지표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수치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매출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24.9억 USD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당기순이익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4.88억 USD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EBITDA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6.09억 USD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총자산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1,226억 USD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총자본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43억 USD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직원 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약 5,000명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처리 증권거래 규모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3.7경(quadrillion) USD (금액 기준)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수탁자산 (DTC)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99조 USD (2024년); 2025년 6월 100조 USD 초과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수탁 증권 종목 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170개 이상 국가·지역에서 144만 건 이상</w:t>
            </w:r>
          </w:p>
        </w:tc>
      </w:tr>
    </w:tbl>
    <w:p/>
    <w:p>
      <w:r>
        <w:rPr>
          <w:rFonts w:ascii="Malgun Gothic" w:hAnsi="Malgun Gothic" w:eastAsia="맑은 고딕"/>
        </w:rPr>
        <w:t>*출처: DTCC 2024 Annual Report (</w:t>
      </w:r>
      <w:r>
        <w:rPr>
          <w:rFonts w:ascii="Malgun Gothic" w:hAnsi="Malgun Gothic" w:eastAsia="맑은 고딕"/>
          <w:color w:val="0563C1"/>
          <w:u w:val="single"/>
        </w:rPr>
        <w:t>dtcc.com/annuals/2024</w:t>
      </w:r>
      <w:r>
        <w:rPr>
          <w:rFonts w:ascii="Malgun Gothic" w:hAnsi="Malgun Gothic" w:eastAsia="맑은 고딕"/>
        </w:rPr>
        <w:t>); DTCC Wikipedia (</w:t>
      </w:r>
      <w:r>
        <w:rPr>
          <w:rFonts w:ascii="Malgun Gothic" w:hAnsi="Malgun Gothic" w:eastAsia="맑은 고딕"/>
          <w:color w:val="0563C1"/>
          <w:u w:val="single"/>
        </w:rPr>
        <w:t>en.wikipedia.org</w:t>
      </w:r>
      <w:r>
        <w:rPr>
          <w:rFonts w:ascii="Malgun Gothic" w:hAnsi="Malgun Gothic" w:eastAsia="맑은 고딕"/>
        </w:rPr>
        <w:t>)*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2. 청산 모델 (Clearing Model)</w:t>
      </w:r>
    </w:p>
    <w:p>
      <w:pPr>
        <w:pStyle w:val="Heading3"/>
      </w:pPr>
      <w:r>
        <w:rPr>
          <w:rFonts w:ascii="Malgun Gothic" w:hAnsi="Malgun Gothic" w:eastAsia="맑은 고딕"/>
        </w:rPr>
        <w:t>2.1 CCP 서비스 (CCP Services)</w:t>
      </w:r>
    </w:p>
    <w:p>
      <w:r>
        <w:rPr>
          <w:rFonts w:ascii="Malgun Gothic" w:hAnsi="Malgun Gothic" w:eastAsia="맑은 고딕"/>
        </w:rPr>
        <w:t>DTCC는 NSCC (주식 및 관련 상품)와 FICC (채권) 두 자회사를 통해 CCP 서비스를 제공한다. DTC는 중앙예탁기관(CSD) 및 결제 플랫폼으로 기능한다.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하위 기관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상품군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서비스 설명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규모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NSCC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주식, ETF, ADR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CNS 시스템을 통한 거래 비교, 차감, CCP 보증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일일 최대 처리 금액: 5.55조 USD (2025년 4월 9일); 약 4,000 참가자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NSCC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회사채 및 지방채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회사채·지방채 청산 및 결제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NSCC 전체 거래량에 포함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NSCC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UIT, 뮤추얼펀드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Fund/SERV 및 Networking 서비스를 통한 뮤추얼펀드 처리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--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FICC-GSD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미국 국채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거래 비교, 차감, 결제, 국채·정부기관채 CCP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일일 최대 거래량: 13.2조 USD (2025년 12월 1일); 2024년 전년 대비 42% 활동 증가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FICC-GSD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레포 (GCF Repo, Sponsored GC, Triparty 포함)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레포 거래의 CCP 청산; 바이사이드를 위한 Sponsored Member 접근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바이사이드 최대 활동: 3.1조 USD (2025년 12월 31일)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FICC-MBSD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주택저당증권 (MBS)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TBA 및 특정 풀 MBS의 거래 비교, 차감, 풀 통지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--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DTC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모든 적격 증권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중앙예탁, 장부대체 소유권 이전, 수탁, 자산 서비스, 기업 이벤트(corporate actions)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수탁자산 100조 USD 이상 (2025년)</w:t>
            </w:r>
          </w:p>
        </w:tc>
      </w:tr>
    </w:tbl>
    <w:p/>
    <w:p>
      <w:r>
        <w:rPr>
          <w:rFonts w:ascii="Malgun Gothic" w:hAnsi="Malgun Gothic" w:eastAsia="맑은 고딕"/>
        </w:rPr>
        <w:t>*출처: DTCC 2024 Annual Report; DTCC 보도자료 (</w:t>
      </w:r>
      <w:r>
        <w:rPr>
          <w:rFonts w:ascii="Malgun Gothic" w:hAnsi="Malgun Gothic" w:eastAsia="맑은 고딕"/>
          <w:color w:val="0563C1"/>
          <w:u w:val="single"/>
        </w:rPr>
        <w:t>dtcc.com/news</w:t>
      </w:r>
      <w:r>
        <w:rPr>
          <w:rFonts w:ascii="Malgun Gothic" w:hAnsi="Malgun Gothic" w:eastAsia="맑은 고딕"/>
        </w:rPr>
        <w:t>); FICC GSD FAQ (</w:t>
      </w:r>
      <w:r>
        <w:rPr>
          <w:rFonts w:ascii="Malgun Gothic" w:hAnsi="Malgun Gothic" w:eastAsia="맑은 고딕"/>
          <w:color w:val="0563C1"/>
          <w:u w:val="single"/>
        </w:rPr>
        <w:t>dtcc.com/ustclearing</w:t>
      </w:r>
      <w:r>
        <w:rPr>
          <w:rFonts w:ascii="Malgun Gothic" w:hAnsi="Malgun Gothic" w:eastAsia="맑은 고딕"/>
        </w:rPr>
        <w:t>)*</w:t>
      </w:r>
    </w:p>
    <w:p>
      <w:pPr>
        <w:pStyle w:val="Heading3"/>
      </w:pPr>
      <w:r>
        <w:rPr>
          <w:rFonts w:ascii="Malgun Gothic" w:hAnsi="Malgun Gothic" w:eastAsia="맑은 고딕"/>
        </w:rPr>
        <w:t>2.2 채무인수 절차 (Novation Process)</w:t>
      </w:r>
    </w:p>
    <w:p>
      <w:r>
        <w:rPr>
          <w:rFonts w:ascii="Malgun Gothic" w:hAnsi="Malgun Gothic" w:eastAsia="맑은 고딕"/>
          <w:b/>
        </w:rPr>
        <w:t>NSCC (CNS 시스템):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NSCC는 </w:t>
      </w:r>
      <w:r>
        <w:rPr>
          <w:rFonts w:ascii="Malgun Gothic" w:hAnsi="Malgun Gothic" w:eastAsia="맑은 고딕"/>
          <w:b/>
        </w:rPr>
        <w:t>채무인수(Novation)</w:t>
      </w:r>
      <w:r>
        <w:rPr>
          <w:rFonts w:ascii="Malgun Gothic" w:hAnsi="Malgun Gothic" w:eastAsia="맑은 고딕"/>
        </w:rPr>
        <w:t>를 통해 CCP로서 개입한다 -- 거래 비교 및 기록 시점에 NSCC가 매수자와 매도자 양쪽의 법적 거래상대방이 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CNS (Continuous Net Settlement)</w:t>
      </w:r>
      <w:r>
        <w:rPr>
          <w:rFonts w:ascii="Malgun Gothic" w:hAnsi="Malgun Gothic" w:eastAsia="맑은 고딕"/>
        </w:rPr>
        <w:t xml:space="preserve"> 시스템은 NSCC의 핵심 차감·결제 엔진이다. CNS 적격 증권의 모든 비교 완료 거래는 참가자별·결제일별로 CUSIP 기준 순매수(long) 또는 순매도(short) 포지션으로 차감된다.</w:t>
      </w:r>
    </w:p>
    <w:p>
      <w:pPr>
        <w:pStyle w:val="ListBullet"/>
      </w:pPr>
      <w:r>
        <w:rPr>
          <w:rFonts w:ascii="Malgun Gothic" w:hAnsi="Malgun Gothic" w:eastAsia="맑은 고딕"/>
        </w:rPr>
        <w:t>NSCC는 CNS 시스템에 수용된 거래의 결제 완료를 보증한다.</w:t>
      </w:r>
    </w:p>
    <w:p>
      <w:r>
        <w:rPr>
          <w:rFonts w:ascii="Malgun Gothic" w:hAnsi="Malgun Gothic" w:eastAsia="맑은 고딕"/>
          <w:b/>
        </w:rPr>
        <w:t>FICC (GSD 및 MBSD):</w:t>
      </w:r>
    </w:p>
    <w:p>
      <w:pPr>
        <w:pStyle w:val="ListBullet"/>
      </w:pPr>
      <w:r>
        <w:rPr>
          <w:rFonts w:ascii="Malgun Gothic" w:hAnsi="Malgun Gothic" w:eastAsia="맑은 고딕"/>
        </w:rPr>
        <w:t>FICC도 마찬가지로 거래를 채무인수하여 각 차감회원(Netting Member)의 CCP가 된다.</w:t>
      </w:r>
    </w:p>
    <w:p>
      <w:pPr>
        <w:pStyle w:val="ListBullet"/>
      </w:pPr>
      <w:r>
        <w:rPr>
          <w:rFonts w:ascii="Malgun Gothic" w:hAnsi="Malgun Gothic" w:eastAsia="맑은 고딕"/>
        </w:rPr>
        <w:t>GSD는 실시간 거래 비교 시스템을 사용하며 결제를 위해 거래를 차감한다.</w:t>
      </w:r>
    </w:p>
    <w:p>
      <w:pPr>
        <w:pStyle w:val="ListBullet"/>
      </w:pPr>
      <w:r>
        <w:rPr>
          <w:rFonts w:ascii="Malgun Gothic" w:hAnsi="Malgun Gothic" w:eastAsia="맑은 고딕"/>
        </w:rPr>
        <w:t>MBSD는 EPN (Electronic Pool Notification)을 제공하고 TBA (To-Be-Announced) 거래를 처리한다.</w:t>
      </w:r>
    </w:p>
    <w:p>
      <w:r>
        <w:rPr>
          <w:rFonts w:ascii="Malgun Gothic" w:hAnsi="Malgun Gothic" w:eastAsia="맑은 고딕"/>
        </w:rPr>
        <w:t>*출처: NSCC Disclosure Framework (</w:t>
      </w:r>
      <w:r>
        <w:rPr>
          <w:rFonts w:ascii="Malgun Gothic" w:hAnsi="Malgun Gothic" w:eastAsia="맑은 고딕"/>
          <w:color w:val="0563C1"/>
          <w:u w:val="single"/>
        </w:rPr>
        <w:t>dtcc.com</w:t>
      </w:r>
      <w:r>
        <w:rPr>
          <w:rFonts w:ascii="Malgun Gothic" w:hAnsi="Malgun Gothic" w:eastAsia="맑은 고딕"/>
        </w:rPr>
        <w:t>); CNS 개요 (</w:t>
      </w:r>
      <w:r>
        <w:rPr>
          <w:rFonts w:ascii="Malgun Gothic" w:hAnsi="Malgun Gothic" w:eastAsia="맑은 고딕"/>
          <w:color w:val="0563C1"/>
          <w:u w:val="single"/>
        </w:rPr>
        <w:t>dtcclearning.com</w:t>
      </w:r>
      <w:r>
        <w:rPr>
          <w:rFonts w:ascii="Malgun Gothic" w:hAnsi="Malgun Gothic" w:eastAsia="맑은 고딕"/>
        </w:rPr>
        <w:t>)*</w:t>
      </w:r>
    </w:p>
    <w:p>
      <w:pPr>
        <w:pStyle w:val="Heading3"/>
      </w:pPr>
      <w:r>
        <w:rPr>
          <w:rFonts w:ascii="Malgun Gothic" w:hAnsi="Malgun Gothic" w:eastAsia="맑은 고딕"/>
        </w:rPr>
        <w:t>2.3 차감 (Netting)</w:t>
      </w:r>
    </w:p>
    <w:p>
      <w:r>
        <w:rPr>
          <w:rFonts w:ascii="Malgun Gothic" w:hAnsi="Malgun Gothic" w:eastAsia="맑은 고딕"/>
          <w:b/>
        </w:rPr>
        <w:t>NSCC: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CNS를 통한 </w:t>
      </w:r>
      <w:r>
        <w:rPr>
          <w:rFonts w:ascii="Malgun Gothic" w:hAnsi="Malgun Gothic" w:eastAsia="맑은 고딕"/>
          <w:b/>
        </w:rPr>
        <w:t>다자간차감(Multilateral Netting)</w:t>
      </w:r>
      <w:r>
        <w:rPr>
          <w:rFonts w:ascii="Malgun Gothic" w:hAnsi="Malgun Gothic" w:eastAsia="맑은 고딕"/>
        </w:rPr>
        <w:t xml:space="preserve">은 매일 교환해야 하는 결제 금액을 평균 </w:t>
      </w:r>
      <w:r>
        <w:rPr>
          <w:rFonts w:ascii="Malgun Gothic" w:hAnsi="Malgun Gothic" w:eastAsia="맑은 고딕"/>
          <w:b/>
        </w:rPr>
        <w:t>98%</w:t>
      </w:r>
      <w:r>
        <w:rPr>
          <w:rFonts w:ascii="Malgun Gothic" w:hAnsi="Malgun Gothic" w:eastAsia="맑은 고딕"/>
        </w:rPr>
        <w:t xml:space="preserve"> 감소시킨다.</w:t>
      </w:r>
    </w:p>
    <w:p>
      <w:pPr>
        <w:pStyle w:val="ListBullet"/>
      </w:pPr>
      <w:r>
        <w:rPr>
          <w:rFonts w:ascii="Malgun Gothic" w:hAnsi="Malgun Gothic" w:eastAsia="맑은 고딕"/>
        </w:rPr>
        <w:t>각 증권은 참가자별로 하나의 포지션으로 차감되어, 결제 의무 건수를 획기적으로 줄인다.</w:t>
      </w:r>
    </w:p>
    <w:p>
      <w:r>
        <w:rPr>
          <w:rFonts w:ascii="Malgun Gothic" w:hAnsi="Malgun Gothic" w:eastAsia="맑은 고딕"/>
          <w:b/>
        </w:rPr>
        <w:t>FICC-GSD:</w:t>
      </w:r>
    </w:p>
    <w:p>
      <w:pPr>
        <w:pStyle w:val="ListBullet"/>
      </w:pPr>
      <w:r>
        <w:rPr>
          <w:rFonts w:ascii="Malgun Gothic" w:hAnsi="Malgun Gothic" w:eastAsia="맑은 고딕"/>
        </w:rPr>
        <w:t>차감회원 간 미국 국채 거래의 다자간차감.</w:t>
      </w:r>
    </w:p>
    <w:p>
      <w:pPr>
        <w:pStyle w:val="ListBullet"/>
      </w:pPr>
      <w:r>
        <w:rPr>
          <w:rFonts w:ascii="Malgun Gothic" w:hAnsi="Malgun Gothic" w:eastAsia="맑은 고딕"/>
        </w:rPr>
        <w:t>일일 거래량이 10조 USD를 초과하는 상황에서 차감 효율성은 매우 중요하다.</w:t>
      </w:r>
    </w:p>
    <w:p>
      <w:r>
        <w:rPr>
          <w:rFonts w:ascii="Malgun Gothic" w:hAnsi="Malgun Gothic" w:eastAsia="맑은 고딕"/>
          <w:b/>
        </w:rPr>
        <w:t>FICC-MBSD:</w:t>
      </w:r>
    </w:p>
    <w:p>
      <w:pPr>
        <w:pStyle w:val="ListBullet"/>
      </w:pPr>
      <w:r>
        <w:rPr>
          <w:rFonts w:ascii="Malgun Gothic" w:hAnsi="Malgun Gothic" w:eastAsia="맑은 고딕"/>
        </w:rPr>
        <w:t>TBA 및 특정 풀 MBS 거래를 차감하여 순인도 의무를 산출한다.</w:t>
      </w:r>
    </w:p>
    <w:p>
      <w:r>
        <w:rPr>
          <w:rFonts w:ascii="Malgun Gothic" w:hAnsi="Malgun Gothic" w:eastAsia="맑은 고딕"/>
        </w:rPr>
        <w:t>*출처: DTCC CNS 페이지 (</w:t>
      </w:r>
      <w:r>
        <w:rPr>
          <w:rFonts w:ascii="Malgun Gothic" w:hAnsi="Malgun Gothic" w:eastAsia="맑은 고딕"/>
          <w:color w:val="0563C1"/>
          <w:u w:val="single"/>
        </w:rPr>
        <w:t>dtcc.com</w:t>
      </w:r>
      <w:r>
        <w:rPr>
          <w:rFonts w:ascii="Malgun Gothic" w:hAnsi="Malgun Gothic" w:eastAsia="맑은 고딕"/>
        </w:rPr>
        <w:t>); SIFMA Insights (</w:t>
      </w:r>
      <w:r>
        <w:rPr>
          <w:rFonts w:ascii="Malgun Gothic" w:hAnsi="Malgun Gothic" w:eastAsia="맑은 고딕"/>
          <w:color w:val="0563C1"/>
          <w:u w:val="single"/>
        </w:rPr>
        <w:t>sifma.org</w:t>
      </w:r>
      <w:r>
        <w:rPr>
          <w:rFonts w:ascii="Malgun Gothic" w:hAnsi="Malgun Gothic" w:eastAsia="맑은 고딕"/>
        </w:rPr>
        <w:t>)*</w:t>
      </w:r>
    </w:p>
    <w:p>
      <w:pPr>
        <w:pStyle w:val="Heading3"/>
      </w:pPr>
      <w:r>
        <w:rPr>
          <w:rFonts w:ascii="Malgun Gothic" w:hAnsi="Malgun Gothic" w:eastAsia="맑은 고딕"/>
        </w:rPr>
        <w:t>2.4 청산회원 제도 (Clearing Membership)</w:t>
      </w:r>
    </w:p>
    <w:p>
      <w:pPr>
        <w:pStyle w:val="Heading3"/>
      </w:pPr>
      <w:r>
        <w:rPr>
          <w:rFonts w:ascii="Malgun Gothic" w:hAnsi="Malgun Gothic" w:eastAsia="맑은 고딕"/>
        </w:rPr>
        <w:t>NSCC 회원 제도 (NSCC Membership)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등급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요건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풀서비스 청산회원 (Full-Service Clearing Member)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SEC 등록 브로커-딜러; 단계별 VaR 기반 최소 잉여순자본 (2023년 8월 시행); 최소 청산기금 예치금 250,000 USD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자기 및 위탁 청산 가능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대리 청산회원 (Correspondent Clearing Member)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풀서비스 회원을 통해 청산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NSCC 직접 접근 불가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펀드 회원 (Fund Member)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Fund/SERV 이용 투자회사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--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보험사/대리인 회원 (Insurance Carrier/Agent Member)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보험 및 퇴직연금 상품 처리용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--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지방채 비교전용 회원 (Municipal Comparison Only Member)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지방채 비교 서비스만 이용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--</w:t>
            </w:r>
          </w:p>
        </w:tc>
      </w:tr>
    </w:tbl>
    <w:p/>
    <w:p>
      <w:pPr>
        <w:pStyle w:val="ListBullet"/>
      </w:pPr>
      <w:r>
        <w:rPr>
          <w:rFonts w:ascii="Malgun Gothic" w:hAnsi="Malgun Gothic" w:eastAsia="맑은 고딕"/>
          <w:b/>
        </w:rPr>
        <w:t>NSCC 총 참가자 수:</w:t>
      </w:r>
      <w:r>
        <w:rPr>
          <w:rFonts w:ascii="Malgun Gothic" w:hAnsi="Malgun Gothic" w:eastAsia="맑은 고딕"/>
        </w:rPr>
        <w:t xml:space="preserve"> 약 4,000</w:t>
      </w:r>
    </w:p>
    <w:p>
      <w:pPr>
        <w:pStyle w:val="ListBullet"/>
      </w:pPr>
      <w:r>
        <w:rPr>
          <w:rFonts w:ascii="Malgun Gothic" w:hAnsi="Malgun Gothic" w:eastAsia="맑은 고딕"/>
        </w:rPr>
        <w:t>순자본 요건은 자기청산 여부 및 위탁 청산 여부, 회원의 일일 VaR 계산에 따른 단계별 방식을 적용한다.</w:t>
      </w:r>
    </w:p>
    <w:p>
      <w:pPr>
        <w:pStyle w:val="Heading3"/>
      </w:pPr>
      <w:r>
        <w:rPr>
          <w:rFonts w:ascii="Malgun Gothic" w:hAnsi="Malgun Gothic" w:eastAsia="맑은 고딕"/>
        </w:rPr>
        <w:t>FICC-GSD 회원 제도 (FICC-GSD Membership)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등급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요건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차감회원 (Netting Member)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은행: 최소 자기자본 1억 USD; 브로커-딜러: SEC 순자본 요건; 최소 청산기금 예치금 1,000,000 USD (2022년 인상)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전면적 청산 및 차감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스폰서링 회원 (Sponsoring Member)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차감회원이어야 함; 기관투자자(Sponsored Member)를 GSD에 후원 가입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차감 및 후원 활동에 대한 별도 청산기금 예치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스폰서드 회원 (Sponsored Member)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스폰서링 회원이 후원하는 기관투자자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정식 차감회원 가입 없이 GSD 청산 이용 가능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비교전용 회원 (Comparison-Only Member)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거래 비교 서비스만 이용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차감이나 CCP 보증 없음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FICC-MBSD 회원 제도 (FICC-MBSD Membership)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등급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요건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청산회원 (Clearing Member)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최소 순자본 및 청산기금 예치 요건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전면적 차감 및 결제</w:t>
            </w:r>
          </w:p>
        </w:tc>
      </w:tr>
    </w:tbl>
    <w:p/>
    <w:p>
      <w:r>
        <w:rPr>
          <w:rFonts w:ascii="Malgun Gothic" w:hAnsi="Malgun Gothic" w:eastAsia="맑은 고딕"/>
        </w:rPr>
        <w:t>*출처: NSCC Rules &amp; Procedures (</w:t>
      </w:r>
      <w:r>
        <w:rPr>
          <w:rFonts w:ascii="Malgun Gothic" w:hAnsi="Malgun Gothic" w:eastAsia="맑은 고딕"/>
          <w:color w:val="0563C1"/>
          <w:u w:val="single"/>
        </w:rPr>
        <w:t>dtcc.com</w:t>
      </w:r>
      <w:r>
        <w:rPr>
          <w:rFonts w:ascii="Malgun Gothic" w:hAnsi="Malgun Gothic" w:eastAsia="맑은 고딕"/>
        </w:rPr>
        <w:t>); FICC GSD Membership Types (</w:t>
      </w:r>
      <w:r>
        <w:rPr>
          <w:rFonts w:ascii="Malgun Gothic" w:hAnsi="Malgun Gothic" w:eastAsia="맑은 고딕"/>
          <w:color w:val="0563C1"/>
          <w:u w:val="single"/>
        </w:rPr>
        <w:t>dtcc.com</w:t>
      </w:r>
      <w:r>
        <w:rPr>
          <w:rFonts w:ascii="Malgun Gothic" w:hAnsi="Malgun Gothic" w:eastAsia="맑은 고딕"/>
        </w:rPr>
        <w:t>); SEC Order SR-FICC-2022-007 (</w:t>
      </w:r>
      <w:r>
        <w:rPr>
          <w:rFonts w:ascii="Malgun Gothic" w:hAnsi="Malgun Gothic" w:eastAsia="맑은 고딕"/>
          <w:color w:val="0563C1"/>
          <w:u w:val="single"/>
        </w:rPr>
        <w:t>federalregister.gov</w:t>
      </w:r>
      <w:r>
        <w:rPr>
          <w:rFonts w:ascii="Malgun Gothic" w:hAnsi="Malgun Gothic" w:eastAsia="맑은 고딕"/>
        </w:rPr>
        <w:t>); SEC Order SR-NSCC-2021-013 (</w:t>
      </w:r>
      <w:r>
        <w:rPr>
          <w:rFonts w:ascii="Malgun Gothic" w:hAnsi="Malgun Gothic" w:eastAsia="맑은 고딕"/>
          <w:color w:val="0563C1"/>
          <w:u w:val="single"/>
        </w:rPr>
        <w:t>federalregister.gov</w:t>
      </w:r>
      <w:r>
        <w:rPr>
          <w:rFonts w:ascii="Malgun Gothic" w:hAnsi="Malgun Gothic" w:eastAsia="맑은 고딕"/>
        </w:rPr>
        <w:t>)*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3. 리스크 관리 (Risk Management)</w:t>
      </w:r>
    </w:p>
    <w:p>
      <w:pPr>
        <w:pStyle w:val="Heading3"/>
      </w:pPr>
      <w:r>
        <w:rPr>
          <w:rFonts w:ascii="Malgun Gothic" w:hAnsi="Malgun Gothic" w:eastAsia="맑은 고딕"/>
        </w:rPr>
        <w:t>3.1 증거금 체계 (Margin Framework)</w:t>
      </w:r>
    </w:p>
    <w:p>
      <w:pPr>
        <w:pStyle w:val="Heading3"/>
      </w:pPr>
      <w:r>
        <w:rPr>
          <w:rFonts w:ascii="Malgun Gothic" w:hAnsi="Malgun Gothic" w:eastAsia="맑은 고딕"/>
        </w:rPr>
        <w:t>NSCC 증거금 (청산기금 예치금, Required Fund Deposit)</w:t>
      </w:r>
    </w:p>
    <w:p>
      <w:r>
        <w:rPr>
          <w:rFonts w:ascii="Malgun Gothic" w:hAnsi="Malgun Gothic" w:eastAsia="맑은 고딕"/>
        </w:rPr>
        <w:t xml:space="preserve">각 NSCC 회원의 </w:t>
      </w:r>
      <w:r>
        <w:rPr>
          <w:rFonts w:ascii="Malgun Gothic" w:hAnsi="Malgun Gothic" w:eastAsia="맑은 고딕"/>
          <w:b/>
        </w:rPr>
        <w:t>청산기금 예치금(Required Fund Deposit)</w:t>
      </w:r>
      <w:r>
        <w:rPr>
          <w:rFonts w:ascii="Malgun Gothic" w:hAnsi="Malgun Gothic" w:eastAsia="맑은 고딕"/>
        </w:rPr>
        <w:t>이 증거금으로 기능한다. 예치금은 다수의 구성요소로 이루어진다: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구성요소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방법론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 내용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변동성 차지 (VaR Charge)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모수적 VaR (Parametric Value-at-Risk)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(1) 두 가지 VaR 모델 계산 중 큰 값, (2) 집중도 한도를 초과하는 최대 비지수 포지션의 갭 리스크 측정치, (3) 장단 시가 기반 포트폴리오 증거금 하한 중 최대값으로 산출. </w:t>
            </w:r>
            <w:r>
              <w:rPr>
                <w:rFonts w:ascii="Malgun Gothic" w:hAnsi="Malgun Gothic" w:eastAsia="맑은 고딕"/>
                <w:b/>
              </w:rPr>
              <w:t>99% 신뢰수준</w:t>
            </w:r>
            <w:r>
              <w:rPr>
                <w:rFonts w:ascii="Malgun Gothic" w:hAnsi="Malgun Gothic" w:eastAsia="맑은 고딕"/>
              </w:rPr>
              <w:t xml:space="preserve">, </w:t>
            </w:r>
            <w:r>
              <w:rPr>
                <w:rFonts w:ascii="Malgun Gothic" w:hAnsi="Malgun Gothic" w:eastAsia="맑은 고딕"/>
                <w:b/>
              </w:rPr>
              <w:t>3일 청산기간(MPOR)</w:t>
            </w:r>
            <w:r>
              <w:rPr>
                <w:rFonts w:ascii="Malgun Gothic" w:hAnsi="Malgun Gothic" w:eastAsia="맑은 고딕"/>
              </w:rPr>
              <w:t xml:space="preserve"> 기준. 과거 가격 데이터의 회고기간을 사용한다.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시가평가 차지 (Mark-to-Market Charge)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현재 시장가치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미결제 순포지션의 미실현 손익 반영 (일반 MTM 및 ID Net MTM)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증거금 차액 (Margin Requirement Differential, MRD)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보충적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NSCC 증거금과 거래소/OCC 증거금 간 차이를 다룸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증거금 유동성 조정 (Margin Liquidity Adjustment, MLA)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유동성 기반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유동성이 낮은 증권의 유동성 리스크 반영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초과자본 프리미엄 (Excess Capital Premium)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자본 기반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자본 대비 익스포저가 큰 회원에 대한 추가 부과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특별 부과금 (Special Charges)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다양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지방채 헤어컷 차지, 반경기순환적(anti-cyclical) 부과금 등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장중 변동성 차지 (Intraday Volatility Charge)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장중 VaR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장중 변동성 변화가 개장 시 차지의 100% 이상이면서 250,000 USD 초과 시 부과 (2023년 3월 도입)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장중 시가평가 차지 (Intraday Mark-to-Market Charge)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장중 MTM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MTM 익스포저 변동에 따른 재량적 장중 징수</w:t>
            </w:r>
          </w:p>
        </w:tc>
      </w:tr>
    </w:tbl>
    <w:p/>
    <w:p>
      <w:r>
        <w:rPr>
          <w:rFonts w:ascii="Malgun Gothic" w:hAnsi="Malgun Gothic" w:eastAsia="맑은 고딕"/>
          <w:b/>
        </w:rPr>
        <w:t>최소 청산기금 예치금:</w:t>
      </w:r>
      <w:r>
        <w:rPr>
          <w:rFonts w:ascii="Malgun Gothic" w:hAnsi="Malgun Gothic" w:eastAsia="맑은 고딕"/>
        </w:rPr>
        <w:t xml:space="preserve"> 회원당 250,000 USD.</w:t>
      </w:r>
    </w:p>
    <w:p>
      <w:pPr>
        <w:pStyle w:val="Heading3"/>
      </w:pPr>
      <w:r>
        <w:rPr>
          <w:rFonts w:ascii="Malgun Gothic" w:hAnsi="Malgun Gothic" w:eastAsia="맑은 고딕"/>
        </w:rPr>
        <w:t>FICC-GSD 증거금 (청산기금 예치금)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구성요소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방법론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 내용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VaR Charge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VaR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정상 시장 상황에서의 </w:t>
            </w:r>
            <w:r>
              <w:rPr>
                <w:rFonts w:ascii="Malgun Gothic" w:hAnsi="Malgun Gothic" w:eastAsia="맑은 고딕"/>
                <w:b/>
              </w:rPr>
              <w:t>3일 청산기간</w:t>
            </w:r>
            <w:r>
              <w:rPr>
                <w:rFonts w:ascii="Malgun Gothic" w:hAnsi="Malgun Gothic" w:eastAsia="맑은 고딕"/>
              </w:rPr>
              <w:t xml:space="preserve"> 잠재 손실 커버; 역사적 시뮬레이션 방법론 사용; Cover 1 기준 신뢰수준 목표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시가평가 (Mark-to-Market)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현재 시장가치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미실현 손익의 일일 정산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변동성 이벤트 차지 (Volatility Event Charge)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이벤트 기반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시장 변동성 고조 시 추가 부과 (2025년 4월 승인)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최소 증거금 (Minimum Margin Amount)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하한선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VaR 계산 결과와 무관한 최소 증거금 수준 (2024년 11월 승인)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커버리지 차지 (Coverage Charge)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사후검증 기반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사후검증에서 커버리지 부족이 확인될 때 부과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차단기간 익스포저 차지 (Blackout Period Exposure Charge)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시간적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GSD 결제 차단기간 중 리스크 반영</w:t>
            </w:r>
          </w:p>
        </w:tc>
      </w:tr>
    </w:tbl>
    <w:p/>
    <w:p>
      <w:r>
        <w:rPr>
          <w:rFonts w:ascii="Malgun Gothic" w:hAnsi="Malgun Gothic" w:eastAsia="맑은 고딕"/>
          <w:b/>
        </w:rPr>
        <w:t>GSD 최소 청산기금 예치금:</w:t>
      </w:r>
      <w:r>
        <w:rPr>
          <w:rFonts w:ascii="Malgun Gothic" w:hAnsi="Malgun Gothic" w:eastAsia="맑은 고딕"/>
        </w:rPr>
        <w:t xml:space="preserve"> 차감회원당 1,000,000 USD (2022년 인상).</w:t>
      </w:r>
    </w:p>
    <w:p>
      <w:pPr>
        <w:pStyle w:val="Heading3"/>
      </w:pPr>
      <w:r>
        <w:rPr>
          <w:rFonts w:ascii="Malgun Gothic" w:hAnsi="Malgun Gothic" w:eastAsia="맑은 고딕"/>
        </w:rPr>
        <w:t>FICC-MBSD 증거금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구성요소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방법론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 내용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VaR Charge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VaR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MBS 포지션의 포트폴리오 수준 VaR 계산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시가평가 (Mark-to-Market)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현재 시장가치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일일 MTM 정산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추가 부과금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다양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집중도 차지 및 커버리지 차지 등</w:t>
            </w:r>
          </w:p>
        </w:tc>
      </w:tr>
    </w:tbl>
    <w:p/>
    <w:p>
      <w:r>
        <w:rPr>
          <w:rFonts w:ascii="Malgun Gothic" w:hAnsi="Malgun Gothic" w:eastAsia="맑은 고딕"/>
        </w:rPr>
        <w:t>*출처: NSCC Disclosure Framework; SEC Rule Filings SR-NSCC-2023-003 (</w:t>
      </w:r>
      <w:r>
        <w:rPr>
          <w:rFonts w:ascii="Malgun Gothic" w:hAnsi="Malgun Gothic" w:eastAsia="맑은 고딕"/>
          <w:color w:val="0563C1"/>
          <w:u w:val="single"/>
        </w:rPr>
        <w:t>federalregister.gov</w:t>
      </w:r>
      <w:r>
        <w:rPr>
          <w:rFonts w:ascii="Malgun Gothic" w:hAnsi="Malgun Gothic" w:eastAsia="맑은 고딕"/>
        </w:rPr>
        <w:t>); SR-NSCC-2023-013 (</w:t>
      </w:r>
      <w:r>
        <w:rPr>
          <w:rFonts w:ascii="Malgun Gothic" w:hAnsi="Malgun Gothic" w:eastAsia="맑은 고딕"/>
          <w:color w:val="0563C1"/>
          <w:u w:val="single"/>
        </w:rPr>
        <w:t>federalregister.gov</w:t>
      </w:r>
      <w:r>
        <w:rPr>
          <w:rFonts w:ascii="Malgun Gothic" w:hAnsi="Malgun Gothic" w:eastAsia="맑은 고딕"/>
        </w:rPr>
        <w:t>); GSD Clearing Fund Methodology Overview (</w:t>
      </w:r>
      <w:r>
        <w:rPr>
          <w:rFonts w:ascii="Malgun Gothic" w:hAnsi="Malgun Gothic" w:eastAsia="맑은 고딕"/>
          <w:color w:val="0563C1"/>
          <w:u w:val="single"/>
        </w:rPr>
        <w:t>dtcc.com</w:t>
      </w:r>
      <w:r>
        <w:rPr>
          <w:rFonts w:ascii="Malgun Gothic" w:hAnsi="Malgun Gothic" w:eastAsia="맑은 고딕"/>
        </w:rPr>
        <w:t>); SR-FICC-2024-005 (</w:t>
      </w:r>
      <w:r>
        <w:rPr>
          <w:rFonts w:ascii="Malgun Gothic" w:hAnsi="Malgun Gothic" w:eastAsia="맑은 고딕"/>
          <w:color w:val="0563C1"/>
          <w:u w:val="single"/>
        </w:rPr>
        <w:t>federalregister.gov</w:t>
      </w:r>
      <w:r>
        <w:rPr>
          <w:rFonts w:ascii="Malgun Gothic" w:hAnsi="Malgun Gothic" w:eastAsia="맑은 고딕"/>
        </w:rPr>
        <w:t>); SR-FICC-2025-008 (</w:t>
      </w:r>
      <w:r>
        <w:rPr>
          <w:rFonts w:ascii="Malgun Gothic" w:hAnsi="Malgun Gothic" w:eastAsia="맑은 고딕"/>
          <w:color w:val="0563C1"/>
          <w:u w:val="single"/>
        </w:rPr>
        <w:t>federalregister.gov</w:t>
      </w:r>
      <w:r>
        <w:rPr>
          <w:rFonts w:ascii="Malgun Gothic" w:hAnsi="Malgun Gothic" w:eastAsia="맑은 고딕"/>
        </w:rPr>
        <w:t>)*</w:t>
      </w:r>
    </w:p>
    <w:p>
      <w:pPr>
        <w:pStyle w:val="Heading3"/>
      </w:pPr>
      <w:r>
        <w:rPr>
          <w:rFonts w:ascii="Malgun Gothic" w:hAnsi="Malgun Gothic" w:eastAsia="맑은 고딕"/>
        </w:rPr>
        <w:t>3.2 증거금 징수 일정 (Margin Call Schedule)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징수 유형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NSCC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FICC (GSD/MBSD)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정기 (개장 전)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일일 청산기금 예치금 산출 및 개장 전 징수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일일 청산기금 예치금 산출 및 징수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장중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재량적 장중 징수: 장중 변동성 차지 (익스포저가 100% 이상 증가하면서 250,000 USD 초과 시 발동) 및 장중 MTM 차지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시장 상황에 따른 장중 증거금 징수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임시 / 특별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NSCC는 Rule 15에 따라 회원의 운영능력 또는 재무건전성에 의문이 있을 경우 언제든 추가 예치를 요구할 수 있다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FICC도 스트레스 상황에서 추가 예치를 요구할 수 있다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3.3 손실부담순서 (Default Waterfall)</w:t>
      </w:r>
    </w:p>
    <w:p>
      <w:r>
        <w:rPr>
          <w:rFonts w:ascii="Malgun Gothic" w:hAnsi="Malgun Gothic" w:eastAsia="맑은 고딕"/>
        </w:rPr>
        <w:t>손실부담순서는 NSCC와 FICC에서 유사한 구조를 따르며, 각 기관은 별도의 청산기금을 운영한다. 자회사 간 상호보증 약정이 존재한다.</w:t>
      </w:r>
    </w:p>
    <w:p>
      <w:pPr>
        <w:pStyle w:val="Heading3"/>
      </w:pPr>
      <w:r>
        <w:rPr>
          <w:rFonts w:ascii="Malgun Gothic" w:hAnsi="Malgun Gothic" w:eastAsia="맑은 고딕"/>
        </w:rPr>
        <w:t>NSCC 손실부담순서 (NSCC Default Waterfall)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계층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규모 (대략)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부도회원의 증거금</w:t>
            </w:r>
            <w:r>
              <w:rPr>
                <w:rFonts w:ascii="Malgun Gothic" w:hAnsi="Malgun Gothic" w:eastAsia="맑은 고딕"/>
              </w:rPr>
              <w:t xml:space="preserve"> (청산기금 예치금)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총 약 98~110억 USD 청산기금 중 부도회원 귀속분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부도회원의 청산기금 출연분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1계층에 포함 (NSCC에서는 청산기금 예치금이 증거금과 공동기금 출연분을 겸한다)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3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NSCC CCP 자기자본 출연분 (SITG)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일반적으로 NSCC 일반사업리스크 자본 요건의 50%. [정확한 금액 미확인; 일반적 CCP SITG 규모 기준 약 2,500~5,000만 USD 추정]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4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비부도회원의 청산기금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총 약 98~110억 USD 청산기금 중 잔여분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5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추가분담금 부과 권한 (Assessment Powers, Loss Allocation)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NSCC는 모든 손실이 충당될 때까지 비부도회원에게 연속적으로 추가 출연을 부과할 수 있다. 회원별·이벤트 기간별 손실배분 한도(Loss Allocation Caps)가 적용된다.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6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상호보증 약정 (Cross-Guaranty Arrangements)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NSCC, FICC, DTC 간 상호보증 협약; OCC와도 체결. 한 자회사에서 부도회원의 초과 담보를 다른 자회사의 부족분 충당에 사용할 수 있다.</w:t>
            </w:r>
          </w:p>
        </w:tc>
      </w:tr>
    </w:tbl>
    <w:p/>
    <w:p>
      <w:r>
        <w:rPr>
          <w:rFonts w:ascii="Malgun Gothic" w:hAnsi="Malgun Gothic" w:eastAsia="맑은 고딕"/>
          <w:b/>
        </w:rPr>
        <w:t>NSCC 총 청산기금:</w:t>
      </w:r>
    </w:p>
    <w:p>
      <w:pPr>
        <w:pStyle w:val="ListBullet"/>
      </w:pPr>
      <w:r>
        <w:rPr>
          <w:rFonts w:ascii="Malgun Gothic" w:hAnsi="Malgun Gothic" w:eastAsia="맑은 고딕"/>
        </w:rPr>
        <w:t>T+1 이전 평균: 약 122~128억 USD</w:t>
      </w:r>
    </w:p>
    <w:p>
      <w:pPr>
        <w:pStyle w:val="ListBullet"/>
      </w:pPr>
      <w:r>
        <w:rPr>
          <w:rFonts w:ascii="Malgun Gothic" w:hAnsi="Malgun Gothic" w:eastAsia="맑은 고딕"/>
        </w:rPr>
        <w:t>T+1 이후 평균 (2024년 6월부터): 약 98억 USD (23% 감소)</w:t>
      </w:r>
    </w:p>
    <w:p>
      <w:pPr>
        <w:pStyle w:val="ListBullet"/>
      </w:pPr>
      <w:r>
        <w:rPr>
          <w:rFonts w:ascii="Malgun Gothic" w:hAnsi="Malgun Gothic" w:eastAsia="맑은 고딕"/>
        </w:rPr>
        <w:t>2024년 일평균: 112.4억 USD</w:t>
      </w:r>
    </w:p>
    <w:p>
      <w:r>
        <w:rPr>
          <w:rFonts w:ascii="Malgun Gothic" w:hAnsi="Malgun Gothic" w:eastAsia="맑은 고딕"/>
          <w:b/>
        </w:rPr>
        <w:t>NSCC 유동성 자원:</w:t>
      </w:r>
    </w:p>
    <w:p>
      <w:pPr>
        <w:pStyle w:val="ListBullet"/>
      </w:pPr>
      <w:r>
        <w:rPr>
          <w:rFonts w:ascii="Malgun Gothic" w:hAnsi="Malgun Gothic" w:eastAsia="맑은 고딕"/>
        </w:rPr>
        <w:t>96억 USD 확약 신용한도 (매년 갱신; 2026년 7월 27일 만기)</w:t>
      </w:r>
    </w:p>
    <w:p>
      <w:pPr>
        <w:pStyle w:val="Heading3"/>
      </w:pPr>
      <w:r>
        <w:rPr>
          <w:rFonts w:ascii="Malgun Gothic" w:hAnsi="Malgun Gothic" w:eastAsia="맑은 고딕"/>
        </w:rPr>
        <w:t>FICC 손실부담순서 (GSD와 MBSD는 별도 청산기금 운영)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계층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규모 (대략)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부도회원의 증거금</w:t>
            </w:r>
            <w:r>
              <w:rPr>
                <w:rFonts w:ascii="Malgun Gothic" w:hAnsi="Malgun Gothic" w:eastAsia="맑은 고딕"/>
              </w:rPr>
              <w:t xml:space="preserve"> (해당 부문 청산기금 예치금)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GSD/MBSD 청산기금 중 부도회원 귀속분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FICC CCP 자기자본 출연분 (SITG)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일반적으로 FICC 일반사업리스크 자본 요건의 50% [정확한 금액 미확인]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3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비부도회원의 청산기금</w:t>
            </w:r>
            <w:r>
              <w:rPr>
                <w:rFonts w:ascii="Malgun Gothic" w:hAnsi="Malgun Gothic" w:eastAsia="맑은 고딕"/>
              </w:rPr>
              <w:t xml:space="preserve"> (해당 부문)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GSD 청산기금 총액: [미확인; 2024년 Q4 PQD 기준 GSD 총 개시증거금 655억 USD를 감안하면 150~200억 USD 이상 추정]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4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부문 간 상계 (Cross-division Offset)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FICC는 GSD의 가용 순자원을 MBSD에 상계할 수 있다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5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추가분담금 부과 권한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FICC는 비부도회원에게 추가 출연을 부과할 수 있다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6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상호보증 / 교차증거금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NSCC·DTC와의 상호보증; CME와의 교차증거금 협약 (양쪽 모두 참가하는 회원 대상)</w:t>
            </w:r>
          </w:p>
        </w:tc>
      </w:tr>
    </w:tbl>
    <w:p/>
    <w:p>
      <w:r>
        <w:rPr>
          <w:rFonts w:ascii="Malgun Gothic" w:hAnsi="Malgun Gothic" w:eastAsia="맑은 고딕"/>
          <w:b/>
        </w:rPr>
        <w:t>FICC-GSD 총 개시증거금(Initial Margin) 소요액:</w:t>
      </w:r>
      <w:r>
        <w:rPr>
          <w:rFonts w:ascii="Malgun Gothic" w:hAnsi="Malgun Gothic" w:eastAsia="맑은 고딕"/>
        </w:rPr>
        <w:t xml:space="preserve"> 655억 USD (2024년 Q4 PQD 데이터; 전분기 대비 16%↑, 전년 대비 36%↑)</w:t>
      </w:r>
    </w:p>
    <w:p>
      <w:pPr>
        <w:pStyle w:val="Heading3"/>
      </w:pPr>
      <w:r>
        <w:rPr>
          <w:rFonts w:ascii="Malgun Gothic" w:hAnsi="Malgun Gothic" w:eastAsia="맑은 고딕"/>
        </w:rPr>
        <w:t>DTC 부도 자원 (Participants Fund)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계층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규모 (대략)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부도참가자의 담보 및 참가자기금 예치금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약 6억 USD 참가자기금 목표액 중 부도참가자 귀속분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DTC 자기자본 출연분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일반사업리스크 자본 요건의 50%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3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비부도 참가자기금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참가자기금 잔여분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4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추가분담금 부과 권한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DTC는 참가자에게 추가 출연을 부과할 수 있다</w:t>
            </w:r>
          </w:p>
        </w:tc>
      </w:tr>
    </w:tbl>
    <w:p/>
    <w:p>
      <w:pPr>
        <w:pStyle w:val="ListBullet"/>
      </w:pPr>
      <w:r>
        <w:rPr>
          <w:rFonts w:ascii="Malgun Gothic" w:hAnsi="Malgun Gothic" w:eastAsia="맑은 고딕"/>
          <w:b/>
        </w:rPr>
        <w:t>참가자기금 목표액:</w:t>
      </w:r>
      <w:r>
        <w:rPr>
          <w:rFonts w:ascii="Malgun Gothic" w:hAnsi="Malgun Gothic" w:eastAsia="맑은 고딕"/>
        </w:rPr>
        <w:t xml:space="preserve"> 6억 USD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최소 개별 예치금:</w:t>
      </w:r>
      <w:r>
        <w:rPr>
          <w:rFonts w:ascii="Malgun Gothic" w:hAnsi="Malgun Gothic" w:eastAsia="맑은 고딕"/>
        </w:rPr>
        <w:t xml:space="preserve"> 10,000 USD; 추가 금액은 60영업일 이동 평균 중 가장 높은 일중 순차변 6회 기준</w:t>
      </w:r>
    </w:p>
    <w:p>
      <w:r>
        <w:rPr>
          <w:rFonts w:ascii="Malgun Gothic" w:hAnsi="Malgun Gothic" w:eastAsia="맑은 고딕"/>
        </w:rPr>
        <w:t>*출처: NSCC Disclosure Framework; SIFMA Insights Spotlight DTCC (</w:t>
      </w:r>
      <w:r>
        <w:rPr>
          <w:rFonts w:ascii="Malgun Gothic" w:hAnsi="Malgun Gothic" w:eastAsia="맑은 고딕"/>
          <w:color w:val="0563C1"/>
          <w:u w:val="single"/>
        </w:rPr>
        <w:t>sifma.org</w:t>
      </w:r>
      <w:r>
        <w:rPr>
          <w:rFonts w:ascii="Malgun Gothic" w:hAnsi="Malgun Gothic" w:eastAsia="맑은 고딕"/>
        </w:rPr>
        <w:t>); CPMI-IOSCO PQD Q4 2024 (</w:t>
      </w:r>
      <w:r>
        <w:rPr>
          <w:rFonts w:ascii="Malgun Gothic" w:hAnsi="Malgun Gothic" w:eastAsia="맑은 고딕"/>
          <w:color w:val="0563C1"/>
          <w:u w:val="single"/>
        </w:rPr>
        <w:t>dtcc.com</w:t>
      </w:r>
      <w:r>
        <w:rPr>
          <w:rFonts w:ascii="Malgun Gothic" w:hAnsi="Malgun Gothic" w:eastAsia="맑은 고딕"/>
        </w:rPr>
        <w:t>); NSCC Financial Statements Annual 2024 (</w:t>
      </w:r>
      <w:r>
        <w:rPr>
          <w:rFonts w:ascii="Malgun Gothic" w:hAnsi="Malgun Gothic" w:eastAsia="맑은 고딕"/>
          <w:color w:val="0563C1"/>
          <w:u w:val="single"/>
        </w:rPr>
        <w:t>dtcc.com</w:t>
      </w:r>
      <w:r>
        <w:rPr>
          <w:rFonts w:ascii="Malgun Gothic" w:hAnsi="Malgun Gothic" w:eastAsia="맑은 고딕"/>
        </w:rPr>
        <w:t>); Finadium 분석 (</w:t>
      </w:r>
      <w:r>
        <w:rPr>
          <w:rFonts w:ascii="Malgun Gothic" w:hAnsi="Malgun Gothic" w:eastAsia="맑은 고딕"/>
          <w:color w:val="0563C1"/>
          <w:u w:val="single"/>
        </w:rPr>
        <w:t>finadium.com</w:t>
      </w:r>
      <w:r>
        <w:rPr>
          <w:rFonts w:ascii="Malgun Gothic" w:hAnsi="Malgun Gothic" w:eastAsia="맑은 고딕"/>
        </w:rPr>
        <w:t>); SIFMA/ICI/DTCC T+1 After Action Report (</w:t>
      </w:r>
      <w:r>
        <w:rPr>
          <w:rFonts w:ascii="Malgun Gothic" w:hAnsi="Malgun Gothic" w:eastAsia="맑은 고딕"/>
          <w:color w:val="0563C1"/>
          <w:u w:val="single"/>
        </w:rPr>
        <w:t>sifma.org</w:t>
      </w:r>
      <w:r>
        <w:rPr>
          <w:rFonts w:ascii="Malgun Gothic" w:hAnsi="Malgun Gothic" w:eastAsia="맑은 고딕"/>
        </w:rPr>
        <w:t>)*</w:t>
      </w:r>
    </w:p>
    <w:p>
      <w:pPr>
        <w:pStyle w:val="Heading3"/>
      </w:pPr>
      <w:r>
        <w:rPr>
          <w:rFonts w:ascii="Malgun Gothic" w:hAnsi="Malgun Gothic" w:eastAsia="맑은 고딕"/>
        </w:rPr>
        <w:t>3.4 공동기금 / 보증기금 (Default Fund / Guarantee Fund)</w:t>
      </w:r>
    </w:p>
    <w:p>
      <w:r>
        <w:rPr>
          <w:rFonts w:ascii="Malgun Gothic" w:hAnsi="Malgun Gothic" w:eastAsia="맑은 고딕"/>
          <w:b/>
        </w:rPr>
        <w:t>NSCC 청산기금:</w:t>
      </w:r>
    </w:p>
    <w:p>
      <w:pPr>
        <w:pStyle w:val="ListBullet"/>
      </w:pPr>
      <w:r>
        <w:rPr>
          <w:rFonts w:ascii="Malgun Gothic" w:hAnsi="Malgun Gothic" w:eastAsia="맑은 고딕"/>
        </w:rPr>
        <w:t>총 규모 (2024년 일평균): 약 112.4억 USD</w:t>
      </w:r>
    </w:p>
    <w:p>
      <w:pPr>
        <w:pStyle w:val="ListBullet"/>
      </w:pPr>
      <w:r>
        <w:rPr>
          <w:rFonts w:ascii="Malgun Gothic" w:hAnsi="Malgun Gothic" w:eastAsia="맑은 고딕"/>
        </w:rPr>
        <w:t>T+1 이후 평균: 약 98억 USD</w:t>
      </w:r>
    </w:p>
    <w:p>
      <w:pPr>
        <w:pStyle w:val="ListBullet"/>
      </w:pPr>
      <w:r>
        <w:rPr>
          <w:rFonts w:ascii="Malgun Gothic" w:hAnsi="Malgun Gothic" w:eastAsia="맑은 고딕"/>
        </w:rPr>
        <w:t>규모 산정 방법론: 리스크 기반. 각 회원의 청산기금 예치금은 VaR Charge, MTM, 보충적 구성요소를 기반으로 산출된다. 총기금은 극단적이지만 현실적인 시장 상황에서 최대 익스포저를 발생시키는 단일 회원(계열사 포함)의 부도를 충당할 수 있도록 설계된다 (Cover 1 기준).</w:t>
      </w:r>
    </w:p>
    <w:p>
      <w:pPr>
        <w:pStyle w:val="ListBullet"/>
      </w:pPr>
      <w:r>
        <w:rPr>
          <w:rFonts w:ascii="Malgun Gothic" w:hAnsi="Malgun Gothic" w:eastAsia="맑은 고딕"/>
        </w:rPr>
        <w:t>출연 방법론: 각 회원이 산출된 청산기금 예치금에 비례하여 출연.</w:t>
      </w:r>
    </w:p>
    <w:p>
      <w:pPr>
        <w:pStyle w:val="ListBullet"/>
      </w:pPr>
      <w:r>
        <w:rPr>
          <w:rFonts w:ascii="Malgun Gothic" w:hAnsi="Malgun Gothic" w:eastAsia="맑은 고딕"/>
        </w:rPr>
        <w:t>적격 담보: 현금, 미국 국채, 기타 적격 증권 (헤어컷 적용).</w:t>
      </w:r>
    </w:p>
    <w:p>
      <w:pPr>
        <w:pStyle w:val="ListBullet"/>
      </w:pPr>
      <w:r>
        <w:rPr>
          <w:rFonts w:ascii="Malgun Gothic" w:hAnsi="Malgun Gothic" w:eastAsia="맑은 고딕"/>
        </w:rPr>
        <w:t>재검토 주기: 청산기금 예치금 일일 재산출; 주기적 모델 검증 및 스트레스 테스트.</w:t>
      </w:r>
    </w:p>
    <w:p>
      <w:r>
        <w:rPr>
          <w:rFonts w:ascii="Malgun Gothic" w:hAnsi="Malgun Gothic" w:eastAsia="맑은 고딕"/>
          <w:b/>
        </w:rPr>
        <w:t>FICC 청산기금 (GSD와 MBSD 별도):</w:t>
      </w:r>
    </w:p>
    <w:p>
      <w:pPr>
        <w:pStyle w:val="ListBullet"/>
      </w:pPr>
      <w:r>
        <w:rPr>
          <w:rFonts w:ascii="Malgun Gothic" w:hAnsi="Malgun Gothic" w:eastAsia="맑은 고딕"/>
        </w:rPr>
        <w:t>방법론: VaR 방법론에 기반한 리스크 기반 증거금 산출. 3일 청산기간 동안의 부도회원 포트폴리오 처분을 충당하도록 설계.</w:t>
      </w:r>
    </w:p>
    <w:p>
      <w:pPr>
        <w:pStyle w:val="ListBullet"/>
      </w:pPr>
      <w:r>
        <w:rPr>
          <w:rFonts w:ascii="Malgun Gothic" w:hAnsi="Malgun Gothic" w:eastAsia="맑은 고딕"/>
        </w:rPr>
        <w:t>GSD 최소 청산기금 예치금: 차감회원당 1,000,000 USD.</w:t>
      </w:r>
    </w:p>
    <w:p>
      <w:pPr>
        <w:pStyle w:val="ListBullet"/>
      </w:pPr>
      <w:r>
        <w:rPr>
          <w:rFonts w:ascii="Malgun Gothic" w:hAnsi="Malgun Gothic" w:eastAsia="맑은 고딕"/>
        </w:rPr>
        <w:t>MBSD: 유사한 방법론의 별도 청산기금.</w:t>
      </w:r>
    </w:p>
    <w:p>
      <w:pPr>
        <w:pStyle w:val="ListBullet"/>
      </w:pPr>
      <w:r>
        <w:rPr>
          <w:rFonts w:ascii="Malgun Gothic" w:hAnsi="Malgun Gothic" w:eastAsia="맑은 고딕"/>
        </w:rPr>
        <w:t>유지 수수료: 현금 예치 평균 잔액의 연 0.25% (월별 부과).</w:t>
      </w:r>
    </w:p>
    <w:p>
      <w:pPr>
        <w:pStyle w:val="ListBullet"/>
      </w:pPr>
      <w:r>
        <w:rPr>
          <w:rFonts w:ascii="Malgun Gothic" w:hAnsi="Malgun Gothic" w:eastAsia="맑은 고딕"/>
        </w:rPr>
        <w:t>재검토 주기: 일일 재산출; Rule 17Ad-22(e)에 따른 모델 검증.</w:t>
      </w:r>
    </w:p>
    <w:p>
      <w:r>
        <w:rPr>
          <w:rFonts w:ascii="Malgun Gothic" w:hAnsi="Malgun Gothic" w:eastAsia="맑은 고딕"/>
          <w:b/>
        </w:rPr>
        <w:t>CCLF (Committed Liquidity Clearing Facility, 확약유동성청산시설):</w:t>
      </w:r>
    </w:p>
    <w:p>
      <w:pPr>
        <w:pStyle w:val="ListBullet"/>
      </w:pPr>
      <w:r>
        <w:rPr>
          <w:rFonts w:ascii="Malgun Gothic" w:hAnsi="Malgun Gothic" w:eastAsia="맑은 고딕"/>
        </w:rPr>
        <w:t>GSD와 MBSD 모두 부도 상황에서의 유동성 수요를 충당하기 위해 CCLF를 유지한다.</w:t>
      </w:r>
    </w:p>
    <w:p>
      <w:pPr>
        <w:pStyle w:val="ListBullet"/>
      </w:pPr>
      <w:r>
        <w:rPr>
          <w:rFonts w:ascii="Malgun Gothic" w:hAnsi="Malgun Gothic" w:eastAsia="맑은 고딕"/>
        </w:rPr>
        <w:t>회원은 CCLF 의무를 이해하고 유동성 계획에 반영해야 한다.</w:t>
      </w:r>
    </w:p>
    <w:p>
      <w:pPr>
        <w:pStyle w:val="ListBullet"/>
      </w:pPr>
      <w:r>
        <w:rPr>
          <w:rFonts w:ascii="Malgun Gothic" w:hAnsi="Malgun Gothic" w:eastAsia="맑은 고딕"/>
        </w:rPr>
        <w:t>CCLF 규모는 특정 회고기간 동안 최대 유동성 익스포저를 발생시키는 회원(계열사 포함)의 부도에 따른 최대 유동성 수요에 완충분을 더하여 산정한다.</w:t>
      </w:r>
    </w:p>
    <w:p>
      <w:r>
        <w:rPr>
          <w:rFonts w:ascii="Malgun Gothic" w:hAnsi="Malgun Gothic" w:eastAsia="맑은 고딕"/>
        </w:rPr>
        <w:t>*출처: NSCC Financial Statements; GSD Clearing Fund Methodology Overview (</w:t>
      </w:r>
      <w:r>
        <w:rPr>
          <w:rFonts w:ascii="Malgun Gothic" w:hAnsi="Malgun Gothic" w:eastAsia="맑은 고딕"/>
          <w:color w:val="0563C1"/>
          <w:u w:val="single"/>
        </w:rPr>
        <w:t>dtcc.com</w:t>
      </w:r>
      <w:r>
        <w:rPr>
          <w:rFonts w:ascii="Malgun Gothic" w:hAnsi="Malgun Gothic" w:eastAsia="맑은 고딕"/>
        </w:rPr>
        <w:t>); SR-FICC-2024-003 (</w:t>
      </w:r>
      <w:r>
        <w:rPr>
          <w:rFonts w:ascii="Malgun Gothic" w:hAnsi="Malgun Gothic" w:eastAsia="맑은 고딕"/>
          <w:color w:val="0563C1"/>
          <w:u w:val="single"/>
        </w:rPr>
        <w:t>federalregister.gov</w:t>
      </w:r>
      <w:r>
        <w:rPr>
          <w:rFonts w:ascii="Malgun Gothic" w:hAnsi="Malgun Gothic" w:eastAsia="맑은 고딕"/>
        </w:rPr>
        <w:t>)*</w:t>
      </w:r>
    </w:p>
    <w:p>
      <w:pPr>
        <w:pStyle w:val="Heading3"/>
      </w:pPr>
      <w:r>
        <w:rPr>
          <w:rFonts w:ascii="Malgun Gothic" w:hAnsi="Malgun Gothic" w:eastAsia="맑은 고딕"/>
        </w:rPr>
        <w:t>3.5 스트레스 테스트 및 사후검증 (Stress Testing &amp; Back-testing)</w:t>
      </w:r>
    </w:p>
    <w:p>
      <w:r>
        <w:rPr>
          <w:rFonts w:ascii="Malgun Gothic" w:hAnsi="Malgun Gothic" w:eastAsia="맑은 고딕"/>
          <w:b/>
        </w:rPr>
        <w:t>스트레스 테스트: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NSCC, FICC, DTC는 증거금 및 청산기금 적정성에 대한 </w:t>
      </w:r>
      <w:r>
        <w:rPr>
          <w:rFonts w:ascii="Malgun Gothic" w:hAnsi="Malgun Gothic" w:eastAsia="맑은 고딕"/>
          <w:b/>
        </w:rPr>
        <w:t>일일 스트레스 테스트</w:t>
      </w:r>
      <w:r>
        <w:rPr>
          <w:rFonts w:ascii="Malgun Gothic" w:hAnsi="Malgun Gothic" w:eastAsia="맑은 고딕"/>
        </w:rPr>
        <w:t>를 실시한다.</w:t>
      </w:r>
    </w:p>
    <w:p>
      <w:pPr>
        <w:pStyle w:val="ListBullet"/>
      </w:pPr>
      <w:r>
        <w:rPr>
          <w:rFonts w:ascii="Malgun Gothic" w:hAnsi="Malgun Gothic" w:eastAsia="맑은 고딕"/>
        </w:rPr>
        <w:t>시나리오에는 과거 스트레스 이벤트, 가상 시나리오, 복합 시나리오가 포함된다.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Cover 1 기준:</w:t>
      </w:r>
      <w:r>
        <w:rPr>
          <w:rFonts w:ascii="Malgun Gothic" w:hAnsi="Malgun Gothic" w:eastAsia="맑은 고딕"/>
        </w:rPr>
        <w:t xml:space="preserve"> 각 CCP의 사전적립 자원(증거금 및 청산기금 포함)은 극단적이지만 현실적인 시장 상황에서 최대 총합 익스포저를 발생시키는 단일 회원(계열사 포함)의 부도를 충당할 수 있어야 한다.</w:t>
      </w:r>
    </w:p>
    <w:p>
      <w:pPr>
        <w:pStyle w:val="ListBullet"/>
      </w:pPr>
      <w:r>
        <w:rPr>
          <w:rFonts w:ascii="Malgun Gothic" w:hAnsi="Malgun Gothic" w:eastAsia="맑은 고딕"/>
        </w:rPr>
        <w:t>NSCC 스트레스 테스트는 주식시장 폭락, 금리 충격, 신용 이벤트, 복합 시나리오를 다룬다.</w:t>
      </w:r>
    </w:p>
    <w:p>
      <w:pPr>
        <w:pStyle w:val="ListBullet"/>
      </w:pPr>
      <w:r>
        <w:rPr>
          <w:rFonts w:ascii="Malgun Gothic" w:hAnsi="Malgun Gothic" w:eastAsia="맑은 고딕"/>
        </w:rPr>
        <w:t>FICC 스트레스 테스트는 금리 및 수익률곡선 변동, 스프레드 확대, MBS 조기상환 리스크를 다룬다.</w:t>
      </w:r>
    </w:p>
    <w:p>
      <w:r>
        <w:rPr>
          <w:rFonts w:ascii="Malgun Gothic" w:hAnsi="Malgun Gothic" w:eastAsia="맑은 고딕"/>
          <w:b/>
        </w:rPr>
        <w:t>사후검증:</w:t>
      </w:r>
    </w:p>
    <w:p>
      <w:pPr>
        <w:pStyle w:val="ListBullet"/>
      </w:pPr>
      <w:r>
        <w:rPr>
          <w:rFonts w:ascii="Malgun Gothic" w:hAnsi="Malgun Gothic" w:eastAsia="맑은 고딕"/>
        </w:rPr>
        <w:t>증거금 모델 커버리지의 일일 사후검증.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NSCC Q4 2024 PQD:</w:t>
      </w:r>
      <w:r>
        <w:rPr>
          <w:rFonts w:ascii="Malgun Gothic" w:hAnsi="Malgun Gothic" w:eastAsia="맑은 고딕"/>
        </w:rPr>
        <w:t xml:space="preserve"> 12개월 사후검증 커버리지 </w:t>
      </w:r>
      <w:r>
        <w:rPr>
          <w:rFonts w:ascii="Malgun Gothic" w:hAnsi="Malgun Gothic" w:eastAsia="맑은 고딕"/>
          <w:b/>
        </w:rPr>
        <w:t>99.9%</w:t>
      </w:r>
      <w:r>
        <w:rPr>
          <w:rFonts w:ascii="Malgun Gothic" w:hAnsi="Malgun Gothic" w:eastAsia="맑은 고딕"/>
        </w:rPr>
        <w:t xml:space="preserve">; Q4 2024 중 최대 부족액은 2024년 12월 11일의 </w:t>
      </w:r>
      <w:r>
        <w:rPr>
          <w:rFonts w:ascii="Malgun Gothic" w:hAnsi="Malgun Gothic" w:eastAsia="맑은 고딕"/>
          <w:b/>
        </w:rPr>
        <w:t>1.296억 USD</w:t>
      </w:r>
      <w:r>
        <w:rPr>
          <w:rFonts w:ascii="Malgun Gothic" w:hAnsi="Malgun Gothic" w:eastAsia="맑은 고딕"/>
        </w:rPr>
        <w:t>.</w:t>
      </w:r>
    </w:p>
    <w:p>
      <w:pPr>
        <w:pStyle w:val="ListBullet"/>
      </w:pPr>
      <w:r>
        <w:rPr>
          <w:rFonts w:ascii="Malgun Gothic" w:hAnsi="Malgun Gothic" w:eastAsia="맑은 고딕"/>
        </w:rPr>
        <w:t>결과는 리스크 관리 부서가 검토하고 이사회 리스크위원회에 보고한다.</w:t>
      </w:r>
    </w:p>
    <w:p>
      <w:pPr>
        <w:pStyle w:val="ListBullet"/>
      </w:pPr>
      <w:r>
        <w:rPr>
          <w:rFonts w:ascii="Malgun Gothic" w:hAnsi="Malgun Gothic" w:eastAsia="맑은 고딕"/>
        </w:rPr>
        <w:t>커버리지가 목표 임계치 이하로 하락하면 모델 성과 지표가 검토 및 재보정을 유발한다.</w:t>
      </w:r>
    </w:p>
    <w:p>
      <w:r>
        <w:rPr>
          <w:rFonts w:ascii="Malgun Gothic" w:hAnsi="Malgun Gothic" w:eastAsia="맑은 고딕"/>
          <w:b/>
        </w:rPr>
        <w:t>모델 검증:</w:t>
      </w:r>
    </w:p>
    <w:p>
      <w:pPr>
        <w:pStyle w:val="ListBullet"/>
      </w:pPr>
      <w:r>
        <w:rPr>
          <w:rFonts w:ascii="Malgun Gothic" w:hAnsi="Malgun Gothic" w:eastAsia="맑은 고딕"/>
        </w:rPr>
        <w:t>SEC Rule 17Ad-22(e)(6)에 따라 최소 연 1회 독립 모델 검증 실시.</w:t>
      </w:r>
    </w:p>
    <w:p>
      <w:pPr>
        <w:pStyle w:val="ListBullet"/>
      </w:pPr>
      <w:r>
        <w:rPr>
          <w:rFonts w:ascii="Malgun Gothic" w:hAnsi="Malgun Gothic" w:eastAsia="맑은 고딕"/>
        </w:rPr>
        <w:t>외부 독립 당사자에 의한 검증.</w:t>
      </w:r>
    </w:p>
    <w:p>
      <w:r>
        <w:rPr>
          <w:rFonts w:ascii="Malgun Gothic" w:hAnsi="Malgun Gothic" w:eastAsia="맑은 고딕"/>
        </w:rPr>
        <w:t>*출처: CPMI-IOSCO PQD Q4 2024; NSCC Disclosure Framework; SEC Rule 17Ad-22(e)*</w:t>
      </w:r>
    </w:p>
    <w:p>
      <w:pPr>
        <w:pStyle w:val="Heading3"/>
      </w:pPr>
      <w:r>
        <w:rPr>
          <w:rFonts w:ascii="Malgun Gothic" w:hAnsi="Malgun Gothic" w:eastAsia="맑은 고딕"/>
        </w:rPr>
        <w:t>3.6 회복 및 정리 (Recovery &amp; Resolution)</w:t>
      </w:r>
    </w:p>
    <w:p>
      <w:r>
        <w:rPr>
          <w:rFonts w:ascii="Malgun Gothic" w:hAnsi="Malgun Gothic" w:eastAsia="맑은 고딕"/>
          <w:b/>
        </w:rPr>
        <w:t>회복 및 청산 정리(R&amp;W) 계획:</w:t>
      </w:r>
    </w:p>
    <w:p>
      <w:pPr>
        <w:pStyle w:val="ListBullet"/>
      </w:pPr>
      <w:r>
        <w:rPr>
          <w:rFonts w:ascii="Malgun Gothic" w:hAnsi="Malgun Gothic" w:eastAsia="맑은 고딕"/>
        </w:rPr>
        <w:t>DTC, NSCC, FICC는 각각 DTCC의 회복·정리 기획실(R&amp;R Team)이 관리하는 포괄적인 회복 및 청산 정리 계획을 유지한다.</w:t>
      </w:r>
    </w:p>
    <w:p>
      <w:pPr>
        <w:pStyle w:val="ListBullet"/>
      </w:pPr>
      <w:r>
        <w:rPr>
          <w:rFonts w:ascii="Malgun Gothic" w:hAnsi="Malgun Gothic" w:eastAsia="맑은 고딕"/>
        </w:rPr>
        <w:t>계획은 DTCC 경영위원회 및 이사회가 검토·감독한다.</w:t>
      </w:r>
    </w:p>
    <w:p>
      <w:pPr>
        <w:pStyle w:val="ListBullet"/>
      </w:pPr>
      <w:r>
        <w:rPr>
          <w:rFonts w:ascii="Malgun Gothic" w:hAnsi="Malgun Gothic" w:eastAsia="맑은 고딕"/>
        </w:rPr>
        <w:t>가장 최근 검토는 2024년에 완료되었으며, SEC Rule 17ad-26 준수를 위해 2025년 4~6월에 개정하였다 (준수 기한: 2025년 12월 15일).</w:t>
      </w:r>
    </w:p>
    <w:p>
      <w:r>
        <w:rPr>
          <w:rFonts w:ascii="Malgun Gothic" w:hAnsi="Malgun Gothic" w:eastAsia="맑은 고딕"/>
          <w:b/>
        </w:rPr>
        <w:t>회복 시나리오: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미충당 신용손실</w:t>
      </w:r>
      <w:r>
        <w:rPr>
          <w:rFonts w:ascii="Malgun Gothic" w:hAnsi="Malgun Gothic" w:eastAsia="맑은 고딕"/>
        </w:rPr>
        <w:t xml:space="preserve"> -- 부도회원의 증거금 및 청산기금 출연분을 초과하는 손실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미충당 유동성 부족</w:t>
      </w:r>
      <w:r>
        <w:rPr>
          <w:rFonts w:ascii="Malgun Gothic" w:hAnsi="Malgun Gothic" w:eastAsia="맑은 고딕"/>
        </w:rPr>
        <w:t xml:space="preserve"> -- 가용 자원에도 불구하고 결제 의무를 이행하지 못하는 상황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일반사업손실</w:t>
      </w:r>
      <w:r>
        <w:rPr>
          <w:rFonts w:ascii="Malgun Gothic" w:hAnsi="Malgun Gothic" w:eastAsia="맑은 고딕"/>
        </w:rPr>
        <w:t xml:space="preserve"> -- 다수 회원 동시 부도, 중대한 내부 운영사고, 제3자 시스템 장애 시나리오 등</w:t>
      </w:r>
    </w:p>
    <w:p>
      <w:r>
        <w:rPr>
          <w:rFonts w:ascii="Malgun Gothic" w:hAnsi="Malgun Gothic" w:eastAsia="맑은 고딕"/>
          <w:b/>
        </w:rPr>
        <w:t>회복 수단: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수단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NSCC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FICC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DTC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손실배분 / 추가분담금 부과 권한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예 -- 모든 손실이 충당될 때까지 연속 부과; 회원별·이벤트 기간별 손실배분 한도 적용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예 -- 유사한 부과 구조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예 -- 참가자 부과 권한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변동증거금 이익 삭감 (VMGH)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해당 없음 (주식 CCP; 파생상품 CCP와 같은 일일 변동증거금 정산을 하지 않음)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일반적으로 미사용 [미확인]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해당 없음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부분적 포지션 청산 (Partial Tear-Up)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예 -- 해소되지 않는 포지션에 대한 최종 회복 수단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예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해당 없음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자발적 포지션 정리 (Voluntary Tear-Down)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예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예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해당 없음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서비스 종료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예 -- 회복 수단이 소진되면 질서 있는 업무정리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예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예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회원 탈퇴 권리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손실배분 이벤트 후 지정 통지기간 내 탈퇴 가능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유사 규정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유사 규정</w:t>
            </w:r>
          </w:p>
        </w:tc>
      </w:tr>
    </w:tbl>
    <w:p/>
    <w:p>
      <w:r>
        <w:rPr>
          <w:rFonts w:ascii="Malgun Gothic" w:hAnsi="Malgun Gothic" w:eastAsia="맑은 고딕"/>
          <w:b/>
        </w:rPr>
        <w:t>정리 당국: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주요:</w:t>
      </w:r>
      <w:r>
        <w:rPr>
          <w:rFonts w:ascii="Malgun Gothic" w:hAnsi="Malgun Gothic" w:eastAsia="맑은 고딕"/>
        </w:rPr>
        <w:t xml:space="preserve"> SEC (도드-프랭크법 Title VIII에 따른 감독기관)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보조:</w:t>
      </w:r>
      <w:r>
        <w:rPr>
          <w:rFonts w:ascii="Malgun Gothic" w:hAnsi="Malgun Gothic" w:eastAsia="맑은 고딕"/>
        </w:rPr>
        <w:t xml:space="preserve"> 연방준비제도이사회 (Title VIII에 따른 예비 집행 권한)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FDIC:</w:t>
      </w:r>
      <w:r>
        <w:rPr>
          <w:rFonts w:ascii="Malgun Gothic" w:hAnsi="Malgun Gothic" w:eastAsia="맑은 고딕"/>
        </w:rPr>
        <w:t xml:space="preserve"> 도드-프랭크법 Title II (질서 있는 청산 권한, Orderly Liquidation Authority) 발동 시 잠재적 역할</w:t>
      </w:r>
    </w:p>
    <w:p>
      <w:pPr>
        <w:pStyle w:val="ListBullet"/>
      </w:pPr>
      <w:r>
        <w:rPr>
          <w:rFonts w:ascii="Malgun Gothic" w:hAnsi="Malgun Gothic" w:eastAsia="맑은 고딕"/>
        </w:rPr>
        <w:t>SIFMU로서 DTC/NSCC/FICC는 정리 계획 요건을 포함한 강화된 감독 체계의 적용을 받는다.</w:t>
      </w:r>
    </w:p>
    <w:p>
      <w:r>
        <w:rPr>
          <w:rFonts w:ascii="Malgun Gothic" w:hAnsi="Malgun Gothic" w:eastAsia="맑은 고딕"/>
        </w:rPr>
        <w:t>*출처: Federal Register 2025-10877 (SR-DTC-2025-003, SR-FICC-2025-003, SR-NSCC-2025-003) (</w:t>
      </w:r>
      <w:r>
        <w:rPr>
          <w:rFonts w:ascii="Malgun Gothic" w:hAnsi="Malgun Gothic" w:eastAsia="맑은 고딕"/>
          <w:color w:val="0563C1"/>
          <w:u w:val="single"/>
        </w:rPr>
        <w:t>federalregister.gov</w:t>
      </w:r>
      <w:r>
        <w:rPr>
          <w:rFonts w:ascii="Malgun Gothic" w:hAnsi="Malgun Gothic" w:eastAsia="맑은 고딕"/>
        </w:rPr>
        <w:t>); Federal Register 2025-07220 (</w:t>
      </w:r>
      <w:r>
        <w:rPr>
          <w:rFonts w:ascii="Malgun Gothic" w:hAnsi="Malgun Gothic" w:eastAsia="맑은 고딕"/>
          <w:color w:val="0563C1"/>
          <w:u w:val="single"/>
        </w:rPr>
        <w:t>federalregister.gov</w:t>
      </w:r>
      <w:r>
        <w:rPr>
          <w:rFonts w:ascii="Malgun Gothic" w:hAnsi="Malgun Gothic" w:eastAsia="맑은 고딕"/>
        </w:rPr>
        <w:t>); NSCC Rules &amp; Procedures Rule 4*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4. 결제 (Settlement)</w:t>
      </w:r>
    </w:p>
    <w:p>
      <w:pPr>
        <w:pStyle w:val="Heading3"/>
      </w:pPr>
      <w:r>
        <w:rPr>
          <w:rFonts w:ascii="Malgun Gothic" w:hAnsi="Malgun Gothic" w:eastAsia="맑은 고딕"/>
        </w:rPr>
        <w:t>4.1 결제주기 (Settlement Cycle)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상품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결제주기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주식 (주식, ETF, ADR)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T+1</w:t>
            </w:r>
            <w:r>
              <w:rPr>
                <w:rFonts w:ascii="Malgun Gothic" w:hAnsi="Malgun Gothic" w:eastAsia="맑은 고딕"/>
              </w:rPr>
              <w:t xml:space="preserve"> (2024년 5월 28일 시행)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T+2에서 변경; 2017년 9월까지는 T+3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회사채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T+1</w:t>
            </w:r>
            <w:r>
              <w:rPr>
                <w:rFonts w:ascii="Malgun Gothic" w:hAnsi="Malgun Gothic" w:eastAsia="맑은 고딕"/>
              </w:rPr>
              <w:t xml:space="preserve"> (2024년 5월 28일 시행)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T+2에서 변경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지방채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T+1</w:t>
            </w:r>
            <w:r>
              <w:rPr>
                <w:rFonts w:ascii="Malgun Gothic" w:hAnsi="Malgun Gothic" w:eastAsia="맑은 고딕"/>
              </w:rPr>
              <w:t xml:space="preserve"> (2024년 5월 28일 시행)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T+2에서 변경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미국 국채 (현물)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T+1</w:t>
            </w:r>
            <w:r>
              <w:rPr>
                <w:rFonts w:ascii="Malgun Gothic" w:hAnsi="Malgun Gothic" w:eastAsia="맑은 고딕"/>
              </w:rPr>
              <w:t xml:space="preserve"> (표준)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GSD 차감결제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미국 국채 (레포)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T+0</w:t>
            </w:r>
            <w:r>
              <w:rPr>
                <w:rFonts w:ascii="Malgun Gothic" w:hAnsi="Malgun Gothic" w:eastAsia="맑은 고딕"/>
              </w:rPr>
              <w:t xml:space="preserve"> 또는 합의에 따름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레포는 당일 결제가 일반적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주택저당증권 (TBA)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다양 (통상 T+1~선도 만기)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TBA 거래는 지정된 미래 일자에 결제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UIT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T+1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--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옵션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T+1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OCC에서 청산, DTC에서 결제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4.2 DVP 모델 (DVP Model)</w:t>
      </w:r>
    </w:p>
    <w:p>
      <w:r>
        <w:rPr>
          <w:rFonts w:ascii="Malgun Gothic" w:hAnsi="Malgun Gothic" w:eastAsia="맑은 고딕"/>
          <w:b/>
        </w:rPr>
        <w:t>DTC 결제: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BIS DVP 모델 2:</w:t>
      </w:r>
      <w:r>
        <w:rPr>
          <w:rFonts w:ascii="Malgun Gothic" w:hAnsi="Malgun Gothic" w:eastAsia="맑은 고딕"/>
        </w:rPr>
        <w:t xml:space="preserve"> 증권의 건별(gross) 이전과 자금의 차감(net) 결제.</w:t>
      </w:r>
    </w:p>
    <w:p>
      <w:pPr>
        <w:pStyle w:val="ListBullet"/>
      </w:pPr>
      <w:r>
        <w:rPr>
          <w:rFonts w:ascii="Malgun Gothic" w:hAnsi="Malgun Gothic" w:eastAsia="맑은 고딕"/>
        </w:rPr>
        <w:t>증권 인도는 하루 동안 건별(거래별)로 처리된다.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자금 결제는 </w:t>
      </w:r>
      <w:r>
        <w:rPr>
          <w:rFonts w:ascii="Malgun Gothic" w:hAnsi="Malgun Gothic" w:eastAsia="맑은 고딕"/>
          <w:b/>
        </w:rPr>
        <w:t>차감</w:t>
      </w:r>
      <w:r>
        <w:rPr>
          <w:rFonts w:ascii="Malgun Gothic" w:hAnsi="Malgun Gothic" w:eastAsia="맑은 고딕"/>
        </w:rPr>
        <w:t xml:space="preserve"> 방식 -- 각 참가자는 장 마감 시 단일 순차변(net debit) 또는 순대변(net credit) 포지션으로 결제한다.</w:t>
      </w:r>
    </w:p>
    <w:p>
      <w:pPr>
        <w:pStyle w:val="ListBullet"/>
      </w:pPr>
      <w:r>
        <w:rPr>
          <w:rFonts w:ascii="Malgun Gothic" w:hAnsi="Malgun Gothic" w:eastAsia="맑은 고딕"/>
        </w:rPr>
        <w:t>DTC는 두 가지 주요 결제 사이클을 운영한다: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야간 사이클 (Night Cycle):</w:t>
      </w:r>
      <w:r>
        <w:rPr>
          <w:rFonts w:ascii="Malgun Gothic" w:hAnsi="Malgun Gothic" w:eastAsia="맑은 고딕"/>
        </w:rPr>
        <w:t xml:space="preserve"> 익일 결제를 위한 인도 사전 배치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주간 사이클 (Day Cycle):</w:t>
      </w:r>
      <w:r>
        <w:rPr>
          <w:rFonts w:ascii="Malgun Gothic" w:hAnsi="Malgun Gothic" w:eastAsia="맑은 고딕"/>
        </w:rPr>
        <w:t xml:space="preserve"> 영업시간 중 실시간 인도 처리 및 지속적 순결제 재산출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장 마감 순결제:</w:t>
      </w:r>
      <w:r>
        <w:rPr>
          <w:rFonts w:ascii="Malgun Gothic" w:hAnsi="Malgun Gothic" w:eastAsia="맑은 고딕"/>
        </w:rPr>
        <w:t xml:space="preserve"> 순자금 의무는 연방준비제도의 NSS (National Settlement Service) 또는 DTC의 결제은행을 통해 결제된다.</w:t>
      </w:r>
    </w:p>
    <w:p>
      <w:r>
        <w:rPr>
          <w:rFonts w:ascii="Malgun Gothic" w:hAnsi="Malgun Gothic" w:eastAsia="맑은 고딕"/>
          <w:b/>
        </w:rPr>
        <w:t>NSCC/CNS 결제:</w:t>
      </w:r>
    </w:p>
    <w:p>
      <w:pPr>
        <w:pStyle w:val="ListBullet"/>
      </w:pPr>
      <w:r>
        <w:rPr>
          <w:rFonts w:ascii="Malgun Gothic" w:hAnsi="Malgun Gothic" w:eastAsia="맑은 고딕"/>
        </w:rPr>
        <w:t>CNS는 증권별·참가자별 순인도 의무를 산출한다.</w:t>
      </w:r>
    </w:p>
    <w:p>
      <w:pPr>
        <w:pStyle w:val="ListBullet"/>
      </w:pPr>
      <w:r>
        <w:rPr>
          <w:rFonts w:ascii="Malgun Gothic" w:hAnsi="Malgun Gothic" w:eastAsia="맑은 고딕"/>
        </w:rPr>
        <w:t>순매수 포지션은 DTC에 있는 NSCC 계좌에서 증권을 수령한다.</w:t>
      </w:r>
    </w:p>
    <w:p>
      <w:pPr>
        <w:pStyle w:val="ListBullet"/>
      </w:pPr>
      <w:r>
        <w:rPr>
          <w:rFonts w:ascii="Malgun Gothic" w:hAnsi="Malgun Gothic" w:eastAsia="맑은 고딕"/>
        </w:rPr>
        <w:t>순매도 포지션은 DTC에 있는 NSCC 계좌로 증권을 인도한다.</w:t>
      </w:r>
    </w:p>
    <w:p>
      <w:pPr>
        <w:pStyle w:val="ListBullet"/>
      </w:pPr>
      <w:r>
        <w:rPr>
          <w:rFonts w:ascii="Malgun Gothic" w:hAnsi="Malgun Gothic" w:eastAsia="맑은 고딕"/>
        </w:rPr>
        <w:t>자금 결제는 차감되어 DTC의 장 마감 처리를 통해 결제된다.</w:t>
      </w:r>
    </w:p>
    <w:p>
      <w:r>
        <w:rPr>
          <w:rFonts w:ascii="Malgun Gothic" w:hAnsi="Malgun Gothic" w:eastAsia="맑은 고딕"/>
          <w:b/>
        </w:rPr>
        <w:t>FICC-GSD 결제:</w:t>
      </w:r>
    </w:p>
    <w:p>
      <w:pPr>
        <w:pStyle w:val="ListBullet"/>
      </w:pPr>
      <w:r>
        <w:rPr>
          <w:rFonts w:ascii="Malgun Gothic" w:hAnsi="Malgun Gothic" w:eastAsia="맑은 고딕"/>
        </w:rPr>
        <w:t>순결제 의무는 Fedwire Securities Service (연방준비 적격 증권) 또는 DTC (DTC 적격 증권)를 통해 인도된다.</w:t>
      </w:r>
    </w:p>
    <w:p>
      <w:pPr>
        <w:pStyle w:val="Heading3"/>
      </w:pPr>
      <w:r>
        <w:rPr>
          <w:rFonts w:ascii="Malgun Gothic" w:hAnsi="Malgun Gothic" w:eastAsia="맑은 고딕"/>
        </w:rPr>
        <w:t>4.3 결제완결성 (Settlement Finality)</w:t>
      </w:r>
    </w:p>
    <w:p>
      <w:r>
        <w:rPr>
          <w:rFonts w:ascii="Malgun Gothic" w:hAnsi="Malgun Gothic" w:eastAsia="맑은 고딕"/>
          <w:b/>
        </w:rPr>
        <w:t>법적 근거:</w:t>
      </w:r>
    </w:p>
    <w:p>
      <w:pPr>
        <w:pStyle w:val="ListBullet"/>
      </w:pPr>
      <w:r>
        <w:rPr>
          <w:rFonts w:ascii="Malgun Gothic" w:hAnsi="Malgun Gothic" w:eastAsia="맑은 고딕"/>
        </w:rPr>
        <w:t>뉴욕주 계약법, 뉴욕주 통일상법전(UCC) 제8조 및 제9조, 1934년 증권거래소법(Securities Exchange Act of 1934).</w:t>
      </w:r>
    </w:p>
    <w:p>
      <w:pPr>
        <w:pStyle w:val="ListBullet"/>
      </w:pPr>
      <w:r>
        <w:rPr>
          <w:rFonts w:ascii="Malgun Gothic" w:hAnsi="Malgun Gothic" w:eastAsia="맑은 고딕"/>
        </w:rPr>
        <w:t>도산 시 보호 법률: 연방예금보험법(FDIA), 연방예금보험공사개선법(FDICIA), 미국 파산법(Bankruptcy Code), 증권투자자보호법(SIPA), 도드-프랭크법 Title II.</w:t>
      </w:r>
    </w:p>
    <w:p>
      <w:r>
        <w:rPr>
          <w:rFonts w:ascii="Malgun Gothic" w:hAnsi="Malgun Gothic" w:eastAsia="맑은 고딕"/>
          <w:b/>
        </w:rPr>
        <w:t>완결 시점: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DTC 증권 이전:</w:t>
      </w:r>
      <w:r>
        <w:rPr>
          <w:rFonts w:ascii="Malgun Gothic" w:hAnsi="Malgun Gothic" w:eastAsia="맑은 고딕"/>
        </w:rPr>
        <w:t xml:space="preserve"> 이전이 DTC의 리스크 통제를 통과하고 인도참가자의 계좌에서 증권이 차감된 시점에 인도자 측에 대해 최종적이고 철회 불가능하다 (장중 인도에 대한 장중 완결).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DTC 자금 결제:</w:t>
      </w:r>
      <w:r>
        <w:rPr>
          <w:rFonts w:ascii="Malgun Gothic" w:hAnsi="Malgun Gothic" w:eastAsia="맑은 고딕"/>
        </w:rPr>
        <w:t xml:space="preserve"> 순자금 결제는 연방준비 NSS를 통해 장 마감 시 완료되면 최종적이다.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NSS 자금 이체:</w:t>
      </w:r>
      <w:r>
        <w:rPr>
          <w:rFonts w:ascii="Malgun Gothic" w:hAnsi="Malgun Gothic" w:eastAsia="맑은 고딕"/>
        </w:rPr>
        <w:t xml:space="preserve"> 실행 즉시 최종적.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NSCC:</w:t>
      </w:r>
      <w:r>
        <w:rPr>
          <w:rFonts w:ascii="Malgun Gothic" w:hAnsi="Malgun Gothic" w:eastAsia="맑은 고딕"/>
        </w:rPr>
        <w:t xml:space="preserve"> DTC의 결제 시스템을 통해 의무가 이행되면 결제완결성이 달성된다.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FICC-GSD:</w:t>
      </w:r>
      <w:r>
        <w:rPr>
          <w:rFonts w:ascii="Malgun Gothic" w:hAnsi="Malgun Gothic" w:eastAsia="맑은 고딕"/>
        </w:rPr>
        <w:t xml:space="preserve"> Fedwire 인도 또는 DTC 장부대체 이전 완료 시 국채에 대한 결제완결성이 달성된다.</w:t>
      </w:r>
    </w:p>
    <w:p>
      <w:r>
        <w:rPr>
          <w:rFonts w:ascii="Malgun Gothic" w:hAnsi="Malgun Gothic" w:eastAsia="맑은 고딕"/>
          <w:b/>
        </w:rPr>
        <w:t>철회 불가성:</w:t>
      </w:r>
    </w:p>
    <w:p>
      <w:pPr>
        <w:pStyle w:val="ListBullet"/>
      </w:pPr>
      <w:r>
        <w:rPr>
          <w:rFonts w:ascii="Malgun Gothic" w:hAnsi="Malgun Gothic" w:eastAsia="맑은 고딕"/>
        </w:rPr>
        <w:t>증권 이전이 DTC 리스크 관리 통제를 통과하여 완료되면 일방적으로 철회할 수 없다.</w:t>
      </w:r>
    </w:p>
    <w:p>
      <w:r>
        <w:rPr>
          <w:rFonts w:ascii="Malgun Gothic" w:hAnsi="Malgun Gothic" w:eastAsia="맑은 고딕"/>
        </w:rPr>
        <w:t>*출처: DTC Disclosure Framework (</w:t>
      </w:r>
      <w:r>
        <w:rPr>
          <w:rFonts w:ascii="Malgun Gothic" w:hAnsi="Malgun Gothic" w:eastAsia="맑은 고딕"/>
          <w:color w:val="0563C1"/>
          <w:u w:val="single"/>
        </w:rPr>
        <w:t>dtcc.com</w:t>
      </w:r>
      <w:r>
        <w:rPr>
          <w:rFonts w:ascii="Malgun Gothic" w:hAnsi="Malgun Gothic" w:eastAsia="맑은 고딕"/>
        </w:rPr>
        <w:t>); DTC Settlement Service Guide; IMF FSAP Assessment (</w:t>
      </w:r>
      <w:r>
        <w:rPr>
          <w:rFonts w:ascii="Malgun Gothic" w:hAnsi="Malgun Gothic" w:eastAsia="맑은 고딕"/>
          <w:color w:val="0563C1"/>
          <w:u w:val="single"/>
        </w:rPr>
        <w:t>imf.org</w:t>
      </w:r>
      <w:r>
        <w:rPr>
          <w:rFonts w:ascii="Malgun Gothic" w:hAnsi="Malgun Gothic" w:eastAsia="맑은 고딕"/>
        </w:rPr>
        <w:t>); NSCC Disclosure Framework*</w:t>
      </w:r>
    </w:p>
    <w:p>
      <w:pPr>
        <w:pStyle w:val="Heading3"/>
      </w:pPr>
      <w:r>
        <w:rPr>
          <w:rFonts w:ascii="Malgun Gothic" w:hAnsi="Malgun Gothic" w:eastAsia="맑은 고딕"/>
        </w:rPr>
        <w:t>4.4 CSD / 결제 인프라 (CSD / Settlement Infrastructure)</w:t>
      </w:r>
    </w:p>
    <w:p>
      <w:r>
        <w:rPr>
          <w:rFonts w:ascii="Malgun Gothic" w:hAnsi="Malgun Gothic" w:eastAsia="맑은 고딕"/>
          <w:b/>
        </w:rPr>
        <w:t>CSD로서의 DTC: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DTC는 미국 증권시장의 </w:t>
      </w:r>
      <w:r>
        <w:rPr>
          <w:rFonts w:ascii="Malgun Gothic" w:hAnsi="Malgun Gothic" w:eastAsia="맑은 고딕"/>
          <w:b/>
        </w:rPr>
        <w:t>유일한 중앙예탁기관(CSD)</w:t>
      </w:r>
      <w:r>
        <w:rPr>
          <w:rFonts w:ascii="Malgun Gothic" w:hAnsi="Malgun Gothic" w:eastAsia="맑은 고딕"/>
        </w:rPr>
        <w:t>으로서 자연독점적 지위를 보유한다.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부동화 모델(Immobilization Model):</w:t>
      </w:r>
      <w:r>
        <w:rPr>
          <w:rFonts w:ascii="Malgun Gothic" w:hAnsi="Malgun Gothic" w:eastAsia="맑은 고딕"/>
        </w:rPr>
        <w:t xml:space="preserve"> 실물 증권이 DTC(또는 DTC의 명의인 Cede &amp; Co.)에 예탁되고 소유권은 장부대체로 이전된다.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무권화(Dematerialization):</w:t>
      </w:r>
      <w:r>
        <w:rPr>
          <w:rFonts w:ascii="Malgun Gothic" w:hAnsi="Malgun Gothic" w:eastAsia="맑은 고딕"/>
        </w:rPr>
        <w:t xml:space="preserve"> 점차 증권이 장부대체 전용(book-entry-only) 형태로 발행되고 있다.</w:t>
      </w:r>
    </w:p>
    <w:p>
      <w:pPr>
        <w:pStyle w:val="ListBullet"/>
      </w:pPr>
      <w:r>
        <w:rPr>
          <w:rFonts w:ascii="Malgun Gothic" w:hAnsi="Malgun Gothic" w:eastAsia="맑은 고딕"/>
        </w:rPr>
        <w:t>증권 계좌: DTC는 각 참가자에 대한 증권 계좌를 유지한다.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자금 결제:</w:t>
      </w:r>
      <w:r>
        <w:rPr>
          <w:rFonts w:ascii="Malgun Gothic" w:hAnsi="Malgun Gothic" w:eastAsia="맑은 고딕"/>
        </w:rPr>
        <w:t xml:space="preserve"> 장 마감 순결제에는 주로 연방준비의 </w:t>
      </w:r>
      <w:r>
        <w:rPr>
          <w:rFonts w:ascii="Malgun Gothic" w:hAnsi="Malgun Gothic" w:eastAsia="맑은 고딕"/>
          <w:b/>
        </w:rPr>
        <w:t>NSS (National Settlement Service)</w:t>
      </w:r>
      <w:r>
        <w:rPr>
          <w:rFonts w:ascii="Malgun Gothic" w:hAnsi="Malgun Gothic" w:eastAsia="맑은 고딕"/>
        </w:rPr>
        <w:t>(중앙은행 화폐)를 사용한다. 일부 거래에는 상업은행 결제도 사용한다.</w:t>
      </w:r>
    </w:p>
    <w:p>
      <w:r>
        <w:rPr>
          <w:rFonts w:ascii="Malgun Gothic" w:hAnsi="Malgun Gothic" w:eastAsia="맑은 고딕"/>
          <w:b/>
        </w:rPr>
        <w:t>등록 명의인: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DTC의 명의인 </w:t>
      </w:r>
      <w:r>
        <w:rPr>
          <w:rFonts w:ascii="Malgun Gothic" w:hAnsi="Malgun Gothic" w:eastAsia="맑은 고딕"/>
          <w:b/>
        </w:rPr>
        <w:t>Cede &amp; Co.</w:t>
      </w:r>
      <w:r>
        <w:rPr>
          <w:rFonts w:ascii="Malgun Gothic" w:hAnsi="Malgun Gothic" w:eastAsia="맑은 고딕"/>
        </w:rPr>
        <w:t>가 DTC에 예탁된 증권의 등록 보유자이다.</w:t>
      </w:r>
    </w:p>
    <w:p>
      <w:pPr>
        <w:pStyle w:val="ListBullet"/>
      </w:pPr>
      <w:r>
        <w:rPr>
          <w:rFonts w:ascii="Malgun Gothic" w:hAnsi="Malgun Gothic" w:eastAsia="맑은 고딕"/>
        </w:rPr>
        <w:t>실질 소유권은 DTC 참가자 계좌 및 그 고객 기록을 통해 추적된다.</w:t>
      </w:r>
    </w:p>
    <w:p>
      <w:pPr>
        <w:pStyle w:val="Heading3"/>
      </w:pPr>
      <w:r>
        <w:rPr>
          <w:rFonts w:ascii="Malgun Gothic" w:hAnsi="Malgun Gothic" w:eastAsia="맑은 고딕"/>
        </w:rPr>
        <w:t>4.5 CSD 연계 (CSD Linkages)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연계 기관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연계 유형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상품 / 목적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연방준비 (Fedwire Securities Service)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직접 연계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미국 국채; 연방준비 적격 증권의 이전 및 결제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Euroclear Bank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운영 연계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해외 투자자의 미국 증권 국제결제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Clearstream Banking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운영 연계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해외 투자자의 미국 증권 국제결제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CDS Clearing (캐나다)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국제 연계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캐나다/미국 국제결제</w:t>
            </w:r>
          </w:p>
        </w:tc>
      </w:tr>
    </w:tbl>
    <w:p/>
    <w:p>
      <w:r>
        <w:rPr>
          <w:rFonts w:ascii="Malgun Gothic" w:hAnsi="Malgun Gothic" w:eastAsia="맑은 고딕"/>
        </w:rPr>
        <w:t>*참고: DTC는 유럽식 CCP 상호운용성 연계(interoperability link)는 갖추고 있지 않으나, 국제결제를 위한 운영적 연결을 유지한다.*</w:t>
      </w:r>
    </w:p>
    <w:p>
      <w:pPr>
        <w:pStyle w:val="Heading3"/>
      </w:pPr>
      <w:r>
        <w:rPr>
          <w:rFonts w:ascii="Malgun Gothic" w:hAnsi="Malgun Gothic" w:eastAsia="맑은 고딕"/>
        </w:rPr>
        <w:t>4.6 대차거래 (Securities Lending &amp; Borrowing)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시설 유무:</w:t>
      </w:r>
      <w:r>
        <w:rPr>
          <w:rFonts w:ascii="Malgun Gothic" w:hAnsi="Malgun Gothic" w:eastAsia="맑은 고딕"/>
        </w:rPr>
        <w:t xml:space="preserve"> 있음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SL&amp;B (Stock Loan/Borrow) 프로그램:</w:t>
      </w:r>
      <w:r>
        <w:rPr>
          <w:rFonts w:ascii="Malgun Gothic" w:hAnsi="Malgun Gothic" w:eastAsia="맑은 고딕"/>
        </w:rPr>
        <w:t xml:space="preserve"> NSCC는 CNS 시스템 내에서 자동 대주 프로그램을 운영한다.</w:t>
      </w:r>
    </w:p>
    <w:p>
      <w:pPr>
        <w:pStyle w:val="ListBullet"/>
      </w:pPr>
      <w:r>
        <w:rPr>
          <w:rFonts w:ascii="Malgun Gothic" w:hAnsi="Malgun Gothic" w:eastAsia="맑은 고딕"/>
        </w:rPr>
        <w:t>회원에게 인도불이행(fail-to-deliver) 의무가 발생하면, CNS 시스템이 결제를 촉진하기 위해 대여 가능 포지션을 보유한 회원으로부터 자동으로 증권을 차입할 수 있다.</w:t>
      </w:r>
    </w:p>
    <w:p>
      <w:pPr>
        <w:pStyle w:val="ListBullet"/>
      </w:pPr>
      <w:r>
        <w:rPr>
          <w:rFonts w:ascii="Malgun Gothic" w:hAnsi="Malgun Gothic" w:eastAsia="맑은 고딕"/>
        </w:rPr>
        <w:t>대주 프로그램은 대여 의향이 있는 참가자로부터 증권을 조달하여 CNS 결제불이행을 감소시킨다.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DTC 대여 서비스:</w:t>
      </w:r>
      <w:r>
        <w:rPr>
          <w:rFonts w:ascii="Malgun Gothic" w:hAnsi="Malgun Gothic" w:eastAsia="맑은 고딕"/>
        </w:rPr>
        <w:t xml:space="preserve"> DTC는 참가자 간 상대 대차거래를 위한 장부대체 이전 인프라를 제공한다.</w:t>
      </w:r>
    </w:p>
    <w:p>
      <w:r>
        <w:rPr>
          <w:rFonts w:ascii="Malgun Gothic" w:hAnsi="Malgun Gothic" w:eastAsia="맑은 고딕"/>
        </w:rPr>
        <w:t>*출처: CNS 개요 (</w:t>
      </w:r>
      <w:r>
        <w:rPr>
          <w:rFonts w:ascii="Malgun Gothic" w:hAnsi="Malgun Gothic" w:eastAsia="맑은 고딕"/>
          <w:color w:val="0563C1"/>
          <w:u w:val="single"/>
        </w:rPr>
        <w:t>dtcclearning.com</w:t>
      </w:r>
      <w:r>
        <w:rPr>
          <w:rFonts w:ascii="Malgun Gothic" w:hAnsi="Malgun Gothic" w:eastAsia="맑은 고딕"/>
        </w:rPr>
        <w:t>); DTC Disclosure Framework*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5. 기술 및 인프라 (Technology &amp; Infrastructure)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항목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시스템 명칭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CNS</w:t>
            </w:r>
            <w:r>
              <w:rPr>
                <w:rFonts w:ascii="Malgun Gothic" w:hAnsi="Malgun Gothic" w:eastAsia="맑은 고딕"/>
              </w:rPr>
              <w:t xml:space="preserve"> (Continuous Net Settlement -- NSCC 핵심); </w:t>
            </w:r>
            <w:r>
              <w:rPr>
                <w:rFonts w:ascii="Malgun Gothic" w:hAnsi="Malgun Gothic" w:eastAsia="맑은 고딕"/>
                <w:b/>
              </w:rPr>
              <w:t>Settlement</w:t>
            </w:r>
            <w:r>
              <w:rPr>
                <w:rFonts w:ascii="Malgun Gothic" w:hAnsi="Malgun Gothic" w:eastAsia="맑은 고딕"/>
              </w:rPr>
              <w:t xml:space="preserve"> (DTC 결제 플랫폼); </w:t>
            </w:r>
            <w:r>
              <w:rPr>
                <w:rFonts w:ascii="Malgun Gothic" w:hAnsi="Malgun Gothic" w:eastAsia="맑은 고딕"/>
                <w:b/>
              </w:rPr>
              <w:t>RTTM</w:t>
            </w:r>
            <w:r>
              <w:rPr>
                <w:rFonts w:ascii="Malgun Gothic" w:hAnsi="Malgun Gothic" w:eastAsia="맑은 고딕"/>
              </w:rPr>
              <w:t xml:space="preserve"> (Real-Time Trade Matching -- FICC); </w:t>
            </w:r>
            <w:r>
              <w:rPr>
                <w:rFonts w:ascii="Malgun Gothic" w:hAnsi="Malgun Gothic" w:eastAsia="맑은 고딕"/>
                <w:b/>
              </w:rPr>
              <w:t>SMART/Track</w:t>
            </w:r>
            <w:r>
              <w:rPr>
                <w:rFonts w:ascii="Malgun Gothic" w:hAnsi="Malgun Gothic" w:eastAsia="맑은 고딕"/>
              </w:rPr>
              <w:t xml:space="preserve"> (메시징 허브); </w:t>
            </w:r>
            <w:r>
              <w:rPr>
                <w:rFonts w:ascii="Malgun Gothic" w:hAnsi="Malgun Gothic" w:eastAsia="맑은 고딕"/>
                <w:b/>
              </w:rPr>
              <w:t>Settlement Web</w:t>
            </w:r>
            <w:r>
              <w:rPr>
                <w:rFonts w:ascii="Malgun Gothic" w:hAnsi="Malgun Gothic" w:eastAsia="맑은 고딕"/>
              </w:rPr>
              <w:t xml:space="preserve"> (DTC 주요 사용자 인터페이스); </w:t>
            </w:r>
            <w:r>
              <w:rPr>
                <w:rFonts w:ascii="Malgun Gothic" w:hAnsi="Malgun Gothic" w:eastAsia="맑은 고딕"/>
                <w:b/>
              </w:rPr>
              <w:t>Inventory Management System</w:t>
            </w:r>
            <w:r>
              <w:rPr>
                <w:rFonts w:ascii="Malgun Gothic" w:hAnsi="Malgun Gothic" w:eastAsia="맑은 고딕"/>
              </w:rPr>
              <w:t xml:space="preserve"> (DTC 인도 순서 관리); </w:t>
            </w:r>
            <w:r>
              <w:rPr>
                <w:rFonts w:ascii="Malgun Gothic" w:hAnsi="Malgun Gothic" w:eastAsia="맑은 고딕"/>
                <w:b/>
              </w:rPr>
              <w:t>Clearing Fund Management</w:t>
            </w:r>
            <w:r>
              <w:rPr>
                <w:rFonts w:ascii="Malgun Gothic" w:hAnsi="Malgun Gothic" w:eastAsia="맑은 고딕"/>
              </w:rPr>
              <w:t xml:space="preserve"> (실시간 담보 관리 포털)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아키텍처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독자적 메인프레임 기반 핵심 시스템; 분산 시스템 및 클라우드 기반 서비스로 점진적 보완; DLT 기반 플랫폼 병렬 운영 (Project Ion)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처리 능력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NSCC: 일일 최대 5.55조 USD 처리 (2025년 4월). FICC-GSD: 일일 최대 13.2조 USD (2025년 12월). Omgeo/ITP: 42개국에서 일일 100만 건 이상. Project Ion: 병렬 운영 환경에서 일일 100,000건 이상 DLT 기반 거래.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STP 비율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높음 (구체적 비율 비공개). T+1 전환 시 오후 9시(ET)까지 95% 당일확인(same-day affirmation) 비율 달성 요구, 이를 충족하였다.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주요 인터페이스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SMART 네트워크, MQ, SWIFT, ISO 20022 (기업 이벤트), FIX (거래 캡처), 독자 API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5.1 인터페이스 프로토콜 (Interface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프로토콜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용도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SWIFT (FIN/ISO 15022)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국제결제 메시징, 수탁 통지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ISO 20022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기업 이벤트 메시징 (DTC는 2025년 11월 SR2025 버전으로 전환); 배당, 조직재편, 권리 관련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FIX 프로토콜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거래 제출 및 비교, 실시간 거래 매칭 (FICC RTTM)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SMART Network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DTCC 독자 전용 통신 네트워크. 참가자와 DTCC 시스템 간 대용량 메시지 전송. 건별 수수료 없음 (회선 기반)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MQ Series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배치 및 실시간 데이터 교환을 위한 메시지 큐잉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웹 기반 포털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Settlement Web, Clearing Fund Management, 참가자 보고서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API (RESTful)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디지털 자산 서비스 및 현대적 통합을 위한 신규 API 연결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5.2 복원력 (Resilience)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DR 사이트:</w:t>
      </w:r>
      <w:r>
        <w:rPr>
          <w:rFonts w:ascii="Malgun Gothic" w:hAnsi="Malgun Gothic" w:eastAsia="맑은 고딕"/>
        </w:rPr>
        <w:t xml:space="preserve"> 지리적으로 분리된 다수의 데이터 센터. DTCC는 전 세계 20개 이상 지역에서 운영.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RTO / RPO:</w:t>
      </w:r>
      <w:r>
        <w:rPr>
          <w:rFonts w:ascii="Malgun Gothic" w:hAnsi="Malgun Gothic" w:eastAsia="맑은 고딕"/>
        </w:rPr>
        <w:t xml:space="preserve"> SIFMU로서 DTCC는 SEC Rule 17Ad-22(e)(17)에 따라 높은 수준의 보안, 복원력, 운영 신뢰성 및 적절한 확장 가능 용량을 갖춘 시스템을 유지해야 한다. 구체적 RTO/RPO 목표는 비공개이나, 2시간 복구에 대한 규제 기대를 충족해야 한다. [구체적 RTO/RPO 값 미확인]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업무연속성계획(BCP):</w:t>
      </w:r>
      <w:r>
        <w:rPr>
          <w:rFonts w:ascii="Malgun Gothic" w:hAnsi="Malgun Gothic" w:eastAsia="맑은 고딕"/>
        </w:rPr>
        <w:t xml:space="preserve"> 사이트 장애, 사이버 사고, 팬데믹, 자연재해 시나리오를 포함하는 포괄적 BCP를 유지·정기 점검.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가동률:</w:t>
      </w:r>
      <w:r>
        <w:rPr>
          <w:rFonts w:ascii="Malgun Gothic" w:hAnsi="Malgun Gothic" w:eastAsia="맑은 고딕"/>
        </w:rPr>
        <w:t xml:space="preserve"> 핵심 청산·결제 시스템은 매우 높은 가용성을 유지하나, 구체적 SLA 비율은 비공개.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사이버 복원력:</w:t>
      </w:r>
      <w:r>
        <w:rPr>
          <w:rFonts w:ascii="Malgun Gothic" w:hAnsi="Malgun Gothic" w:eastAsia="맑은 고딕"/>
        </w:rPr>
        <w:t xml:space="preserve"> DTCC는 업계 전반의 사이버 복원력 훈련에 참여하며, SIFMU에 요구되는 광범위한 사이버 보안 통제를 유지.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참가자 시스템 장애:</w:t>
      </w:r>
      <w:r>
        <w:rPr>
          <w:rFonts w:ascii="Malgun Gothic" w:hAnsi="Malgun Gothic" w:eastAsia="맑은 고딕"/>
        </w:rPr>
        <w:t xml:space="preserve"> 2025년 11월, SEC가 참가자 시스템 장애 관리에 관한 DTC/FICC/NSCC 규칙 변경을 승인 (SR-DTC-2025-006, SR-FICC-2025-006, SR-NSCC-2025-006).</w:t>
      </w:r>
    </w:p>
    <w:p>
      <w:r>
        <w:rPr>
          <w:rFonts w:ascii="Malgun Gothic" w:hAnsi="Malgun Gothic" w:eastAsia="맑은 고딕"/>
        </w:rPr>
        <w:t>*출처: SEC Rule 17Ad-22(e)(17); DTCC Disclosure Frameworks; Federal Register 2025-20384 (</w:t>
      </w:r>
      <w:r>
        <w:rPr>
          <w:rFonts w:ascii="Malgun Gothic" w:hAnsi="Malgun Gothic" w:eastAsia="맑은 고딕"/>
          <w:color w:val="0563C1"/>
          <w:u w:val="single"/>
        </w:rPr>
        <w:t>federalregister.gov</w:t>
      </w:r>
      <w:r>
        <w:rPr>
          <w:rFonts w:ascii="Malgun Gothic" w:hAnsi="Malgun Gothic" w:eastAsia="맑은 고딕"/>
        </w:rPr>
        <w:t>)*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6. 규제 체계 (Regulatory Framework)</w:t>
      </w:r>
    </w:p>
    <w:p>
      <w:pPr>
        <w:pStyle w:val="Heading3"/>
      </w:pPr>
      <w:r>
        <w:rPr>
          <w:rFonts w:ascii="Malgun Gothic" w:hAnsi="Malgun Gothic" w:eastAsia="맑은 고딕"/>
        </w:rPr>
        <w:t>6.1 감독 당국 (Supervising Authority)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주요:</w:t>
      </w:r>
      <w:r>
        <w:rPr>
          <w:rFonts w:ascii="Malgun Gothic" w:hAnsi="Malgun Gothic" w:eastAsia="맑은 고딕"/>
        </w:rPr>
        <w:t xml:space="preserve"> SEC (미국 증권거래위원회) -- 도드-프랭크법 Title VIII에 따른 DTC, NSCC, FICC 감독기관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보조:</w:t>
      </w:r>
      <w:r>
        <w:rPr>
          <w:rFonts w:ascii="Malgun Gothic" w:hAnsi="Malgun Gothic" w:eastAsia="맑은 고딕"/>
        </w:rPr>
        <w:t xml:space="preserve"> 연방준비제도이사회 -- Title VIII에 따른 SIFMU 감독 권한; 예비 집행 권한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추가:</w:t>
      </w:r>
      <w:r>
        <w:rPr>
          <w:rFonts w:ascii="Malgun Gothic" w:hAnsi="Malgun Gothic" w:eastAsia="맑은 고딕"/>
        </w:rPr>
        <w:t xml:space="preserve"> CFTC (DTCC의 스왑 데이터 저장소 운영 관련); FDIC (Title II에 따른 잠재적 정리 역할)</w:t>
      </w:r>
    </w:p>
    <w:p>
      <w:pPr>
        <w:pStyle w:val="Heading3"/>
      </w:pPr>
      <w:r>
        <w:rPr>
          <w:rFonts w:ascii="Malgun Gothic" w:hAnsi="Malgun Gothic" w:eastAsia="맑은 고딕"/>
        </w:rPr>
        <w:t>6.2 주요 규제 (Key Regulations)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규제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DTCC에 대한 영향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도드-프랭크법 Title VIII</w:t>
            </w:r>
            <w:r>
              <w:rPr>
                <w:rFonts w:ascii="Malgun Gothic" w:hAnsi="Malgun Gothic" w:eastAsia="맑은 고딕"/>
              </w:rPr>
              <w:t xml:space="preserve"> (2010년)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DTC, NSCC, FICC를 SIFMU로 지정; SEC 및 연방준비의 강화된 감독 체계 수립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리스크 관리, 지배구조, 보고 요건 강화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SEC Rule 17Ad-22</w:t>
            </w:r>
            <w:r>
              <w:rPr>
                <w:rFonts w:ascii="Malgun Gothic" w:hAnsi="Malgun Gothic" w:eastAsia="맑은 고딕"/>
              </w:rPr>
              <w:t xml:space="preserve"> (2012년 원안; 2016년 강화)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등록 청산기관에 대한 기준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Rule 17Ad-22(e) -- DTC, NSCC, FICC를 포함한 대상 청산기관에 대한 강화 기준. 리스크 관리, 지배구조, 회복 계획 등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SEC Rule 17ad-26</w:t>
            </w:r>
            <w:r>
              <w:rPr>
                <w:rFonts w:ascii="Malgun Gothic" w:hAnsi="Malgun Gothic" w:eastAsia="맑은 고딕"/>
              </w:rPr>
              <w:t xml:space="preserve"> (2024년)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회복 및 청산 정리 계획 요건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DTC/NSCC/FICC는 R&amp;W 계획 개정 필요; 준수 기한 2025년 12월 15일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SEC Rule -- 국채 청산 의무화</w:t>
            </w:r>
            <w:r>
              <w:rPr>
                <w:rFonts w:ascii="Malgun Gothic" w:hAnsi="Malgun Gothic" w:eastAsia="맑은 고딕"/>
              </w:rPr>
              <w:t xml:space="preserve"> (2023년 12월/2024년 채택)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미국 국채 현물 및 레포 거래의 중앙청산 확대 의무화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FICC-GSD는 접근성 확대 필요; 준수 기한: 현물 2026년 12월 31일, 레포 2027년 6월 30일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1934년 증권거래소법 (Securities Exchange Act of 1934)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청산기관 등록 및 규제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DTC, NSCC, FICC는 Section 17A에 따라 청산기관으로 등록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FDICIA</w:t>
            </w:r>
            <w:r>
              <w:rPr>
                <w:rFonts w:ascii="Malgun Gothic" w:hAnsi="Malgun Gothic" w:eastAsia="맑은 고딕"/>
              </w:rPr>
              <w:t xml:space="preserve"> (1991년)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연방예금보험공사개선법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청산기관 거래에 대한 차감 보호 제공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Basel III / CRR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CCP 익스포저에 대한 은행 자본 요건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DTCC CCP들의 적격중앙청산소(QCCP) 지위가 은행 회원의 자본 부과에 영향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6.3 PFMI 준수 (PFMI Compliance)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최근 PFMI 공시 프레임워크 갱신:</w:t>
      </w:r>
    </w:p>
    <w:p>
      <w:pPr>
        <w:pStyle w:val="ListBullet"/>
      </w:pPr>
      <w:r>
        <w:rPr>
          <w:rFonts w:ascii="Malgun Gothic" w:hAnsi="Malgun Gothic" w:eastAsia="맑은 고딕"/>
        </w:rPr>
        <w:t>NSCC: 2025년 Q1 (DTCC 웹사이트 공개)</w:t>
      </w:r>
    </w:p>
    <w:p>
      <w:pPr>
        <w:pStyle w:val="ListBullet"/>
      </w:pPr>
      <w:r>
        <w:rPr>
          <w:rFonts w:ascii="Malgun Gothic" w:hAnsi="Malgun Gothic" w:eastAsia="맑은 고딕"/>
        </w:rPr>
        <w:t>FICC: 최신본 DTCC 웹사이트에서 확인 가능</w:t>
      </w:r>
    </w:p>
    <w:p>
      <w:pPr>
        <w:pStyle w:val="ListBullet"/>
      </w:pPr>
      <w:r>
        <w:rPr>
          <w:rFonts w:ascii="Malgun Gothic" w:hAnsi="Malgun Gothic" w:eastAsia="맑은 고딕"/>
        </w:rPr>
        <w:t>DTC: 2024년 Q1 갱신본 공개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형식:</w:t>
      </w:r>
      <w:r>
        <w:rPr>
          <w:rFonts w:ascii="Malgun Gothic" w:hAnsi="Malgun Gothic" w:eastAsia="맑은 고딕"/>
        </w:rPr>
        <w:t xml:space="preserve"> 각 자회사가 24개 PFMI 원칙 및 5개 핵심 고려사항 전체를 다루는 별도 공시 프레임워크를 발행한다.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주요 결과:</w:t>
      </w:r>
      <w:r>
        <w:rPr>
          <w:rFonts w:ascii="Malgun Gothic" w:hAnsi="Malgun Gothic" w:eastAsia="맑은 고딕"/>
        </w:rPr>
        <w:t xml:space="preserve"> 일반적으로 PFMI 원칙을 대체로 준수(broadly observant)하는 것으로 평가된다. 사이버 복원력, 회복 계획, 지배구조 투명성이 지속적 관심 분야이다.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IMF FSAP 평가:</w:t>
      </w:r>
      <w:r>
        <w:rPr>
          <w:rFonts w:ascii="Malgun Gothic" w:hAnsi="Malgun Gothic" w:eastAsia="맑은 고딕"/>
        </w:rPr>
        <w:t xml:space="preserve"> DTC/NSCC/FICC에 대한 미국 FSAP 평가가 2010년에 공표되었다 (가장 최근의 포괄적 국제 평가).</w:t>
      </w:r>
    </w:p>
    <w:p>
      <w:pPr>
        <w:pStyle w:val="Heading3"/>
      </w:pPr>
      <w:r>
        <w:rPr>
          <w:rFonts w:ascii="Malgun Gothic" w:hAnsi="Malgun Gothic" w:eastAsia="맑은 고딕"/>
        </w:rPr>
        <w:t>6.4 보고 요건 (Reporting Requirements)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거래 보고:</w:t>
      </w:r>
      <w:r>
        <w:rPr>
          <w:rFonts w:ascii="Malgun Gothic" w:hAnsi="Malgun Gothic" w:eastAsia="맑은 고딕"/>
        </w:rPr>
        <w:t xml:space="preserve"> DTCC는 도드-프랭크법 Title VII에 따른 OTC 파생상품 거래 보고를 위해 DTCC Data Repository (DDR)를 운영한다.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포지션 보고:</w:t>
      </w:r>
      <w:r>
        <w:rPr>
          <w:rFonts w:ascii="Malgun Gothic" w:hAnsi="Malgun Gothic" w:eastAsia="맑은 고딕"/>
        </w:rPr>
        <w:t xml:space="preserve"> 회원은 증거금 산출의 일부로 포지션 데이터를 제출하며, DTCC는 필요에 따라 감독기관에 보고한다.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CPMI-IOSCO 공적정량공시(PQD):</w:t>
      </w:r>
      <w:r>
        <w:rPr>
          <w:rFonts w:ascii="Malgun Gothic" w:hAnsi="Malgun Gothic" w:eastAsia="맑은 고딕"/>
        </w:rPr>
        <w:t xml:space="preserve"> NSCC와 FICC에 대해 분기별로 공동 발행. 개시증거금, 공동기금, 신용리스크, 유동성리스크, 운영 지표를 다룬다. 열람: </w:t>
      </w:r>
      <w:r>
        <w:rPr>
          <w:rFonts w:ascii="Malgun Gothic" w:hAnsi="Malgun Gothic" w:eastAsia="맑은 고딕"/>
          <w:color w:val="0563C1"/>
          <w:u w:val="single"/>
        </w:rPr>
        <w:t>dtcc.com/legal/policy-and-compliance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재무제표:</w:t>
      </w:r>
      <w:r>
        <w:rPr>
          <w:rFonts w:ascii="Malgun Gothic" w:hAnsi="Malgun Gothic" w:eastAsia="맑은 고딕"/>
        </w:rPr>
        <w:t xml:space="preserve"> DTC, NSCC, FICC 및 DTCC 연결 기준으로 분기 및 연간 공개.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SEC 보고:</w:t>
      </w:r>
      <w:r>
        <w:rPr>
          <w:rFonts w:ascii="Malgun Gothic" w:hAnsi="Malgun Gothic" w:eastAsia="맑은 고딕"/>
        </w:rPr>
        <w:t xml:space="preserve"> 중요 규칙 변경에 대한 SR 제출(rule filings) 및 사전통지(advance notices).</w:t>
      </w:r>
    </w:p>
    <w:p>
      <w:r>
        <w:rPr>
          <w:rFonts w:ascii="Malgun Gothic" w:hAnsi="Malgun Gothic" w:eastAsia="맑은 고딕"/>
        </w:rPr>
        <w:t>*출처: Federal Reserve SIFMU designation page (</w:t>
      </w:r>
      <w:r>
        <w:rPr>
          <w:rFonts w:ascii="Malgun Gothic" w:hAnsi="Malgun Gothic" w:eastAsia="맑은 고딕"/>
          <w:color w:val="0563C1"/>
          <w:u w:val="single"/>
        </w:rPr>
        <w:t>federalreserve.gov</w:t>
      </w:r>
      <w:r>
        <w:rPr>
          <w:rFonts w:ascii="Malgun Gothic" w:hAnsi="Malgun Gothic" w:eastAsia="맑은 고딕"/>
        </w:rPr>
        <w:t>); Dodd-Frank Title VIII (</w:t>
      </w:r>
      <w:r>
        <w:rPr>
          <w:rFonts w:ascii="Malgun Gothic" w:hAnsi="Malgun Gothic" w:eastAsia="맑은 고딕"/>
          <w:color w:val="0563C1"/>
          <w:u w:val="single"/>
        </w:rPr>
        <w:t>law.cornell.edu</w:t>
      </w:r>
      <w:r>
        <w:rPr>
          <w:rFonts w:ascii="Malgun Gothic" w:hAnsi="Malgun Gothic" w:eastAsia="맑은 고딕"/>
        </w:rPr>
        <w:t>); SEC Rule 17Ad-22 (</w:t>
      </w:r>
      <w:r>
        <w:rPr>
          <w:rFonts w:ascii="Malgun Gothic" w:hAnsi="Malgun Gothic" w:eastAsia="맑은 고딕"/>
          <w:color w:val="0563C1"/>
          <w:u w:val="single"/>
        </w:rPr>
        <w:t>sec.gov</w:t>
      </w:r>
      <w:r>
        <w:rPr>
          <w:rFonts w:ascii="Malgun Gothic" w:hAnsi="Malgun Gothic" w:eastAsia="맑은 고딕"/>
        </w:rPr>
        <w:t>); SEC Treasury clearing rule (</w:t>
      </w:r>
      <w:r>
        <w:rPr>
          <w:rFonts w:ascii="Malgun Gothic" w:hAnsi="Malgun Gothic" w:eastAsia="맑은 고딕"/>
          <w:color w:val="0563C1"/>
          <w:u w:val="single"/>
        </w:rPr>
        <w:t>federalregister.gov</w:t>
      </w:r>
      <w:r>
        <w:rPr>
          <w:rFonts w:ascii="Malgun Gothic" w:hAnsi="Malgun Gothic" w:eastAsia="맑은 고딕"/>
        </w:rPr>
        <w:t>)*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7. 상호운용성 (Interoperability)</w:t>
      </w:r>
    </w:p>
    <w:p>
      <w:pPr>
        <w:pStyle w:val="Heading3"/>
      </w:pPr>
      <w:r>
        <w:rPr>
          <w:rFonts w:ascii="Malgun Gothic" w:hAnsi="Malgun Gothic" w:eastAsia="맑은 고딕"/>
        </w:rPr>
        <w:t>7.1 CCP 상호운용성 약정 (CCP Interoperability Arrangements)</w:t>
      </w:r>
    </w:p>
    <w:p>
      <w:r>
        <w:rPr>
          <w:rFonts w:ascii="Malgun Gothic" w:hAnsi="Malgun Gothic" w:eastAsia="맑은 고딕"/>
        </w:rPr>
        <w:t>DTCC의 CCP(NSCC 및 FICC)는 유럽 모델과 같은 공식적 CCP 상호운용성 연계(두 CCP가 동일 상품을 상호운용하여 청산하는 방식)를 갖추고 있지 않다. 대신 DTCC는 다음과 같은 약정을 통해 운영한다: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약정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상대방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상품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상호보증 협약 (Cross-Guaranty Agreement)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NSCC, FICC, DTC 간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이들 기관이 청산하는 모든 상품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회원이 여러 DTCC 자회사에서 동시에 부도하면, 한 자회사의 초과 담보를 다른 자회사의 부족분 충당에 사용 가능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상호보증 협약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OCC (옵션청산공사)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주식 옵션 및 기초 주식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NSCC와 OCC 양쪽에서 청산하는 회원의 부도관리 조율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교차증거금 협약 (Cross-Margining Agreement)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CME Clearing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미국 국채 선물 및 현물 국채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적격 회원이 FICC-GSD 포지션과 CME 국채 선물 간 증거금 상계를 받을 수 있음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7.2 국제 약정 (Cross-border Arrangements)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상대방 / 약정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Euroclear / Clearstream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DTC는 해외 투자자의 미국 증권 보유를 위한 국제결제 운영 연계를 유지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CLS Group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DTCC는 외환 결제 관련 활동을 위해 CLS에 참여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SWIFT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DTCC는 국제 메시징을 위해 SWIFT에 적극 참여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JSCC (일본)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디지털 자산 담보 관리에 대한 협력 작업 (2024년 사례 연구)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Canton Network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DTCC가 Euroclear와 함께 Canton Foundation의 공동 의장으로 참여; 국제 토큰화 인프라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국제 규제 인정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FICC는 EU (유럽시장인프라규정(EMIR) 동등성 평가), 영국, 캐나다 (온타리오증권위원회 면제), 아시아태평양 관할권 등 다수 국가에서 인정/면제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DTCC Global Trade Repository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도드-프랭크법 Title VII에 따른 OTC 파생상품 보고를 위해 미국, EU, 싱가포르, 호주, 일본 등 다수 관할권에서 운영하는 거래정보저장소</w:t>
            </w:r>
          </w:p>
        </w:tc>
      </w:tr>
    </w:tbl>
    <w:p/>
    <w:p>
      <w:r>
        <w:rPr>
          <w:rFonts w:ascii="Malgun Gothic" w:hAnsi="Malgun Gothic" w:eastAsia="맑은 고딕"/>
        </w:rPr>
        <w:t>*참고: 일부 유럽 CCP(예: LCH, EuroCCP, SIX x-clear)와 달리, DTCC CCP는 동일 거래 상품에 대한 다자간 CCP 상호운용성에 참여하지 않으며, 이는 미국 거래 후 인프라의 집중적 특성을 반영한다.*</w:t>
      </w:r>
    </w:p>
    <w:p>
      <w:r>
        <w:rPr>
          <w:rFonts w:ascii="Malgun Gothic" w:hAnsi="Malgun Gothic" w:eastAsia="맑은 고딕"/>
        </w:rPr>
        <w:t>*출처: SIFMA Insights Spotlight DTCC; DTCC case study with JSCC (</w:t>
      </w:r>
      <w:r>
        <w:rPr>
          <w:rFonts w:ascii="Malgun Gothic" w:hAnsi="Malgun Gothic" w:eastAsia="맑은 고딕"/>
          <w:color w:val="0563C1"/>
          <w:u w:val="single"/>
        </w:rPr>
        <w:t>dtcc.com</w:t>
      </w:r>
      <w:r>
        <w:rPr>
          <w:rFonts w:ascii="Malgun Gothic" w:hAnsi="Malgun Gothic" w:eastAsia="맑은 고딕"/>
        </w:rPr>
        <w:t>); Ontario Securities Commission FICC recognition (</w:t>
      </w:r>
      <w:r>
        <w:rPr>
          <w:rFonts w:ascii="Malgun Gothic" w:hAnsi="Malgun Gothic" w:eastAsia="맑은 고딕"/>
          <w:color w:val="0563C1"/>
          <w:u w:val="single"/>
        </w:rPr>
        <w:t>osc.ca</w:t>
      </w:r>
      <w:r>
        <w:rPr>
          <w:rFonts w:ascii="Malgun Gothic" w:hAnsi="Malgun Gothic" w:eastAsia="맑은 고딕"/>
        </w:rPr>
        <w:t>)*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8. 수수료 (Fees)</w:t>
      </w:r>
    </w:p>
    <w:p>
      <w:pPr>
        <w:pStyle w:val="Heading3"/>
      </w:pPr>
      <w:r>
        <w:rPr>
          <w:rFonts w:ascii="Malgun Gothic" w:hAnsi="Malgun Gothic" w:eastAsia="맑은 고딕"/>
        </w:rPr>
        <w:t>8.1 청산 수수료 (Clearing Fees)</w:t>
      </w:r>
    </w:p>
    <w:p>
      <w:pPr>
        <w:pStyle w:val="Heading3"/>
      </w:pPr>
      <w:r>
        <w:rPr>
          <w:rFonts w:ascii="Malgun Gothic" w:hAnsi="Malgun Gothic" w:eastAsia="맑은 고딕"/>
        </w:rPr>
        <w:t>NSCC 수수료 (NSCC Fee Schedule / Addendum A 기준)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서비스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수수료 구조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요율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거래 기록 (비교)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건당 (per side)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제출 방법에 따라 상이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CNS 수령/인도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건당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인도당 0.21 USD (CNS/ACATS 인도 수수료, 2025년 0.17 USD에서 인상)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청산 / 차감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차감 포지션당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수수료표 기준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Fund/SERV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건당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거래 유형에 따라 상이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ACATS (계좌 이전)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이전당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이전당 수수료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청산기금 유지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현금 예치에 대해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기금 관리에 포함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FICC-GSD 수수료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서비스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수수료 구조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요율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거래 비교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비교 거래당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핵심 서비스 수수료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차감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차감 의무당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핵심 서비스 수수료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Sponsored GC 거래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거래당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핵심 및 고급 서비스 수수료 (2026년 1월 1일 시행)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ACS Triparty 거래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거래당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핵심 서비스 수수료 (2026년 1월 5일 시행)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청산기금 유지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현금 예치에 대해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평균 현금 예치 잔액의 연 0.25% (월별)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Sponsored GC CIL 거래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거래당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핵심 및 고급 서비스 수수료 (2025년 12월 16일 시행)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DTC 수수료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서비스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수수료 구조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요율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장부대체 인도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인도당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건당 수수료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예탁 / 인출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증서당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건당 수수료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수탁 (수탁/자산 서비스)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포지션당, 월별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금액 기준 단계별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기업 이벤트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처리 이벤트당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이벤트 유형에 따라 상이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조직재편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지시당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수수료표 기준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8.2 회원 수수료 (Membership Fees)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NSCC:</w:t>
      </w:r>
      <w:r>
        <w:rPr>
          <w:rFonts w:ascii="Malgun Gothic" w:hAnsi="Malgun Gothic" w:eastAsia="맑은 고딕"/>
        </w:rPr>
        <w:t xml:space="preserve"> 1회 가입 신청 수수료; 청산기금 유지 및 거래 기반 수수료를 통한 지속적 비용.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FICC-GSD:</w:t>
      </w:r>
      <w:r>
        <w:rPr>
          <w:rFonts w:ascii="Malgun Gothic" w:hAnsi="Malgun Gothic" w:eastAsia="맑은 고딕"/>
        </w:rPr>
        <w:t xml:space="preserve"> 가입 신청 수수료; 최소 청산기금 예치금 1,000,000 USD; 현금 예치에 대한 연 0.25% 유지 수수료 (월별 부과).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DTC:</w:t>
      </w:r>
      <w:r>
        <w:rPr>
          <w:rFonts w:ascii="Malgun Gothic" w:hAnsi="Malgun Gothic" w:eastAsia="맑은 고딕"/>
        </w:rPr>
        <w:t xml:space="preserve"> 참가자 가입 신청 수수료; 최소 참가자기금 예치금 10,000 USD (활동 기반 추가 금액); 지속적 수탁 및 거래 수수료.</w:t>
      </w:r>
    </w:p>
    <w:p>
      <w:r>
        <w:rPr>
          <w:rFonts w:ascii="Malgun Gothic" w:hAnsi="Malgun Gothic" w:eastAsia="맑은 고딕"/>
        </w:rPr>
        <w:t xml:space="preserve">*참고: 상세 수수료표는 매년 공개되며 </w:t>
      </w:r>
      <w:r>
        <w:rPr>
          <w:rFonts w:ascii="Malgun Gothic" w:hAnsi="Malgun Gothic" w:eastAsia="맑은 고딕"/>
          <w:color w:val="0563C1"/>
          <w:u w:val="single"/>
        </w:rPr>
        <w:t>dtcc.com/legal/fee-guides</w:t>
      </w:r>
      <w:r>
        <w:rPr>
          <w:rFonts w:ascii="Malgun Gothic" w:hAnsi="Malgun Gothic" w:eastAsia="맑은 고딕"/>
        </w:rPr>
        <w:t>에서 확인 가능하다. 중요 변경 시 SEC 검토 및 승인을 받는다.*</w:t>
      </w:r>
    </w:p>
    <w:p>
      <w:r>
        <w:rPr>
          <w:rFonts w:ascii="Malgun Gothic" w:hAnsi="Malgun Gothic" w:eastAsia="맑은 고딕"/>
        </w:rPr>
        <w:t>*출처: NSCC Fee Schedule guide (</w:t>
      </w:r>
      <w:r>
        <w:rPr>
          <w:rFonts w:ascii="Malgun Gothic" w:hAnsi="Malgun Gothic" w:eastAsia="맑은 고딕"/>
          <w:color w:val="0563C1"/>
          <w:u w:val="single"/>
        </w:rPr>
        <w:t>dtcc.com</w:t>
      </w:r>
      <w:r>
        <w:rPr>
          <w:rFonts w:ascii="Malgun Gothic" w:hAnsi="Malgun Gothic" w:eastAsia="맑은 고딕"/>
        </w:rPr>
        <w:t>); DTC Fee Schedule (</w:t>
      </w:r>
      <w:r>
        <w:rPr>
          <w:rFonts w:ascii="Malgun Gothic" w:hAnsi="Malgun Gothic" w:eastAsia="맑은 고딕"/>
          <w:color w:val="0563C1"/>
          <w:u w:val="single"/>
        </w:rPr>
        <w:t>dtcc.com</w:t>
      </w:r>
      <w:r>
        <w:rPr>
          <w:rFonts w:ascii="Malgun Gothic" w:hAnsi="Malgun Gothic" w:eastAsia="맑은 고딕"/>
        </w:rPr>
        <w:t>); FICC GSD Fee Schedule (</w:t>
      </w:r>
      <w:r>
        <w:rPr>
          <w:rFonts w:ascii="Malgun Gothic" w:hAnsi="Malgun Gothic" w:eastAsia="맑은 고딕"/>
          <w:color w:val="0563C1"/>
          <w:u w:val="single"/>
        </w:rPr>
        <w:t>dtcc.com</w:t>
      </w:r>
      <w:r>
        <w:rPr>
          <w:rFonts w:ascii="Malgun Gothic" w:hAnsi="Malgun Gothic" w:eastAsia="맑은 고딕"/>
        </w:rPr>
        <w:t>); Federal Register 2024-30520 (FICC maintenance fee); Federal Register 2024-30351 (DTC settlement fees)*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9. 최근 동향 (Recent Developments)</w:t>
      </w:r>
    </w:p>
    <w:p>
      <w:pPr>
        <w:pStyle w:val="Heading3"/>
      </w:pPr>
      <w:r>
        <w:rPr>
          <w:rFonts w:ascii="Malgun Gothic" w:hAnsi="Malgun Gothic" w:eastAsia="맑은 고딕"/>
        </w:rPr>
        <w:t>시스템 업그레이드 (최근 5년) (System Upgrades)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2022년:</w:t>
      </w:r>
      <w:r>
        <w:rPr>
          <w:rFonts w:ascii="Malgun Gothic" w:hAnsi="Malgun Gothic" w:eastAsia="맑은 고딕"/>
        </w:rPr>
        <w:t xml:space="preserve"> Project Ion DLT 기반 상대 결제 플랫폼이 병렬 운영 환경에서 가동. 분산원장기술(DLT)을 활용하여 일일 100,000건 이상의 주식 거래를 처리.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2023년:</w:t>
      </w:r>
      <w:r>
        <w:rPr>
          <w:rFonts w:ascii="Malgun Gothic" w:hAnsi="Malgun Gothic" w:eastAsia="맑은 고딕"/>
        </w:rPr>
        <w:t xml:space="preserve"> NSCC가 장중 변동성 차지(Intraday Volatility Charge) 도입 (장중 사후검증 차지 대체) 및 갭 리스크 측정치·VaR Charge 계산 강화 (SR-NSCC-2023-003, SR-NSCC-2023-013).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2023년:</w:t>
      </w:r>
      <w:r>
        <w:rPr>
          <w:rFonts w:ascii="Malgun Gothic" w:hAnsi="Malgun Gothic" w:eastAsia="맑은 고딕"/>
        </w:rPr>
        <w:t xml:space="preserve"> DTCC가 Securrency 인수, DTCC Digital Assets로 리브랜딩. 기관급 디지털 자산 인프라 확보.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2024년 (5월 28일):</w:t>
      </w:r>
      <w:r>
        <w:rPr>
          <w:rFonts w:ascii="Malgun Gothic" w:hAnsi="Malgun Gothic" w:eastAsia="맑은 고딕"/>
        </w:rPr>
        <w:t xml:space="preserve"> 주식, 회사채, 지방채, UIT에 대한 </w:t>
      </w:r>
      <w:r>
        <w:rPr>
          <w:rFonts w:ascii="Malgun Gothic" w:hAnsi="Malgun Gothic" w:eastAsia="맑은 고딕"/>
          <w:b/>
        </w:rPr>
        <w:t>T+1 결제주기</w:t>
      </w:r>
      <w:r>
        <w:rPr>
          <w:rFonts w:ascii="Malgun Gothic" w:hAnsi="Malgun Gothic" w:eastAsia="맑은 고딕"/>
        </w:rPr>
        <w:t xml:space="preserve"> 성공적 전환. 결과:</w:t>
      </w:r>
    </w:p>
    <w:p>
      <w:pPr>
        <w:pStyle w:val="ListBullet"/>
      </w:pPr>
      <w:r>
        <w:rPr>
          <w:rFonts w:ascii="Malgun Gothic" w:hAnsi="Malgun Gothic" w:eastAsia="맑은 고딕"/>
        </w:rPr>
        <w:t>확인(affirmation) 비율: 73% (2024년 1월)에서 오후 9시(ET) 마감 기준 약 95%로 개선</w:t>
      </w:r>
    </w:p>
    <w:p>
      <w:pPr>
        <w:pStyle w:val="ListBullet"/>
      </w:pPr>
      <w:r>
        <w:rPr>
          <w:rFonts w:ascii="Malgun Gothic" w:hAnsi="Malgun Gothic" w:eastAsia="맑은 고딕"/>
        </w:rPr>
        <w:t>CNS 결제불이행 비율: 2.12% (2024년 7월), 기존 T+2 수준과 유사</w:t>
      </w:r>
    </w:p>
    <w:p>
      <w:pPr>
        <w:pStyle w:val="ListBullet"/>
      </w:pPr>
      <w:r>
        <w:rPr>
          <w:rFonts w:ascii="Malgun Gothic" w:hAnsi="Malgun Gothic" w:eastAsia="맑은 고딕"/>
        </w:rPr>
        <w:t>NSCC 청산기금 약 30억 USD (23%) 감소, 브로커-딜러에 연간 약 7,500억 USD의 자본 여력 확보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2025년 (4월):</w:t>
      </w:r>
      <w:r>
        <w:rPr>
          <w:rFonts w:ascii="Malgun Gothic" w:hAnsi="Malgun Gothic" w:eastAsia="맑은 고딕"/>
        </w:rPr>
        <w:t xml:space="preserve"> DTCC가 AppChain (Hyperledger Besu 기반) 토큰화 담보 관리 플랫폼 공개.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2025년 (11월):</w:t>
      </w:r>
      <w:r>
        <w:rPr>
          <w:rFonts w:ascii="Malgun Gothic" w:hAnsi="Malgun Gothic" w:eastAsia="맑은 고딕"/>
        </w:rPr>
        <w:t xml:space="preserve"> ISO 20022 기업 이벤트 메시징을 SR2025 버전으로 전환.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2025년 (11월):</w:t>
      </w:r>
      <w:r>
        <w:rPr>
          <w:rFonts w:ascii="Malgun Gothic" w:hAnsi="Malgun Gothic" w:eastAsia="맑은 고딕"/>
        </w:rPr>
        <w:t xml:space="preserve"> SEC가 참가자 시스템 장애 관리에 관한 DTC/FICC/NSCC 규칙 변경 승인.</w:t>
      </w:r>
    </w:p>
    <w:p>
      <w:pPr>
        <w:pStyle w:val="Heading3"/>
      </w:pPr>
      <w:r>
        <w:rPr>
          <w:rFonts w:ascii="Malgun Gothic" w:hAnsi="Malgun Gothic" w:eastAsia="맑은 고딕"/>
        </w:rPr>
        <w:t>신규 서비스 (New Services)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FICC ACS Triparty 서비스:</w:t>
      </w:r>
      <w:r>
        <w:rPr>
          <w:rFonts w:ascii="Malgun Gothic" w:hAnsi="Malgun Gothic" w:eastAsia="맑은 고딕"/>
        </w:rPr>
        <w:t xml:space="preserve"> SEC 승인; 2025년 12월 에이전트 청산 프레임워크를 통한 청산 대상 삼자간 레포(triparty repo) 출시.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FICC Sponsored GC CIL (Collateral-in-Lieu) 서비스:</w:t>
      </w:r>
      <w:r>
        <w:rPr>
          <w:rFonts w:ascii="Malgun Gothic" w:hAnsi="Malgun Gothic" w:eastAsia="맑은 고딕"/>
        </w:rPr>
        <w:t xml:space="preserve"> Sponsored General Collateral 내 신규 서비스.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FICC SFT (Securities Financing Transaction) 청산 서비스:</w:t>
      </w:r>
      <w:r>
        <w:rPr>
          <w:rFonts w:ascii="Malgun Gothic" w:hAnsi="Malgun Gothic" w:eastAsia="맑은 고딕"/>
        </w:rPr>
        <w:t xml:space="preserve"> 국채 청산 의무화에 대비하여 FICC의 레포 청산 역량을 확대하는 제안.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DTC 토큰화 서비스:</w:t>
      </w:r>
      <w:r>
        <w:rPr>
          <w:rFonts w:ascii="Malgun Gothic" w:hAnsi="Malgun Gothic" w:eastAsia="맑은 고딕"/>
        </w:rPr>
        <w:t xml:space="preserve"> SEC No-Action Letter (2025년 12월)로 DTC가 승인된 블록체인 (Canton Network)에서 DTC 수탁 자산의 토큰화를 제공할 수 있도록 허가. 미국 최초로 공개/비공개 허가형 블록체인에서 증권 수익권(security entitlements)을 토큰화하는 CSD.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DTCC Digital Launchpad:</w:t>
      </w:r>
      <w:r>
        <w:rPr>
          <w:rFonts w:ascii="Malgun Gothic" w:hAnsi="Malgun Gothic" w:eastAsia="맑은 고딕"/>
        </w:rPr>
        <w:t xml:space="preserve"> 시장 참가자 및 기술 제공업체와 디지털 자산 솔루션을 테스트·공동 개발하는 협력 생태계.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DTCC Digital Assets Solutions:</w:t>
      </w:r>
      <w:r>
        <w:rPr>
          <w:rFonts w:ascii="Malgun Gothic" w:hAnsi="Malgun Gothic" w:eastAsia="맑은 고딕"/>
        </w:rPr>
        <w:t xml:space="preserve"> SEC 허가에 따라 2026년 출범한 신규 사업부문. DTCC ComposerX, LaunchPad, Collateral AppChain 기반.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Fnality 통합:</w:t>
      </w:r>
      <w:r>
        <w:rPr>
          <w:rFonts w:ascii="Malgun Gothic" w:hAnsi="Malgun Gothic" w:eastAsia="맑은 고딕"/>
        </w:rPr>
        <w:t xml:space="preserve"> Fnality International의 디지털 결제 인프라가 원자적 결제(atomic settlement) 및 실시간 결제를 위해 DTCC Digital Launchpad에 통합.</w:t>
      </w:r>
    </w:p>
    <w:p>
      <w:pPr>
        <w:pStyle w:val="Heading3"/>
      </w:pPr>
      <w:r>
        <w:rPr>
          <w:rFonts w:ascii="Malgun Gothic" w:hAnsi="Malgun Gothic" w:eastAsia="맑은 고딕"/>
        </w:rPr>
        <w:t>규제 변화 (Regulatory Changes)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SEC Rule 17ad-26 (회복 및 청산 정리):</w:t>
      </w:r>
      <w:r>
        <w:rPr>
          <w:rFonts w:ascii="Malgun Gothic" w:hAnsi="Malgun Gothic" w:eastAsia="맑은 고딕"/>
        </w:rPr>
        <w:t xml:space="preserve"> DTC/NSCC/FICC가 R&amp;W 계획 개정; 준수 기한 2025년 12월 15일; SEC가 2025년 6월 승인.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국채 청산 의무화:</w:t>
      </w:r>
      <w:r>
        <w:rPr>
          <w:rFonts w:ascii="Malgun Gothic" w:hAnsi="Malgun Gothic" w:eastAsia="맑은 고딕"/>
        </w:rPr>
        <w:t xml:space="preserve"> SEC가 미국 국채 현물 거래 (준수 기한: 2026년 12월 31일) 및 레포 거래 (준수 기한: 2027년 6월 30일)의 중앙청산 확대를 의무화하는 규칙 채택. FICC-GSD가 주요 CCP이며, CME Securities Clearing Inc.가 제2 CCP로 승인.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FICC GSD 최소 증거금:</w:t>
      </w:r>
      <w:r>
        <w:rPr>
          <w:rFonts w:ascii="Malgun Gothic" w:hAnsi="Malgun Gothic" w:eastAsia="맑은 고딕"/>
        </w:rPr>
        <w:t xml:space="preserve"> SEC가 GSD 포지션에 대한 FICC의 최소 증거금 하한 도입 승인 (2024년 11월).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FICC 변동성 이벤트 차지:</w:t>
      </w:r>
      <w:r>
        <w:rPr>
          <w:rFonts w:ascii="Malgun Gothic" w:hAnsi="Malgun Gothic" w:eastAsia="맑은 고딕"/>
        </w:rPr>
        <w:t xml:space="preserve"> SEC가 변동성 고조 시기를 다루기 위한 GSD 신규 차지 승인 (2025년 4월).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NSCC 장중 증거금 강화:</w:t>
      </w:r>
      <w:r>
        <w:rPr>
          <w:rFonts w:ascii="Malgun Gothic" w:hAnsi="Malgun Gothic" w:eastAsia="맑은 고딕"/>
        </w:rPr>
        <w:t xml:space="preserve"> 장중 증거금 징수 강화를 위한 규칙 변경 제안 (2025년 4월), Amendment No. 1을 SEC가 2025년 6월 승인.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NSCC CNS 결제불이행 차지 개정:</w:t>
      </w:r>
      <w:r>
        <w:rPr>
          <w:rFonts w:ascii="Malgun Gothic" w:hAnsi="Malgun Gothic" w:eastAsia="맑은 고딕"/>
        </w:rPr>
        <w:t xml:space="preserve"> NSCC 규칙 내 CNS Fails Charge 개정을 위한 규칙 변경 제안 (2025년 9월).</w:t>
      </w:r>
    </w:p>
    <w:p>
      <w:pPr>
        <w:pStyle w:val="Heading3"/>
      </w:pPr>
      <w:r>
        <w:rPr>
          <w:rFonts w:ascii="Malgun Gothic" w:hAnsi="Malgun Gothic" w:eastAsia="맑은 고딕"/>
        </w:rPr>
        <w:t>전략적 이니셔티브 (Strategic Initiatives)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국채 청산 확대:</w:t>
      </w:r>
      <w:r>
        <w:rPr>
          <w:rFonts w:ascii="Malgun Gothic" w:hAnsi="Malgun Gothic" w:eastAsia="맑은 고딕"/>
        </w:rPr>
        <w:t xml:space="preserve"> 최우선 전략 과제. SEC의 국채 청산 의무화에 대비하여 FICC-GSD 인프라 및 회원 접근 모델을 준비 중. FICC는 예상 거래량 증가에 대응하기 위해 Sponsored Member 접근, ACS (Agent Clearing Service), 삼자간 레포 청산을 확대하고 있다.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디지털 자산 전략:</w:t>
      </w:r>
      <w:r>
        <w:rPr>
          <w:rFonts w:ascii="Malgun Gothic" w:hAnsi="Malgun Gothic" w:eastAsia="맑은 고딕"/>
        </w:rPr>
        <w:t xml:space="preserve"> Canton Network에서의 DTC 수탁 자산 토큰화, 업계 협력을 위한 Digital Launchpad, ComposerX 플랫폼 등 다각적 접근. DTCC가 Euroclear와 함께 Canton Foundation 공동 의장으로 참여.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클라우드 이전:</w:t>
      </w:r>
      <w:r>
        <w:rPr>
          <w:rFonts w:ascii="Malgun Gothic" w:hAnsi="Malgun Gothic" w:eastAsia="맑은 고딕"/>
        </w:rPr>
        <w:t xml:space="preserve"> 핵심 결제 시스템의 메인프레임 신뢰성을 유지하면서 클라우드 기반 서비스로 인프라를 현대화하는 지속적 이니셔티브.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글로벌 T+1 리더십:</w:t>
      </w:r>
      <w:r>
        <w:rPr>
          <w:rFonts w:ascii="Malgun Gothic" w:hAnsi="Malgun Gothic" w:eastAsia="맑은 고딕"/>
        </w:rPr>
        <w:t xml:space="preserve"> DTCC가 미국 T+1 전환 경험을 공유하고 글로벌 결제 단축을 지원하기 위해 국제 시장(EU, 영국, 아시아태평양)과 적극적으로 협력 중.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ISO 20022 도입:</w:t>
      </w:r>
      <w:r>
        <w:rPr>
          <w:rFonts w:ascii="Malgun Gothic" w:hAnsi="Malgun Gothic" w:eastAsia="맑은 고딕"/>
        </w:rPr>
        <w:t xml:space="preserve"> 기업 이벤트 및 기타 서비스 분야에서 ISO 20022 메시징 표준으로의 지속적 전환.</w:t>
      </w:r>
    </w:p>
    <w:p>
      <w:r>
        <w:rPr>
          <w:rFonts w:ascii="Malgun Gothic" w:hAnsi="Malgun Gothic" w:eastAsia="맑은 고딕"/>
        </w:rPr>
        <w:t>*출처: DTCC 2024 Annual Report; SIFMA/ICI/DTCC T+1 After Action Report (</w:t>
      </w:r>
      <w:r>
        <w:rPr>
          <w:rFonts w:ascii="Malgun Gothic" w:hAnsi="Malgun Gothic" w:eastAsia="맑은 고딕"/>
          <w:color w:val="0563C1"/>
          <w:u w:val="single"/>
        </w:rPr>
        <w:t>sifma.org</w:t>
      </w:r>
      <w:r>
        <w:rPr>
          <w:rFonts w:ascii="Malgun Gothic" w:hAnsi="Malgun Gothic" w:eastAsia="맑은 고딕"/>
        </w:rPr>
        <w:t>); DTCC 보도자료 (</w:t>
      </w:r>
      <w:r>
        <w:rPr>
          <w:rFonts w:ascii="Malgun Gothic" w:hAnsi="Malgun Gothic" w:eastAsia="맑은 고딕"/>
          <w:color w:val="0563C1"/>
          <w:u w:val="single"/>
        </w:rPr>
        <w:t>dtcc.com/news</w:t>
      </w:r>
      <w:r>
        <w:rPr>
          <w:rFonts w:ascii="Malgun Gothic" w:hAnsi="Malgun Gothic" w:eastAsia="맑은 고딕"/>
        </w:rPr>
        <w:t>); SEC FICC rule filings; CoinDesk (</w:t>
      </w:r>
      <w:r>
        <w:rPr>
          <w:rFonts w:ascii="Malgun Gothic" w:hAnsi="Malgun Gothic" w:eastAsia="맑은 고딕"/>
          <w:color w:val="0563C1"/>
          <w:u w:val="single"/>
        </w:rPr>
        <w:t>coindesk.com</w:t>
      </w:r>
      <w:r>
        <w:rPr>
          <w:rFonts w:ascii="Malgun Gothic" w:hAnsi="Malgun Gothic" w:eastAsia="맑은 고딕"/>
        </w:rPr>
        <w:t>); SEC Treasury Clearing Implementation page (</w:t>
      </w:r>
      <w:r>
        <w:rPr>
          <w:rFonts w:ascii="Malgun Gothic" w:hAnsi="Malgun Gothic" w:eastAsia="맑은 고딕"/>
          <w:color w:val="0563C1"/>
          <w:u w:val="single"/>
        </w:rPr>
        <w:t>sec.gov</w:t>
      </w:r>
      <w:r>
        <w:rPr>
          <w:rFonts w:ascii="Malgun Gothic" w:hAnsi="Malgun Gothic" w:eastAsia="맑은 고딕"/>
        </w:rPr>
        <w:t>)*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KRX/KSD (한국)와의 비교 (Comparison with KRX/KSD)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항목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DTCC (DTC/NSCC/FICC)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KRX/KSD (한국)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구조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별도의 CSD (DTC)와 CCP (NSCC, FICC)를 갖춘 지주회사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KRX가 CCP 역할, KSD가 CSD 역할 -- 별도 기관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소유구조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이용자 소유 (업계 유틸리티)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KRX: 주식회사화된 거래소; KSD: 금융기관 공동 출자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CCP 범위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NSCC (주식), FICC (채권)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KRX CCP는 주식, 파생상품, 채권을 포괄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결제주기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T+1 (2024년 5월부터)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주식 T+2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CSD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DTC -- 미국 독점 CSD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KSD -- 한국 유일의 CSD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SIFMU 지정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예 (도드-프랭크법 Title VIII)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해당 없음 (상이한 규제 체계)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수탁자산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100조 USD 이상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한국 시장 규모에 비례하여 상당히 소규모</w:t>
            </w:r>
          </w:p>
        </w:tc>
      </w:tr>
    </w:tbl>
    <w:p/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출처 (Sources)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DTCC 2024 Annual Report -- </w:t>
      </w:r>
      <w:r>
        <w:rPr>
          <w:rFonts w:ascii="Malgun Gothic" w:hAnsi="Malgun Gothic" w:eastAsia="맑은 고딕"/>
          <w:color w:val="0563C1"/>
          <w:u w:val="single"/>
        </w:rPr>
        <w:t>dtcc.com/annuals/2024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DTCC Wikipedia -- </w:t>
      </w:r>
      <w:r>
        <w:rPr>
          <w:rFonts w:ascii="Malgun Gothic" w:hAnsi="Malgun Gothic" w:eastAsia="맑은 고딕"/>
          <w:color w:val="0563C1"/>
          <w:u w:val="single"/>
        </w:rPr>
        <w:t>en.wikipedia.org/wiki/Depository_Trust_&amp;_Clearing_Corporation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NSCC Disclosure Framework (PFMI) -- </w:t>
      </w:r>
      <w:r>
        <w:rPr>
          <w:rFonts w:ascii="Malgun Gothic" w:hAnsi="Malgun Gothic" w:eastAsia="맑은 고딕"/>
          <w:color w:val="0563C1"/>
          <w:u w:val="single"/>
        </w:rPr>
        <w:t>dtcc.com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FICC Disclosure Framework (PFMI) -- </w:t>
      </w:r>
      <w:r>
        <w:rPr>
          <w:rFonts w:ascii="Malgun Gothic" w:hAnsi="Malgun Gothic" w:eastAsia="맑은 고딕"/>
          <w:color w:val="0563C1"/>
          <w:u w:val="single"/>
        </w:rPr>
        <w:t>dtcc.com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DTC Disclosure Framework (PFMI) -- </w:t>
      </w:r>
      <w:r>
        <w:rPr>
          <w:rFonts w:ascii="Malgun Gothic" w:hAnsi="Malgun Gothic" w:eastAsia="맑은 고딕"/>
          <w:color w:val="0563C1"/>
          <w:u w:val="single"/>
        </w:rPr>
        <w:t>dtcc.com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CPMI-IOSCO Public Quantitative Disclosures Q4 2024 -- </w:t>
      </w:r>
      <w:r>
        <w:rPr>
          <w:rFonts w:ascii="Malgun Gothic" w:hAnsi="Malgun Gothic" w:eastAsia="맑은 고딕"/>
          <w:color w:val="0563C1"/>
          <w:u w:val="single"/>
        </w:rPr>
        <w:t>dtcc.com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CPMI-IOSCO Public Quantitative Disclosures Q3 2025 -- </w:t>
      </w:r>
      <w:r>
        <w:rPr>
          <w:rFonts w:ascii="Malgun Gothic" w:hAnsi="Malgun Gothic" w:eastAsia="맑은 고딕"/>
          <w:color w:val="0563C1"/>
          <w:u w:val="single"/>
        </w:rPr>
        <w:t>dtcc.com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GSD Clearing Fund Methodology Overview (Jan 2024) -- </w:t>
      </w:r>
      <w:r>
        <w:rPr>
          <w:rFonts w:ascii="Malgun Gothic" w:hAnsi="Malgun Gothic" w:eastAsia="맑은 고딕"/>
          <w:color w:val="0563C1"/>
          <w:u w:val="single"/>
        </w:rPr>
        <w:t>dtcc.com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NSCC Rules &amp; Procedures -- </w:t>
      </w:r>
      <w:r>
        <w:rPr>
          <w:rFonts w:ascii="Malgun Gothic" w:hAnsi="Malgun Gothic" w:eastAsia="맑은 고딕"/>
          <w:color w:val="0563C1"/>
          <w:u w:val="single"/>
        </w:rPr>
        <w:t>dtcc.com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NSCC Financial Statements Annual 2024 -- </w:t>
      </w:r>
      <w:r>
        <w:rPr>
          <w:rFonts w:ascii="Malgun Gothic" w:hAnsi="Malgun Gothic" w:eastAsia="맑은 고딕"/>
          <w:color w:val="0563C1"/>
          <w:u w:val="single"/>
        </w:rPr>
        <w:t>dtcc.com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FICC Financial Statements Annual 2024 -- </w:t>
      </w:r>
      <w:r>
        <w:rPr>
          <w:rFonts w:ascii="Malgun Gothic" w:hAnsi="Malgun Gothic" w:eastAsia="맑은 고딕"/>
          <w:color w:val="0563C1"/>
          <w:u w:val="single"/>
        </w:rPr>
        <w:t>dtcc.com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SIFMA Insights: Spotlight DTCC -- </w:t>
      </w:r>
      <w:r>
        <w:rPr>
          <w:rFonts w:ascii="Malgun Gothic" w:hAnsi="Malgun Gothic" w:eastAsia="맑은 고딕"/>
          <w:color w:val="0563C1"/>
          <w:u w:val="single"/>
        </w:rPr>
        <w:t>sifma.org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SIFMA/ICI/DTCC T+1 After Action Report (Sep 2024) -- </w:t>
      </w:r>
      <w:r>
        <w:rPr>
          <w:rFonts w:ascii="Malgun Gothic" w:hAnsi="Malgun Gothic" w:eastAsia="맑은 고딕"/>
          <w:color w:val="0563C1"/>
          <w:u w:val="single"/>
        </w:rPr>
        <w:t>sifma.org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SEC Rule 17Ad-22 (Standards for Covered Clearing Agencies) -- </w:t>
      </w:r>
      <w:r>
        <w:rPr>
          <w:rFonts w:ascii="Malgun Gothic" w:hAnsi="Malgun Gothic" w:eastAsia="맑은 고딕"/>
          <w:color w:val="0563C1"/>
          <w:u w:val="single"/>
        </w:rPr>
        <w:t>sec.gov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Federal Reserve: Designated FMUs -- </w:t>
      </w:r>
      <w:r>
        <w:rPr>
          <w:rFonts w:ascii="Malgun Gothic" w:hAnsi="Malgun Gothic" w:eastAsia="맑은 고딕"/>
          <w:color w:val="0563C1"/>
          <w:u w:val="single"/>
        </w:rPr>
        <w:t>federalreserve.gov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Dodd-Frank Title VIII (Payment, Clearing, and Settlement) -- </w:t>
      </w:r>
      <w:r>
        <w:rPr>
          <w:rFonts w:ascii="Malgun Gothic" w:hAnsi="Malgun Gothic" w:eastAsia="맑은 고딕"/>
          <w:color w:val="0563C1"/>
          <w:u w:val="single"/>
        </w:rPr>
        <w:t>law.cornell.edu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SEC Treasury Clearing Implementation -- </w:t>
      </w:r>
      <w:r>
        <w:rPr>
          <w:rFonts w:ascii="Malgun Gothic" w:hAnsi="Malgun Gothic" w:eastAsia="맑은 고딕"/>
          <w:color w:val="0563C1"/>
          <w:u w:val="single"/>
        </w:rPr>
        <w:t>sec.gov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Federal Register: R&amp;W Plan Amendments (2025-10877) -- </w:t>
      </w:r>
      <w:r>
        <w:rPr>
          <w:rFonts w:ascii="Malgun Gothic" w:hAnsi="Malgun Gothic" w:eastAsia="맑은 고딕"/>
          <w:color w:val="0563C1"/>
          <w:u w:val="single"/>
        </w:rPr>
        <w:t>federalregister.gov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NSCC Fee Schedule Guide -- </w:t>
      </w:r>
      <w:r>
        <w:rPr>
          <w:rFonts w:ascii="Malgun Gothic" w:hAnsi="Malgun Gothic" w:eastAsia="맑은 고딕"/>
          <w:color w:val="0563C1"/>
          <w:u w:val="single"/>
        </w:rPr>
        <w:t>dtcc.com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DTC Fee Schedule Guide -- </w:t>
      </w:r>
      <w:r>
        <w:rPr>
          <w:rFonts w:ascii="Malgun Gothic" w:hAnsi="Malgun Gothic" w:eastAsia="맑은 고딕"/>
          <w:color w:val="0563C1"/>
          <w:u w:val="single"/>
        </w:rPr>
        <w:t>dtcc.com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FICC GSD Fee Schedule -- </w:t>
      </w:r>
      <w:r>
        <w:rPr>
          <w:rFonts w:ascii="Malgun Gothic" w:hAnsi="Malgun Gothic" w:eastAsia="맑은 고딕"/>
          <w:color w:val="0563C1"/>
          <w:u w:val="single"/>
        </w:rPr>
        <w:t>dtcc.com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DTCC Tokenization / Canton Network (Dec 2025) -- </w:t>
      </w:r>
      <w:r>
        <w:rPr>
          <w:rFonts w:ascii="Malgun Gothic" w:hAnsi="Malgun Gothic" w:eastAsia="맑은 고딕"/>
          <w:color w:val="0563C1"/>
          <w:u w:val="single"/>
        </w:rPr>
        <w:t>dtcc.com/news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IMF FSAP Assessment: DTC (2010) -- </w:t>
      </w:r>
      <w:r>
        <w:rPr>
          <w:rFonts w:ascii="Malgun Gothic" w:hAnsi="Malgun Gothic" w:eastAsia="맑은 고딕"/>
          <w:color w:val="0563C1"/>
          <w:u w:val="single"/>
        </w:rPr>
        <w:t>imf.org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FICC Treasury Clearing FAQ -- </w:t>
      </w:r>
      <w:r>
        <w:rPr>
          <w:rFonts w:ascii="Malgun Gothic" w:hAnsi="Malgun Gothic" w:eastAsia="맑은 고딕"/>
          <w:color w:val="0563C1"/>
          <w:u w:val="single"/>
        </w:rPr>
        <w:t>dtcc.com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OFR Working Paper 25-03: CCP Liquidity and Capital -- </w:t>
      </w:r>
      <w:r>
        <w:rPr>
          <w:rFonts w:ascii="Malgun Gothic" w:hAnsi="Malgun Gothic" w:eastAsia="맑은 고딕"/>
          <w:color w:val="0563C1"/>
          <w:u w:val="single"/>
        </w:rPr>
        <w:t>financialresearch.gov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