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 w:eastAsia="맑은 고딕"/>
        </w:rPr>
        <w:t>Eurex Clearing AG (유렉스 청산소)</w:t>
      </w:r>
    </w:p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**최종 업데이트:** 2026-04-07</w:t>
      </w:r>
    </w:p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**조사 등급:** Tier 1 (심층 분석)</w:t>
      </w:r>
    </w:p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**유형:** CCP (중앙청산소, Central Counterparty)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1. 개요 및 프로필 (Overview &amp; Profile)</w:t>
      </w:r>
    </w:p>
    <w:p>
      <w:pPr>
        <w:pStyle w:val="Heading3"/>
      </w:pPr>
      <w:r>
        <w:rPr>
          <w:rFonts w:ascii="Malgun Gothic" w:hAnsi="Malgun Gothic" w:eastAsia="맑은 고딕"/>
        </w:rPr>
        <w:t>1.1 기관 프로필 (Corporate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항목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공식 명칭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Eurex Clearing AG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약칭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ECAG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웹사이트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color w:val="0563C1"/>
                <w:u w:val="single"/>
              </w:rPr>
              <w:t>https://www.eurex.com/ec-en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설립연도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1998년 (Eurex Exchange의 청산소로 설립); 1998년 4월 6일 BaFin에 신용기관으로 등록 (등록 ID: 119203)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소재지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독일 / 프랑크푸르트 암 마인 (Mergenthalerallee 61, 65760 Eschborn)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소유 구조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Eurex Frankfurt AG의 완전 자회사이며, Deutsche Borse Group (상장법인, 티커 DB1)에 소속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모회사/그룹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Deutsche Borse Group -- Eurex (파생상품), Xetra (현물주식), Eurex Clearing (CCP), Clearstream (중앙예탁기관(CSD)/국제예탁기관(ICSD)), EEX (에너지), 360T (외환), STOXX/Qontigo (지수)를 포괄하는 수직통합 그룹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감독기관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BaFin (독일 연방금융감독청)이 주요 감독기관; Deutsche Bundesbank (독일 연방은행); ESMA (유럽증권시장감독청, 유럽시장인프라규정(EMIR)에 따른 CCP 감독 위원회)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CPMI-IOSCO PFMI 준수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예 -- 2015년부터 CPMI-IOSCO 자체평가 및 분기별 공개 정량 공시(PQD) 발행 (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Eurex Clearing Regulatory Standards</w:t>
            </w:r>
            <w:r>
              <w:rPr>
                <w:rFonts w:ascii="Malgun Gothic" w:hAnsi="Malgun Gothic" w:eastAsia="맑은 고딕"/>
              </w:rPr>
              <w:t>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적격중앙청산소(QCCP) 지위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유럽시장인프라규정(EMIR)에 따라 EU 인가 CCP (2014년 4월 10일); 바젤 III / CRD IV에 따른 적격중앙청산소(QCCP) (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Eurex Clearing Licensing &amp; Supervision</w:t>
            </w:r>
            <w:r>
              <w:rPr>
                <w:rFonts w:ascii="Malgun Gothic" w:hAnsi="Malgun Gothic" w:eastAsia="맑은 고딕"/>
              </w:rPr>
              <w:t>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청산회원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22개국 약 200개 청산회원 (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Eurex Clearing About</w:t>
            </w:r>
            <w:r>
              <w:rPr>
                <w:rFonts w:ascii="Malgun Gothic" w:hAnsi="Malgun Gothic" w:eastAsia="맑은 고딕"/>
              </w:rPr>
              <w:t>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월간 청산 금액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월 EUR 11조 이상 (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Eurex Clearing About</w:t>
            </w:r>
            <w:r>
              <w:rPr>
                <w:rFonts w:ascii="Malgun Gothic" w:hAnsi="Malgun Gothic" w:eastAsia="맑은 고딕"/>
              </w:rPr>
              <w:t>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시장 지위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거래량 기준 유럽 최대 CCP; 세계 최고 수준의 중앙청산소 중 하나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1.2 국제 인정 및 제3국 지위 (International Recognitions &amp; Third-Country Status)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관할권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기관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지위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일자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유럽연합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ESMA / BaFin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EMIR에 따른 인가 CCP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2014년 4월 10일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미국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CFTC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등록 파생상품청산기관(DCO)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2016년 2월 1일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캐나다 (온타리오)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OSC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면제 명령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2017년 7월 14일 (2020년 2월 6일 확대)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스위스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FINMA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인정된 외국 CCP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2018년 3월 29일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싱가포르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MAS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인정 청산소(RCH)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2018년 9월 14일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일본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JFSA (일본 금융청)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외국 금융상품 청산기관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2020년 3월 12일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캐나다 (퀘벡)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AMF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파생상품법에 따른 면제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2022년 6월 20일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홍콩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SFC (증권선물위원회)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자동 매매 서비스 인가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2022년 9월 7일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영국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Bank of England (영란은행)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UK EMIR Article 25에 따른 인정 비영국 CCP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2023년 7월 26일</w:t>
            </w:r>
          </w:p>
        </w:tc>
      </w:tr>
    </w:tbl>
    <w:p/>
    <w:p>
      <w:r>
        <w:rPr>
          <w:rFonts w:ascii="Malgun Gothic" w:hAnsi="Malgun Gothic" w:eastAsia="맑은 고딕"/>
        </w:rPr>
        <w:t xml:space="preserve">Source: </w:t>
      </w:r>
      <w:r>
        <w:rPr>
          <w:rFonts w:ascii="Malgun Gothic" w:hAnsi="Malgun Gothic" w:eastAsia="맑은 고딕"/>
          <w:color w:val="0563C1"/>
          <w:u w:val="single"/>
        </w:rPr>
        <w:t>Eurex Clearing Licensing &amp; Supervision</w:t>
      </w:r>
    </w:p>
    <w:p>
      <w:pPr>
        <w:pStyle w:val="Heading3"/>
      </w:pPr>
      <w:r>
        <w:rPr>
          <w:rFonts w:ascii="Malgun Gothic" w:hAnsi="Malgun Gothic" w:eastAsia="맑은 고딕"/>
        </w:rPr>
        <w:t>1.3 주요 연혁 (Key Historical Milestones)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연도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사건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1998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Eurex Clearing AG가 Eurex Exchange (DTB-SOFFEX 합병으로 출범)의 청산소로 설립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2002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Eurex Clearing AG가 중앙청산소(CCP)로 공식 설립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2010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OTC 금리스왑을 위한 EurexOTC Clear 출범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2012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Eurex Clearing Prisma</w:t>
            </w:r>
            <w:r>
              <w:rPr>
                <w:rFonts w:ascii="Malgun Gothic" w:hAnsi="Malgun Gothic" w:eastAsia="맑은 고딕"/>
              </w:rPr>
              <w:t xml:space="preserve"> 포트폴리오 기반 증거금 방법론 도입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2012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Deutsche Borse가 Eurex Zurich AG에 대한 SIX Group의 잔여 지분 인수, 단독 소유자가 됨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2014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EMIR에 따른 CCP 인가 (2014년 4월 10일)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2015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Eurex Repo GC Pooling 사상 최대 거래량 기록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2016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CFTC에 파생상품청산기관(DCO)으로 등록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2017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OTC IRS를 위한 Eurex Clearing Partnership Program 출범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2018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Partnership Program 상업적 출범; 미국, 영국, 아시아, 유럽 대륙에서 27개 참가기관 가입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2021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증권 청산을 위한 C7 Securities Clearing Service (C7 SCS) 도입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2023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 CCP 회복 및 정리 규정 (Regulation (EU) 2021/23) 전면 적용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2024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OTC 청산 명목 잔액 EUR 33,411억에 도달 (전년 대비 12% 증가)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OTC 청산 명목 잔액 EUR 43,668억에 도달 (전년 대비 31% 증가); 일평균 청산 금액 EUR 2,800억 (전년 대비 35% 증가)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EMIR 3.0 활성 계좌 요건(Active Account Requirement) 발효 (2025년 6월 24일)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Eurex Clearing이 전 세계 CCP 최초로 DLT 기반 담보 유동화 서비스 출범 (2025년 7월, HQLAx 및 Clearstream과 공동)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Prisma 방법론이 채권 및 레포로 확대 (Prisma Bonds, 2025년 12월 8일부터 의무 적용)</w:t>
            </w:r>
          </w:p>
        </w:tc>
      </w:tr>
    </w:tbl>
    <w:p/>
    <w:p>
      <w:r>
        <w:rPr>
          <w:rFonts w:ascii="Malgun Gothic" w:hAnsi="Malgun Gothic" w:eastAsia="맑은 고딕"/>
        </w:rPr>
        <w:t xml:space="preserve">Sources: </w:t>
      </w:r>
      <w:r>
        <w:rPr>
          <w:rFonts w:ascii="Malgun Gothic" w:hAnsi="Malgun Gothic" w:eastAsia="맑은 고딕"/>
          <w:color w:val="0563C1"/>
          <w:u w:val="single"/>
        </w:rPr>
        <w:t>Eurex Full Year 2025 Figures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Eurex Full Year 2024 Figures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Eurex Clearing Prisma Bonds Circular</w:t>
      </w:r>
    </w:p>
    <w:p>
      <w:pPr>
        <w:pStyle w:val="Heading3"/>
      </w:pPr>
      <w:r>
        <w:rPr>
          <w:rFonts w:ascii="Malgun Gothic" w:hAnsi="Malgun Gothic" w:eastAsia="맑은 고딕"/>
        </w:rPr>
        <w:t>1.4 경영진 (2025년 4월 기준) (Executive Leadership)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직위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성명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금융 파생상품 매매 및 청산 총괄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Robbert Booij (Eurex Clearing AG CEO Erik Muller의 퇴임에 따름)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Eurex Clearing AG 이사회 임원 (2014년 8월부터)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Matthias Graulich (2025년 7월 Eurex Frankfurt AG 이사회에도 합류)</w:t>
            </w:r>
          </w:p>
        </w:tc>
      </w:tr>
    </w:tbl>
    <w:p/>
    <w:p>
      <w:r>
        <w:rPr>
          <w:rFonts w:ascii="Malgun Gothic" w:hAnsi="Malgun Gothic" w:eastAsia="맑은 고딕"/>
        </w:rPr>
        <w:t xml:space="preserve">Source: </w:t>
      </w:r>
      <w:r>
        <w:rPr>
          <w:rFonts w:ascii="Malgun Gothic" w:hAnsi="Malgun Gothic" w:eastAsia="맑은 고딕"/>
          <w:color w:val="0563C1"/>
          <w:u w:val="single"/>
        </w:rPr>
        <w:t>Deutsche Borse Press Release, April 2025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2. 청산 모델 (Clearing Model)</w:t>
      </w:r>
    </w:p>
    <w:p>
      <w:pPr>
        <w:pStyle w:val="Heading3"/>
      </w:pPr>
      <w:r>
        <w:rPr>
          <w:rFonts w:ascii="Malgun Gothic" w:hAnsi="Malgun Gothic" w:eastAsia="맑은 고딕"/>
        </w:rPr>
        <w:t>2.1 CCP 서비스 (CCP Services)</w:t>
      </w:r>
    </w:p>
    <w:p>
      <w:r>
        <w:rPr>
          <w:rFonts w:ascii="Malgun Gothic" w:hAnsi="Malgun Gothic" w:eastAsia="맑은 고딕"/>
        </w:rPr>
        <w:t>Eurex Clearing은 복수의 자산군 및 거래장에 걸쳐 중앙청산소 서비스를 제공한다: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서비스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상품군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설명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주요 통계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장내 파생상품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주식/지수 옵션 및 선물, 채권 선물 및 옵션, 배당 파생상품, 상품 파생상품, FX 파생상품, 변동성 파생상품, ETF/ETC 파생상품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Eurex Exchange (T7 플랫폼) 상장 전 상품에 대한 CCP; 19개국에 걸쳐 약 1,700개 이상의 선물 및 옵션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2025년(연간) 20억 6,590만 계약 청산; 2024년 20억 8,050만 계약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EurexOTC Clear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OTC 금리 파생상품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OTC IRS, OIS, FRA, 베이시스 스왑, 제로쿠폰 스왑 등 11개 통화 (EUR, USD, GBP, CHF, JPY, SEK, NOK, DKK, PLN, CZK, HUF)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명목 잔액 EUR 43,668억 (2025년 말, 전년 대비 +31%); 일평균 청산 금액 EUR 2,800억 (2025년, 전년 대비 +35%)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EurexOTC Clear NDF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OTC FX 역외 선도환(NDF)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NDF 거래 청산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OTC 청산 서비스에 포함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레포 청산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GC Pooling, Special Repo, GC Repo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Eurex Repo (F7 플랫폼)의 CCP 청산; EUR, USD, GBP, CHF 표시; 결제를 위해 Clearstream 및 Euroclear 연결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2025년 평균 잔존기간 조정 거래량 EUR 4,061억 (사상 최고, 전년 대비 +20%)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대차 CCP (Lending CCP)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증권대차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국제 채권, 유럽 주식, ETF를 대상으로 하는 CCP 증권대차 서비스; Eurex Repo SecLend 시장을 통해 운영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수익적 소유자를 위한 Specific Lender License; 장중 준실시간 위험 산정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현물시장 청산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주식, 채권, ETF/ETC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Frankfurt Stock Exchange (Xetra, XFRA) 거래에 대한 CCP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C7 Securities Clearing Service를 통해 운영</w:t>
            </w:r>
          </w:p>
        </w:tc>
      </w:tr>
    </w:tbl>
    <w:p/>
    <w:p>
      <w:r>
        <w:rPr>
          <w:rFonts w:ascii="Malgun Gothic" w:hAnsi="Malgun Gothic" w:eastAsia="맑은 고딕"/>
        </w:rPr>
        <w:t xml:space="preserve">Sources: </w:t>
      </w:r>
      <w:r>
        <w:rPr>
          <w:rFonts w:ascii="Malgun Gothic" w:hAnsi="Malgun Gothic" w:eastAsia="맑은 고딕"/>
          <w:color w:val="0563C1"/>
          <w:u w:val="single"/>
        </w:rPr>
        <w:t>Eurex Full Year 2025 Figures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EurexOTC Clear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Eurex Repo</w:t>
      </w:r>
    </w:p>
    <w:p>
      <w:pPr>
        <w:pStyle w:val="Heading3"/>
      </w:pPr>
      <w:r>
        <w:rPr>
          <w:rFonts w:ascii="Malgun Gothic" w:hAnsi="Malgun Gothic" w:eastAsia="맑은 고딕"/>
        </w:rPr>
        <w:t>GC Pooling</w:t>
      </w:r>
    </w:p>
    <w:p>
      <w:r>
        <w:rPr>
          <w:rFonts w:ascii="Malgun Gothic" w:hAnsi="Malgun Gothic" w:eastAsia="맑은 고딕"/>
        </w:rPr>
        <w:t>GC Pooling은 중앙청산을 활용한 표준화된 담보부 자금조달의 유럽 기준이다. 주요 특징:</w:t>
      </w:r>
    </w:p>
    <w:p>
      <w:pPr>
        <w:pStyle w:val="ListBullet"/>
      </w:pPr>
      <w:r>
        <w:rPr>
          <w:rFonts w:ascii="Malgun Gothic" w:hAnsi="Malgun Gothic" w:eastAsia="맑은 고딕"/>
        </w:rPr>
        <w:t>사전 정의된 바스켓 (예: GC Pooling ECB Basket -- ECB 적격 약 3,000개 증권 포함)</w:t>
      </w:r>
    </w:p>
    <w:p>
      <w:pPr>
        <w:pStyle w:val="ListBullet"/>
      </w:pPr>
      <w:r>
        <w:rPr>
          <w:rFonts w:ascii="Malgun Gothic" w:hAnsi="Malgun Gothic" w:eastAsia="맑은 고딕"/>
        </w:rPr>
        <w:t>Eurex Clearing AG (CCP) 및 Clearstream Banking (결제)에 대한 자동 연결</w:t>
      </w:r>
    </w:p>
    <w:p>
      <w:pPr>
        <w:pStyle w:val="ListBullet"/>
      </w:pPr>
      <w:r>
        <w:rPr>
          <w:rFonts w:ascii="Malgun Gothic" w:hAnsi="Malgun Gothic" w:eastAsia="맑은 고딕"/>
        </w:rPr>
        <w:t>EUR, USD, GBP, CHF 이용 가능</w:t>
      </w:r>
    </w:p>
    <w:p>
      <w:pPr>
        <w:pStyle w:val="ListBullet"/>
      </w:pPr>
      <w:r>
        <w:rPr>
          <w:rFonts w:ascii="Malgun Gothic" w:hAnsi="Malgun Gothic" w:eastAsia="맑은 고딕"/>
        </w:rPr>
        <w:t>매도 및 매수 측 160개 이상 기관 참여</w:t>
      </w:r>
    </w:p>
    <w:p>
      <w:pPr>
        <w:pStyle w:val="ListBullet"/>
      </w:pPr>
      <w:r>
        <w:rPr>
          <w:rFonts w:ascii="Malgun Gothic" w:hAnsi="Malgun Gothic" w:eastAsia="맑은 고딕"/>
        </w:rPr>
        <w:t>수취한 담보의 재사용 허용: 추가 단기금융시장 거래, Eurex Clearing 증거금, ECB 공개시장 조작에 활용 가능</w:t>
      </w:r>
    </w:p>
    <w:p>
      <w:pPr>
        <w:pStyle w:val="ListBullet"/>
      </w:pPr>
      <w:r>
        <w:rPr>
          <w:rFonts w:ascii="Malgun Gothic" w:hAnsi="Malgun Gothic" w:eastAsia="맑은 고딕"/>
        </w:rPr>
        <w:t>2005년부터 운영</w:t>
      </w:r>
    </w:p>
    <w:p>
      <w:r>
        <w:rPr>
          <w:rFonts w:ascii="Malgun Gothic" w:hAnsi="Malgun Gothic" w:eastAsia="맑은 고딕"/>
        </w:rPr>
        <w:t xml:space="preserve">Source: </w:t>
      </w:r>
      <w:r>
        <w:rPr>
          <w:rFonts w:ascii="Malgun Gothic" w:hAnsi="Malgun Gothic" w:eastAsia="맑은 고딕"/>
          <w:color w:val="0563C1"/>
          <w:u w:val="single"/>
        </w:rPr>
        <w:t>Eurex GC Pooling</w:t>
      </w:r>
    </w:p>
    <w:p>
      <w:pPr>
        <w:pStyle w:val="Heading3"/>
      </w:pPr>
      <w:r>
        <w:rPr>
          <w:rFonts w:ascii="Malgun Gothic" w:hAnsi="Malgun Gothic" w:eastAsia="맑은 고딕"/>
        </w:rPr>
        <w:t>대차 CCP (Lending CCP)</w:t>
      </w:r>
    </w:p>
    <w:p>
      <w:r>
        <w:rPr>
          <w:rFonts w:ascii="Malgun Gothic" w:hAnsi="Malgun Gothic" w:eastAsia="맑은 고딕"/>
        </w:rPr>
        <w:t>대차 CCP는 다음과 같은 차별화된 특징을 갖춘 중앙청산 증권대차를 제공한다:</w:t>
      </w:r>
    </w:p>
    <w:p>
      <w:pPr>
        <w:pStyle w:val="ListBullet"/>
      </w:pPr>
      <w:r>
        <w:rPr>
          <w:rFonts w:ascii="Malgun Gothic" w:hAnsi="Malgun Gothic" w:eastAsia="맑은 고딕"/>
        </w:rPr>
        <w:t>Eurex Clearing이 모든 거래의 단일 거래상대방으로 기능하여 양자 간 신용위험 제거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Specific Lender License</w:t>
      </w:r>
      <w:r>
        <w:rPr>
          <w:rFonts w:ascii="Malgun Gothic" w:hAnsi="Malgun Gothic" w:eastAsia="맑은 고딕"/>
        </w:rPr>
        <w:t>: 수익적 소유자(연기금, 자산운용사)가 정식 청산회원 자격 없이 CCP에 직접 접근 가능</w:t>
      </w:r>
    </w:p>
    <w:p>
      <w:pPr>
        <w:pStyle w:val="ListBullet"/>
      </w:pPr>
      <w:r>
        <w:rPr>
          <w:rFonts w:ascii="Malgun Gothic" w:hAnsi="Malgun Gothic" w:eastAsia="맑은 고딕"/>
        </w:rPr>
        <w:t>장중 준실시간 위험 산정 및 담보 부족 시 장중 증거금 징수</w:t>
      </w:r>
    </w:p>
    <w:p>
      <w:pPr>
        <w:pStyle w:val="ListBullet"/>
      </w:pPr>
      <w:r>
        <w:rPr>
          <w:rFonts w:ascii="Malgun Gothic" w:hAnsi="Malgun Gothic" w:eastAsia="맑은 고딕"/>
        </w:rPr>
        <w:t>비현금 담보 관리를 위한 삼자간(Triparty) 담보 대리인 연결</w:t>
      </w:r>
    </w:p>
    <w:p>
      <w:pPr>
        <w:pStyle w:val="ListBullet"/>
      </w:pPr>
      <w:r>
        <w:rPr>
          <w:rFonts w:ascii="Malgun Gothic" w:hAnsi="Malgun Gothic" w:eastAsia="맑은 고딕"/>
        </w:rPr>
        <w:t>국제 채권, 유럽 주식, ETF 적용</w:t>
      </w:r>
    </w:p>
    <w:p>
      <w:pPr>
        <w:pStyle w:val="ListBullet"/>
      </w:pPr>
      <w:r>
        <w:rPr>
          <w:rFonts w:ascii="Malgun Gothic" w:hAnsi="Malgun Gothic" w:eastAsia="맑은 고딕"/>
        </w:rPr>
        <w:t>매매 후 자동화를 위한 Pirum과의 파트너십; 거래 소싱을 위한 EquiLend과의 통합</w:t>
      </w:r>
    </w:p>
    <w:p>
      <w:r>
        <w:rPr>
          <w:rFonts w:ascii="Malgun Gothic" w:hAnsi="Malgun Gothic" w:eastAsia="맑은 고딕"/>
        </w:rPr>
        <w:t xml:space="preserve">Sources: </w:t>
      </w:r>
      <w:r>
        <w:rPr>
          <w:rFonts w:ascii="Malgun Gothic" w:hAnsi="Malgun Gothic" w:eastAsia="맑은 고딕"/>
          <w:color w:val="0563C1"/>
          <w:u w:val="single"/>
        </w:rPr>
        <w:t>Eurex Lending CCP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Eurex Clearing Lending CCP Enhancements</w:t>
      </w:r>
    </w:p>
    <w:p>
      <w:pPr>
        <w:pStyle w:val="Heading3"/>
      </w:pPr>
      <w:r>
        <w:rPr>
          <w:rFonts w:ascii="Malgun Gothic" w:hAnsi="Malgun Gothic" w:eastAsia="맑은 고딕"/>
        </w:rPr>
        <w:t>2.2 채무인수 절차 (Novation Process)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공개 제안에 의한 채무인수(Novation by open offer)</w:t>
      </w:r>
      <w:r>
        <w:rPr>
          <w:rFonts w:ascii="Malgun Gothic" w:hAnsi="Malgun Gothic" w:eastAsia="맑은 고딕"/>
        </w:rPr>
        <w:t>: Eurex Exchange 및 Frankfurt Stock Exchange의 장내 상품에 대해, Eurex Clearing은 거래 체결 시점에 모든 매도자에 대한 매수자 및 모든 매수자에 대한 매도자로 개입한다.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OTC 상품에 대한 채무인수</w:t>
      </w:r>
      <w:r>
        <w:rPr>
          <w:rFonts w:ascii="Malgun Gothic" w:hAnsi="Malgun Gothic" w:eastAsia="맑은 고딕"/>
        </w:rPr>
        <w:t>: OTC IRS 및 레포 거래의 경우, 양자 간 거래가 거래 등록/승인 시 Eurex Clearing을 CCP로 하는 두 개의 별도 계약으로 대체된다.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자동일괄처리(STP)</w:t>
      </w:r>
      <w:r>
        <w:rPr>
          <w:rFonts w:ascii="Malgun Gothic" w:hAnsi="Malgun Gothic" w:eastAsia="맑은 고딕"/>
        </w:rPr>
        <w:t>: GC Pooling 및 레포 청산은 거래 체결부터 CCP 청산, Clearstream에서의 결제까지 완전 자동화된 자동일괄처리(Straight-Through Processing)를 제공한다.</w:t>
      </w:r>
    </w:p>
    <w:p>
      <w:pPr>
        <w:pStyle w:val="Heading3"/>
      </w:pPr>
      <w:r>
        <w:rPr>
          <w:rFonts w:ascii="Malgun Gothic" w:hAnsi="Malgun Gothic" w:eastAsia="맑은 고딕"/>
        </w:rPr>
        <w:t>2.3 차감(네팅) (Netting)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다자간차감(Multilateral Netting)</w:t>
      </w:r>
      <w:r>
        <w:rPr>
          <w:rFonts w:ascii="Malgun Gothic" w:hAnsi="Malgun Gothic" w:eastAsia="맑은 고딕"/>
        </w:rPr>
        <w:t>: Eurex Clearing은 모든 청산 포지션에 대해 다자간차감을 수행하여, 총노출액을 청산회원별 상품/결제일 기준의 단일 순의무로 축소한다.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포트폴리오 압축(Portfolio Compression)</w:t>
      </w:r>
      <w:r>
        <w:rPr>
          <w:rFonts w:ascii="Malgun Gothic" w:hAnsi="Malgun Gothic" w:eastAsia="맑은 고딕"/>
        </w:rPr>
        <w:t>: OTC IRS의 경우 압축 서비스를 통해 라인아이템 수와 총명목 잔액을 축소한다.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Prisma 교차증거금 차감</w:t>
      </w:r>
      <w:r>
        <w:rPr>
          <w:rFonts w:ascii="Malgun Gothic" w:hAnsi="Malgun Gothic" w:eastAsia="맑은 고딕"/>
        </w:rPr>
        <w:t>: 청산그룹(Liquidation Group) 내에서 Prisma는 상관관계가 있는 상품 간의 헤지 및 분산 효과를 인식하는 포트폴리오 수준의 차감을 제공한다.</w:t>
      </w:r>
    </w:p>
    <w:p>
      <w:pPr>
        <w:pStyle w:val="Heading3"/>
      </w:pPr>
      <w:r>
        <w:rPr>
          <w:rFonts w:ascii="Malgun Gothic" w:hAnsi="Malgun Gothic" w:eastAsia="맑은 고딕"/>
        </w:rPr>
        <w:t>2.4 청산회원 (Clearing Membership)</w:t>
      </w:r>
    </w:p>
    <w:p>
      <w:pPr>
        <w:pStyle w:val="Heading3"/>
      </w:pPr>
      <w:r>
        <w:rPr>
          <w:rFonts w:ascii="Malgun Gothic" w:hAnsi="Malgun Gothic" w:eastAsia="맑은 고딕"/>
        </w:rPr>
        <w:t>회원 유형 (Membership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유형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범위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총괄청산회원 (GCM)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최광범위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자기 업무, 고객 업무, 비청산회원(NCM)의 업무 청산 가능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직접청산회원 (DCM)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자기 + 계열사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자기 업무 및 계열 직접청산 시장참가자의 업무 청산 가능; OTC DCM은 자기 업무만 가능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FCM 청산회원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미국 규제 대상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미국 FCM 모델에 따라 대리인으로 활동하는 미국 선물위탁상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ISA 직접청산회원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자기 업무만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청산 대리인(CA)을 통해 자기 업무 청산; ISA Direct Indemnified (레포용) 및 ISA Direct Light (GC Pooling 전용) 변형 존재</w:t>
            </w:r>
          </w:p>
        </w:tc>
      </w:tr>
    </w:tbl>
    <w:p/>
    <w:p>
      <w:r>
        <w:rPr>
          <w:rFonts w:ascii="Malgun Gothic" w:hAnsi="Malgun Gothic" w:eastAsia="맑은 고딕"/>
        </w:rPr>
        <w:t xml:space="preserve">Source: </w:t>
      </w:r>
      <w:r>
        <w:rPr>
          <w:rFonts w:ascii="Malgun Gothic" w:hAnsi="Malgun Gothic" w:eastAsia="맑은 고딕"/>
          <w:color w:val="0563C1"/>
          <w:u w:val="single"/>
        </w:rPr>
        <w:t>Eurex Clearing Membership Types</w:t>
      </w:r>
    </w:p>
    <w:p>
      <w:pPr>
        <w:pStyle w:val="Heading3"/>
      </w:pPr>
      <w:r>
        <w:rPr>
          <w:rFonts w:ascii="Malgun Gothic" w:hAnsi="Malgun Gothic" w:eastAsia="맑은 고딕"/>
        </w:rPr>
        <w:t>자본 요건 (최소 자기자본) (Capital Requirements)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시장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DCM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GCM / FCM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Eurex Exchange (장내 파생상품)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EUR 750만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EUR 3,000만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EurexOTC IRD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EUR 750만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EUR 3,000만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EurexOTC NDF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EUR 750만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EUR 3,000만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현물시장 (주식)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EUR 375만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EUR 1,500만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레포 시장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EUR 5,000만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EUR 2억</w:t>
            </w:r>
          </w:p>
        </w:tc>
      </w:tr>
    </w:tbl>
    <w:p/>
    <w:p>
      <w:r>
        <w:rPr>
          <w:rFonts w:ascii="Malgun Gothic" w:hAnsi="Malgun Gothic" w:eastAsia="맑은 고딕"/>
        </w:rPr>
        <w:t xml:space="preserve">참고: 자본 요건은 시장별로 </w:t>
      </w:r>
      <w:r>
        <w:rPr>
          <w:rFonts w:ascii="Malgun Gothic" w:hAnsi="Malgun Gothic" w:eastAsia="맑은 고딕"/>
          <w:b/>
        </w:rPr>
        <w:t>합산 적용</w:t>
      </w:r>
      <w:r>
        <w:rPr>
          <w:rFonts w:ascii="Malgun Gothic" w:hAnsi="Malgun Gothic" w:eastAsia="맑은 고딕"/>
        </w:rPr>
        <w:t>되며, (a) 30일 평균 개시증거금의 20%, (b) 250일 평균 개시증거금의 20%, (c) 위 최소 기준 중 가장 높은 금액을 적용한다.</w:t>
      </w:r>
    </w:p>
    <w:p>
      <w:r>
        <w:rPr>
          <w:rFonts w:ascii="Malgun Gothic" w:hAnsi="Malgun Gothic" w:eastAsia="맑은 고딕"/>
        </w:rPr>
        <w:t xml:space="preserve">Source: </w:t>
      </w:r>
      <w:r>
        <w:rPr>
          <w:rFonts w:ascii="Malgun Gothic" w:hAnsi="Malgun Gothic" w:eastAsia="맑은 고딕"/>
          <w:color w:val="0563C1"/>
          <w:u w:val="single"/>
        </w:rPr>
        <w:t>Eurex Clearing Member Admission</w:t>
      </w:r>
    </w:p>
    <w:p>
      <w:pPr>
        <w:pStyle w:val="Heading3"/>
      </w:pPr>
      <w:r>
        <w:rPr>
          <w:rFonts w:ascii="Malgun Gothic" w:hAnsi="Malgun Gothic" w:eastAsia="맑은 고딕"/>
        </w:rPr>
        <w:t>공동기금 최소 분담금 (Default Fund Minimum Contributions)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회원 유형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최소 분담금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GCM / FCM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 500만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DCM / ISA Direct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 100만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투자/연기금 (ISA Direct)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 10만</w:t>
            </w:r>
          </w:p>
        </w:tc>
      </w:tr>
    </w:tbl>
    <w:p/>
    <w:p>
      <w:r>
        <w:rPr>
          <w:rFonts w:ascii="Malgun Gothic" w:hAnsi="Malgun Gothic" w:eastAsia="맑은 고딕"/>
        </w:rPr>
        <w:t>공동기금(Default Fund) 분담금은 월 단위로 검토되며 각 회원의 상대적 위험 노출에 따라 재산정된다.</w:t>
      </w:r>
    </w:p>
    <w:p>
      <w:pPr>
        <w:pStyle w:val="Heading3"/>
      </w:pPr>
      <w:r>
        <w:rPr>
          <w:rFonts w:ascii="Malgun Gothic" w:hAnsi="Malgun Gothic" w:eastAsia="맑은 고딕"/>
        </w:rPr>
        <w:t>운영 요건 (Operational Requirements)</w:t>
      </w:r>
    </w:p>
    <w:p>
      <w:pPr>
        <w:pStyle w:val="ListBullet"/>
      </w:pPr>
      <w:r>
        <w:rPr>
          <w:rFonts w:ascii="Malgun Gothic" w:hAnsi="Malgun Gothic" w:eastAsia="맑은 고딕"/>
        </w:rPr>
        <w:t>증거금 결제를 위한 EUR/GBP/CHF 현금 계좌 (USD 권장)</w:t>
      </w:r>
    </w:p>
    <w:p>
      <w:pPr>
        <w:pStyle w:val="ListBullet"/>
      </w:pPr>
      <w:r>
        <w:rPr>
          <w:rFonts w:ascii="Malgun Gothic" w:hAnsi="Malgun Gothic" w:eastAsia="맑은 고딕"/>
        </w:rPr>
        <w:t>인정된 CSD에서의 증권 담보 계좌</w:t>
      </w:r>
    </w:p>
    <w:p>
      <w:pPr>
        <w:pStyle w:val="ListBullet"/>
      </w:pPr>
      <w:r>
        <w:rPr>
          <w:rFonts w:ascii="Malgun Gothic" w:hAnsi="Malgun Gothic" w:eastAsia="맑은 고딕"/>
        </w:rPr>
        <w:t>매매 플랫폼 및 보고 시스템에 대한 기술적 연결</w:t>
      </w:r>
    </w:p>
    <w:p>
      <w:pPr>
        <w:pStyle w:val="ListBullet"/>
      </w:pPr>
      <w:r>
        <w:rPr>
          <w:rFonts w:ascii="Malgun Gothic" w:hAnsi="Malgun Gothic" w:eastAsia="맑은 고딕"/>
        </w:rPr>
        <w:t>OTC 청산을 위한 인정된 거래 소스(Approved Trade Source, ATS)에 대한 연결</w:t>
      </w:r>
    </w:p>
    <w:p>
      <w:pPr>
        <w:pStyle w:val="ListBullet"/>
      </w:pPr>
      <w:r>
        <w:rPr>
          <w:rFonts w:ascii="Malgun Gothic" w:hAnsi="Malgun Gothic" w:eastAsia="맑은 고딕"/>
        </w:rPr>
        <w:t>Clearer Test, Certified Clearing Specialist 인증, 또는 Core Clearing Knowledge 세미나를 통해 입증된 최소 1명의 등록 적격 청산 담당자(QCS)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3. 위험관리 (Risk Management)</w:t>
      </w:r>
    </w:p>
    <w:p>
      <w:pPr>
        <w:pStyle w:val="Heading3"/>
      </w:pPr>
      <w:r>
        <w:rPr>
          <w:rFonts w:ascii="Malgun Gothic" w:hAnsi="Malgun Gothic" w:eastAsia="맑은 고딕"/>
        </w:rPr>
        <w:t>3.1 증거금 체계: Eurex Clearing Prisma (Margin Framework: Eurex Clearing Prisma)</w:t>
      </w:r>
    </w:p>
    <w:p>
      <w:r>
        <w:rPr>
          <w:rFonts w:ascii="Malgun Gothic" w:hAnsi="Malgun Gothic" w:eastAsia="맑은 고딕"/>
          <w:b/>
        </w:rPr>
        <w:t>Eurex Clearing Prisma</w:t>
      </w:r>
      <w:r>
        <w:rPr>
          <w:rFonts w:ascii="Malgun Gothic" w:hAnsi="Malgun Gothic" w:eastAsia="맑은 고딕"/>
        </w:rPr>
        <w:t xml:space="preserve"> (Portfolio-based Risk management by Simulating scenario Matrices and Assessing market risks)는 Eurex Clearing의 독자적 포트폴리오 기반 증거금 방법론으로, 2012년에 도입되었다.</w:t>
      </w:r>
    </w:p>
    <w:p>
      <w:pPr>
        <w:pStyle w:val="Heading3"/>
      </w:pPr>
      <w:r>
        <w:rPr>
          <w:rFonts w:ascii="Malgun Gothic" w:hAnsi="Malgun Gothic" w:eastAsia="맑은 고딕"/>
        </w:rPr>
        <w:t>핵심 방법론 (Core Methodology)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파라미터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사양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모델 유형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필터링된 과거 시뮬레이션(Filtered Historical Simulation, FHS) + VaR(Value-at-Risk)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신뢰수준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장내 상품 99%; OTC 상품 99.5%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실효 신뢰수준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목표 수준 초과 (백테스트를 통해 검증)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과거 시나리오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3년 소급 기간의 필터링된 과거 시나리오 750개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스트레스 시나리오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식별된 과거 스트레스 기간의 시나리오 250개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이벤트 위험 시나리오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특정 위험 요인(예: 개별주식 배당선물)에 대한 보충 시나리오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보유기간 -- 장내 주식 파생상품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2-3일 (PEQ01 청산그룹: 4일에서 3일로, 이후 일부는 2일로 축소)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보유기간 -- 장내 채권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2일 (PFI01_HP2 분리)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보유기간 -- OTC IRS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5일 (PFI01_HP5 분리)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위험 측정치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필터링된 과거 표본 VaR과 스트레스 기간 표본 VaR 중 최대값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경기순응성 완화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저변동성 국면에서 스트레스 기간 VaR이 보수적 증거금 하한으로 기능; 증거금 하한의 연간 재보정</w:t>
            </w:r>
          </w:p>
        </w:tc>
      </w:tr>
    </w:tbl>
    <w:p/>
    <w:p>
      <w:r>
        <w:rPr>
          <w:rFonts w:ascii="Malgun Gothic" w:hAnsi="Malgun Gothic" w:eastAsia="맑은 고딕"/>
        </w:rPr>
        <w:t xml:space="preserve">Sources: </w:t>
      </w:r>
      <w:r>
        <w:rPr>
          <w:rFonts w:ascii="Malgun Gothic" w:hAnsi="Malgun Gothic" w:eastAsia="맑은 고딕"/>
          <w:color w:val="0563C1"/>
          <w:u w:val="single"/>
        </w:rPr>
        <w:t>Eurex Clearing Prisma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ECC Prisma for Commodities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Part 8: Forward Looking Margin Simulations</w:t>
      </w:r>
    </w:p>
    <w:p>
      <w:pPr>
        <w:pStyle w:val="Heading3"/>
      </w:pPr>
      <w:r>
        <w:rPr>
          <w:rFonts w:ascii="Malgun Gothic" w:hAnsi="Malgun Gothic" w:eastAsia="맑은 고딕"/>
        </w:rPr>
        <w:t>증거금 구성요소 (Margin Components)</w:t>
      </w:r>
    </w:p>
    <w:p>
      <w:r>
        <w:rPr>
          <w:rFonts w:ascii="Malgun Gothic" w:hAnsi="Malgun Gothic" w:eastAsia="맑은 고딕"/>
        </w:rPr>
        <w:t>Prisma 개시증거금은 복수의 구성요소로 이루어진다: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시장위험 개시증거금(Market Risk Initial Margin, MRIM)</w:t>
      </w:r>
      <w:r>
        <w:rPr>
          <w:rFonts w:ascii="Malgun Gothic" w:hAnsi="Malgun Gothic" w:eastAsia="맑은 고딕"/>
        </w:rPr>
        <w:t>: 필터링된 과거 시뮬레이션에 기반한 핵심 위험 요소; 과거 및 스트레스 시나리오 하에서의 잠재적 포트폴리오 가치 변동 포착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유동성 조정(Liquidity Adjustment, LA)</w:t>
      </w:r>
      <w:r>
        <w:rPr>
          <w:rFonts w:ascii="Malgun Gothic" w:hAnsi="Malgun Gothic" w:eastAsia="맑은 고딕"/>
        </w:rPr>
        <w:t>: 집중 포지션의 청산 비용 반영; 포트폴리오 청산 시 매수-매도 스프레드 확대 및 시장 충격 조정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녹인/이벤트 위험 요소(KnockIn / Event Risk Component)</w:t>
      </w:r>
      <w:r>
        <w:rPr>
          <w:rFonts w:ascii="Malgun Gothic" w:hAnsi="Malgun Gothic" w:eastAsia="맑은 고딕"/>
        </w:rPr>
        <w:t>: 특정 위험 이벤트에 대한 추가 증거금 (예: 구조화상품의 배리어 이벤트, 개별주식 파생상품의 배당 이벤트 위험)</w:t>
      </w:r>
    </w:p>
    <w:p>
      <w:r>
        <w:rPr>
          <w:rFonts w:ascii="Malgun Gothic" w:hAnsi="Malgun Gothic" w:eastAsia="맑은 고딕"/>
        </w:rPr>
        <w:t>후향적 요소(필터링된 과거 VaR)는 변화하는 시장 상황에 대한 모델 반응성을 보장하고, 전향적 요소(스트레스 기간 VaR)는 증거금 안정성을 보장하며 경기순응성에 대응한다.</w:t>
      </w:r>
    </w:p>
    <w:p>
      <w:pPr>
        <w:pStyle w:val="Heading3"/>
      </w:pPr>
      <w:r>
        <w:rPr>
          <w:rFonts w:ascii="Malgun Gothic" w:hAnsi="Malgun Gothic" w:eastAsia="맑은 고딕"/>
        </w:rPr>
        <w:t>청산그룹 (Liquidation Groups)</w:t>
      </w:r>
    </w:p>
    <w:p>
      <w:r>
        <w:rPr>
          <w:rFonts w:ascii="Malgun Gothic" w:hAnsi="Malgun Gothic" w:eastAsia="맑은 고딕"/>
        </w:rPr>
        <w:t>상품은 공유된 위험 특성에 따라 청산그룹으로 편성된다. 주요 청산그룹은 다음과 같다: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청산그룹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상품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보유기간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PFI01</w:t>
            </w:r>
            <w:r>
              <w:rPr>
                <w:rFonts w:ascii="Malgun Gothic" w:hAnsi="Malgun Gothic" w:eastAsia="맑은 고딕"/>
              </w:rPr>
              <w:t xml:space="preserve"> (채권)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장내 채권 선물/옵션 + OTC IRS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분리: HP2 (2일) -- 장내; HP5 (5일) -- OTC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PEQ01</w:t>
            </w:r>
            <w:r>
              <w:rPr>
                <w:rFonts w:ascii="Malgun Gothic" w:hAnsi="Malgun Gothic" w:eastAsia="맑은 고딕"/>
              </w:rPr>
              <w:t xml:space="preserve"> (주식)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장내 주식/지수 파생상품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2-3일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FX 청산그룹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OTC FX NDF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2일 [미검증]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레포/GC Pooling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레포 및 담보부 자금조달 (현재 Risk-Based Margining 적용; 2025년 12월부터 Prisma Bonds로 이전)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상품별 상이</w:t>
            </w:r>
          </w:p>
        </w:tc>
      </w:tr>
    </w:tbl>
    <w:p/>
    <w:p>
      <w:r>
        <w:rPr>
          <w:rFonts w:ascii="Malgun Gothic" w:hAnsi="Malgun Gothic" w:eastAsia="맑은 고딕"/>
        </w:rPr>
        <w:t xml:space="preserve">Source: </w:t>
      </w:r>
      <w:r>
        <w:rPr>
          <w:rFonts w:ascii="Malgun Gothic" w:hAnsi="Malgun Gothic" w:eastAsia="맑은 고딕"/>
          <w:color w:val="0563C1"/>
          <w:u w:val="single"/>
        </w:rPr>
        <w:t>Eurex Clearing Prisma Circular on PEQ01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Prisma Bonds Circular</w:t>
      </w:r>
    </w:p>
    <w:p>
      <w:pPr>
        <w:pStyle w:val="Heading3"/>
      </w:pPr>
      <w:r>
        <w:rPr>
          <w:rFonts w:ascii="Malgun Gothic" w:hAnsi="Malgun Gothic" w:eastAsia="맑은 고딕"/>
        </w:rPr>
        <w:t>교차증거금 (Cross-Margining)</w:t>
      </w:r>
    </w:p>
    <w:p>
      <w:r>
        <w:rPr>
          <w:rFonts w:ascii="Malgun Gothic" w:hAnsi="Malgun Gothic" w:eastAsia="맑은 고딕"/>
        </w:rPr>
        <w:t>교차증거금은 Prisma의 차별화된 특징으로, 보유기간이 상이한 상품 간의 증거금 상계를 가능하게 한다: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장내-OTC 교차증거금</w:t>
      </w:r>
      <w:r>
        <w:rPr>
          <w:rFonts w:ascii="Malgun Gothic" w:hAnsi="Malgun Gothic" w:eastAsia="맑은 고딕"/>
        </w:rPr>
        <w:t>: PFI01 내에서 OTC IRS (5일 보유기간)와 장내 채권 상품 (2일 보유기간) 간 교차증거금 제공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알고리즘</w:t>
      </w:r>
      <w:r>
        <w:rPr>
          <w:rFonts w:ascii="Malgun Gothic" w:hAnsi="Malgun Gothic" w:eastAsia="맑은 고딕"/>
        </w:rPr>
        <w:t>: 시스템이 장내 채권/단기금융시장 포지션이 OTC 포트폴리오에 대한 경제적으로 합리적인 헤지인지 확인; 그렇다면 해당 포지션을 5일 분리로 이동하여 총증거금 절감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증거금 효율성</w:t>
      </w:r>
      <w:r>
        <w:rPr>
          <w:rFonts w:ascii="Malgun Gothic" w:hAnsi="Malgun Gothic" w:eastAsia="맑은 고딕"/>
        </w:rPr>
        <w:t xml:space="preserve">: 포트폴리오 구성에 따라 </w:t>
      </w:r>
      <w:r>
        <w:rPr>
          <w:rFonts w:ascii="Malgun Gothic" w:hAnsi="Malgun Gothic" w:eastAsia="맑은 고딕"/>
          <w:b/>
        </w:rPr>
        <w:t>최대 70%</w:t>
      </w:r>
      <w:r>
        <w:rPr>
          <w:rFonts w:ascii="Malgun Gothic" w:hAnsi="Malgun Gothic" w:eastAsia="맑은 고딕"/>
        </w:rPr>
        <w:t>의 증거금 절감 가능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SPAN 대비 우위</w:t>
      </w:r>
      <w:r>
        <w:rPr>
          <w:rFonts w:ascii="Malgun Gothic" w:hAnsi="Malgun Gothic" w:eastAsia="맑은 고딕"/>
        </w:rPr>
        <w:t>: CME의 SPAN 방법론(상품별 증거금 산정에 제한적 상품간 스프레드 적용)과 달리, Prisma는 과거 시나리오 하에서 완전 재평가(full revaluation)를 통해 포트폴리오 수준에서 위험을 평가하여 헤지 효과를 보다 정확히 포착</w:t>
      </w:r>
    </w:p>
    <w:p>
      <w:r>
        <w:rPr>
          <w:rFonts w:ascii="Malgun Gothic" w:hAnsi="Malgun Gothic" w:eastAsia="맑은 고딕"/>
        </w:rPr>
        <w:t xml:space="preserve">Source: </w:t>
      </w:r>
      <w:r>
        <w:rPr>
          <w:rFonts w:ascii="Malgun Gothic" w:hAnsi="Malgun Gothic" w:eastAsia="맑은 고딕"/>
          <w:color w:val="0563C1"/>
          <w:u w:val="single"/>
        </w:rPr>
        <w:t>Eurex Clearing Cross-Margining</w:t>
      </w:r>
    </w:p>
    <w:p>
      <w:pPr>
        <w:pStyle w:val="Heading3"/>
      </w:pPr>
      <w:r>
        <w:rPr>
          <w:rFonts w:ascii="Malgun Gothic" w:hAnsi="Malgun Gothic" w:eastAsia="맑은 고딕"/>
        </w:rPr>
        <w:t>다른 증거금 방법론과의 비교 (Comparison with Other Margin Methodologies)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특성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Eurex Clearing Prisma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CME SPAN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OCC STANS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접근법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포트폴리오 기반 필터링된 과거 시뮬레이션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시나리오 기반 (상품당 16개 위험 배열)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몬테카를로 시뮬레이션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위험 측정치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VaR (필터링된 과거 VaR과 스트레스 기간 VaR 중 최대값)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스캐닝 시나리오 중 최악 손실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기대손실(Expected Shortfall, ES)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신뢰수준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99% (장내) / 99.5% (OTC)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~99% (거래소별 상이)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99.5% (2일, ES)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교차증거금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예, 청산그룹 내 장내 및 OTC 간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제한적 상품간 공제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주식 상품 간 포트폴리오 증거금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시나리오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과거 750개 + 스트레스 250개 = 총 1,000개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상품당 16개 스캐닝 시나리오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완전 몬테카를로 재평가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경기순응성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스트레스 기간 VaR 하한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APC (경기순응성 방지) 조치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과거 평균 기반 하한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증거금 징수 일정 (Margin Call Schedule)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유형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시점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정기 증거금 징수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장종료(야간)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장종료 포지션 및 가격 기반 표준 일일 증거금 산정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장중 증거금 징수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거래일 중 수회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유의미한 시장 변동 또는 포지션 변동에 의해 발동; Eurex Clearing이 준실시간 장중 위험 산정 수행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비정기 증거금 징수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수시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극단적 시장 상황 또는 특정 회원의 위험 관련 비상 징수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3.2 손실부담순서 (Default Waterfall)</w:t>
      </w:r>
    </w:p>
    <w:p>
      <w:r>
        <w:rPr>
          <w:rFonts w:ascii="Malgun Gothic" w:hAnsi="Malgun Gothic" w:eastAsia="맑은 고딕"/>
        </w:rPr>
        <w:t>Eurex Clearing은 구체적인 EUR 금액이 명시된 명확한 손실부담순서를 유지한다: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단계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재원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금액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1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채무불이행 회원의 증거금 담보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가변 (보유 증거금)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2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채무불이행 회원의 공동기금(Default Fund) 분담금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가변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3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Eurex Clearing SITG</w:t>
            </w:r>
            <w:r>
              <w:rPr>
                <w:rFonts w:ascii="Malgun Gothic" w:hAnsi="Malgun Gothic" w:eastAsia="맑은 고딕"/>
              </w:rPr>
              <w:t xml:space="preserve"> (CCP 자기자본 출연분 -- 전용 금액)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EUR 1억 4,300만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4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 xml:space="preserve">비채무불이행 회원의 공동기금 분담금 + </w:t>
            </w:r>
            <w:r>
              <w:rPr>
                <w:rFonts w:ascii="Malgun Gothic" w:hAnsi="Malgun Gothic" w:eastAsia="맑은 고딕"/>
                <w:b/>
              </w:rPr>
              <w:t>Eurex Clearing SSITG</w:t>
            </w:r>
            <w:r>
              <w:rPr>
                <w:rFonts w:ascii="Malgun Gothic" w:hAnsi="Malgun Gothic" w:eastAsia="맑은 고딕"/>
              </w:rPr>
              <w:t xml:space="preserve"> (2차 자기자본 출연분)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 xml:space="preserve">공동기금 (가변) + </w:t>
            </w:r>
            <w:r>
              <w:rPr>
                <w:rFonts w:ascii="Malgun Gothic" w:hAnsi="Malgun Gothic" w:eastAsia="맑은 고딕"/>
                <w:b/>
              </w:rPr>
              <w:t>EUR 5,700만</w:t>
            </w:r>
            <w:r>
              <w:rPr>
                <w:rFonts w:ascii="Malgun Gothic" w:hAnsi="Malgun Gothic" w:eastAsia="맑은 고딕"/>
              </w:rPr>
              <w:t xml:space="preserve"> SSITG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5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추가분담금 부과(Recovery Cash Call)</w:t>
            </w:r>
            <w:r>
              <w:rPr>
                <w:rFonts w:ascii="Malgun Gothic" w:hAnsi="Malgun Gothic" w:eastAsia="맑은 고딕"/>
              </w:rPr>
              <w:t xml:space="preserve"> (비채무불이행 회원) + </w:t>
            </w:r>
            <w:r>
              <w:rPr>
                <w:rFonts w:ascii="Malgun Gothic" w:hAnsi="Malgun Gothic" w:eastAsia="맑은 고딕"/>
                <w:b/>
              </w:rPr>
              <w:t>추가 전용 금액</w:t>
            </w:r>
            <w:r>
              <w:rPr>
                <w:rFonts w:ascii="Malgun Gothic" w:hAnsi="Malgun Gothic" w:eastAsia="맑은 고딕"/>
              </w:rPr>
              <w:t xml:space="preserve"> (Eurex Clearing, 비례·동시)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 xml:space="preserve">회원: 공동기금 분담금의 최대 2배; Eurex: 최대 </w:t>
            </w:r>
            <w:r>
              <w:rPr>
                <w:rFonts w:ascii="Malgun Gothic" w:hAnsi="Malgun Gothic" w:eastAsia="맑은 고딕"/>
                <w:b/>
              </w:rPr>
              <w:t>EUR 3억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6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Eurex Clearing 자기자본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EUR 6억</w:t>
            </w:r>
            <w:r>
              <w:rPr>
                <w:rFonts w:ascii="Malgun Gothic" w:hAnsi="Malgun Gothic" w:eastAsia="맑은 고딕"/>
              </w:rPr>
              <w:t xml:space="preserve"> (현재)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7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Deutsche Borse 후원보증(Letter of Comfort)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 xml:space="preserve">최대 </w:t>
            </w:r>
            <w:r>
              <w:rPr>
                <w:rFonts w:ascii="Malgun Gothic" w:hAnsi="Malgun Gothic" w:eastAsia="맑은 고딕"/>
                <w:b/>
              </w:rPr>
              <w:t>EUR 6억</w:t>
            </w:r>
          </w:p>
        </w:tc>
      </w:tr>
    </w:tbl>
    <w:p/>
    <w:p>
      <w:r>
        <w:rPr>
          <w:rFonts w:ascii="Malgun Gothic" w:hAnsi="Malgun Gothic" w:eastAsia="맑은 고딕"/>
          <w:b/>
        </w:rPr>
        <w:t>Eurex Clearing / Deutsche Borse의 총 최대 약정: EUR 17억</w:t>
      </w:r>
      <w:r>
        <w:rPr>
          <w:rFonts w:ascii="Malgun Gothic" w:hAnsi="Malgun Gothic" w:eastAsia="맑은 고딕"/>
        </w:rPr>
        <w:t xml:space="preserve"> (1.43 + 0.57 + 3 + 6 + 6)</w:t>
      </w:r>
    </w:p>
    <w:p>
      <w:r>
        <w:rPr>
          <w:rFonts w:ascii="Malgun Gothic" w:hAnsi="Malgun Gothic" w:eastAsia="맑은 고딕"/>
        </w:rPr>
        <w:t xml:space="preserve">Source: </w:t>
      </w:r>
      <w:r>
        <w:rPr>
          <w:rFonts w:ascii="Malgun Gothic" w:hAnsi="Malgun Gothic" w:eastAsia="맑은 고딕"/>
          <w:color w:val="0563C1"/>
          <w:u w:val="single"/>
        </w:rPr>
        <w:t>Eurex Clearing Default Waterfall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Contribution of Eurex Clearing</w:t>
      </w:r>
    </w:p>
    <w:p>
      <w:pPr>
        <w:pStyle w:val="Heading3"/>
      </w:pPr>
      <w:r>
        <w:rPr>
          <w:rFonts w:ascii="Malgun Gothic" w:hAnsi="Malgun Gothic" w:eastAsia="맑은 고딕"/>
        </w:rPr>
        <w:t>ISA Direct Indemnified 모델 (ISA Direct Indemnified Model)</w:t>
      </w:r>
    </w:p>
    <w:p>
      <w:r>
        <w:rPr>
          <w:rFonts w:ascii="Malgun Gothic" w:hAnsi="Malgun Gothic" w:eastAsia="맑은 고딕"/>
        </w:rPr>
        <w:t>채무불이행한 ISA Direct Indemnified 청산회원의 경우, 손실부담순서가 단순화된다: 해당 회원의 증거금과 공동기금 분담금을 먼저 소진한 후, 잔여 손실 전액은 보상 청산 대리인(Indemnifying Clearing Agent)이 제공하는 보상으로 충당한다.</w:t>
      </w:r>
    </w:p>
    <w:p>
      <w:pPr>
        <w:pStyle w:val="Heading3"/>
      </w:pPr>
      <w:r>
        <w:rPr>
          <w:rFonts w:ascii="Malgun Gothic" w:hAnsi="Malgun Gothic" w:eastAsia="맑은 고딕"/>
        </w:rPr>
        <w:t>공동기금 세부사항 (Default Fund Details)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파라미터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구조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전 자산군을 포괄하는 단일 합동 공동기금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산정 기준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Cover-2</w:t>
            </w:r>
            <w:r>
              <w:rPr>
                <w:rFonts w:ascii="Malgun Gothic" w:hAnsi="Malgun Gothic" w:eastAsia="맑은 고딕"/>
              </w:rPr>
              <w:t>: 99.9% 신뢰수준의 극단적이나 발생 가능한 스트레스 시나리오에서 최대 2개 청산회원 그룹의 동시 채무불이행을 감당할 수 있는 규모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산정 방법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최대 2개 청산회원 그룹에 대한 보충증거금 제외 총스트레스 손실 초과 증거금(gSLOM)의 60일 평균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재산정 빈도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월별 (월말 기준); Cover-2 적정성의 일별 검증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과거 규모 참고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 30억 (2016년 4분기 PQD 데이터)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회원 분담금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상대적 위험 노출 기반; 최소 EUR 100만 (DCM) 또는 EUR 500만 (GCM)</w:t>
            </w:r>
          </w:p>
        </w:tc>
      </w:tr>
    </w:tbl>
    <w:p/>
    <w:p>
      <w:r>
        <w:rPr>
          <w:rFonts w:ascii="Malgun Gothic" w:hAnsi="Malgun Gothic" w:eastAsia="맑은 고딕"/>
        </w:rPr>
        <w:t xml:space="preserve">Source: </w:t>
      </w:r>
      <w:r>
        <w:rPr>
          <w:rFonts w:ascii="Malgun Gothic" w:hAnsi="Malgun Gothic" w:eastAsia="맑은 고딕"/>
          <w:color w:val="0563C1"/>
          <w:u w:val="single"/>
        </w:rPr>
        <w:t>Eurex Clearing Default Fund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Eurex PQD Part 1</w:t>
      </w:r>
    </w:p>
    <w:p>
      <w:pPr>
        <w:pStyle w:val="Heading3"/>
      </w:pPr>
      <w:r>
        <w:rPr>
          <w:rFonts w:ascii="Malgun Gothic" w:hAnsi="Malgun Gothic" w:eastAsia="맑은 고딕"/>
        </w:rPr>
        <w:t>과거 재무 자원 데이터 (PQD 기반) (Historical Financial Resources Data)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지표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2016년 4분기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2017년 1분기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2025년 1분기 (일부)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총 개시증거금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EUR 358억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EUR 470억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EUR 392억 (OTC IRS만); EUR 41억 (채권); EUR 11억 (기타) [미검증 -- Clarus 분석의 부분 데이터]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공동기금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EUR 30억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--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--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SITG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EUR 1억 5,000만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EUR 1억 5,000만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EUR 1억 4,300만 (현재 공시)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초과담보율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--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24%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--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상위 5개 청산회원 집중도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총 증거금의 32%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--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--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상위 10개 청산회원 집중도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총 증거금의 53%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--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--</w:t>
            </w:r>
          </w:p>
        </w:tc>
      </w:tr>
    </w:tbl>
    <w:p/>
    <w:p>
      <w:r>
        <w:rPr>
          <w:rFonts w:ascii="Malgun Gothic" w:hAnsi="Malgun Gothic" w:eastAsia="맑은 고딕"/>
        </w:rPr>
        <w:t>참고: 보다 최근의 포괄적 PQD 데이터는 Eurex Clearing 웹사이트의 분기별 공시를 통해 이용 가능하나, 본 조사에서는 전체 접근이 이루어지지 않았다. 위 수치는 Eurex 자체 투명성 기사 및 제3자 분석에서 인용된 공개 데이터 포인트이다.</w:t>
      </w:r>
    </w:p>
    <w:p>
      <w:r>
        <w:rPr>
          <w:rFonts w:ascii="Malgun Gothic" w:hAnsi="Malgun Gothic" w:eastAsia="맑은 고딕"/>
        </w:rPr>
        <w:t xml:space="preserve">Sources: </w:t>
      </w:r>
      <w:r>
        <w:rPr>
          <w:rFonts w:ascii="Malgun Gothic" w:hAnsi="Malgun Gothic" w:eastAsia="맑은 고딕"/>
          <w:color w:val="0563C1"/>
          <w:u w:val="single"/>
        </w:rPr>
        <w:t>PQD Part 1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PQD Part 2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Clarus Q1 2025</w:t>
      </w:r>
    </w:p>
    <w:p>
      <w:pPr>
        <w:pStyle w:val="Heading3"/>
      </w:pPr>
      <w:r>
        <w:rPr>
          <w:rFonts w:ascii="Malgun Gothic" w:hAnsi="Malgun Gothic" w:eastAsia="맑은 고딕"/>
        </w:rPr>
        <w:t>3.3 스트레스 테스트 및 백테스트 (Stress Testing &amp; Back-Testing)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요건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시행 사항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스트레스 테스트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극단적이나 발생 가능한 시나리오에 대한 전 청산회원 포트폴리오의 일일 스트레스 테스트; 과거 시나리오(예: 2008년 리먼, 2020년 코로나19, 2022년 우크라이나 위기) 및 가상 시나리오 포함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공동기금 규모 산정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보정된 기금 규모 대비 Cover-2 일별 검증; 부족 발견 시 즉각적 위험완화 조치 실행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백테스트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실제 시장 변동에 대한 증거금 모델 성과의 정기적 백테스트; EMIR은 장내 상품에 대해 99% 커버리지 요구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경기순응성 모니터링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두 가지 핵심 지표: 최대 상대적 증거금 증가율(단기) 및 최고-최저 비율(장기 자금조달 불확실성)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역(逆)스트레스 테스트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손실부담순서를 소진시킬 수 있는 시나리오 식별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EMIR 준수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증거금(Article 41), 공동기금(Article 42), 스트레스 테스트 요건에 대한 EMIR RTS 전면 준수</w:t>
            </w:r>
          </w:p>
        </w:tc>
      </w:tr>
    </w:tbl>
    <w:p/>
    <w:p>
      <w:r>
        <w:rPr>
          <w:rFonts w:ascii="Malgun Gothic" w:hAnsi="Malgun Gothic" w:eastAsia="맑은 고딕"/>
        </w:rPr>
        <w:t xml:space="preserve">Source: </w:t>
      </w:r>
      <w:r>
        <w:rPr>
          <w:rFonts w:ascii="Malgun Gothic" w:hAnsi="Malgun Gothic" w:eastAsia="맑은 고딕"/>
          <w:color w:val="0563C1"/>
          <w:u w:val="single"/>
        </w:rPr>
        <w:t>Eurex Clearing Default Fund Dimensioning</w:t>
      </w:r>
    </w:p>
    <w:p>
      <w:pPr>
        <w:pStyle w:val="Heading3"/>
      </w:pPr>
      <w:r>
        <w:rPr>
          <w:rFonts w:ascii="Malgun Gothic" w:hAnsi="Malgun Gothic" w:eastAsia="맑은 고딕"/>
        </w:rPr>
        <w:t>3.4 회복 및 정리 (Recovery &amp; Resolution)</w:t>
      </w:r>
    </w:p>
    <w:p>
      <w:r>
        <w:rPr>
          <w:rFonts w:ascii="Malgun Gothic" w:hAnsi="Malgun Gothic" w:eastAsia="맑은 고딕"/>
        </w:rPr>
        <w:t xml:space="preserve">Eurex Clearing은 </w:t>
      </w:r>
      <w:r>
        <w:rPr>
          <w:rFonts w:ascii="Malgun Gothic" w:hAnsi="Malgun Gothic" w:eastAsia="맑은 고딕"/>
          <w:b/>
        </w:rPr>
        <w:t>EU CCP 회복 및 정리 규정</w:t>
      </w:r>
      <w:r>
        <w:rPr>
          <w:rFonts w:ascii="Malgun Gothic" w:hAnsi="Malgun Gothic" w:eastAsia="맑은 고딕"/>
        </w:rPr>
        <w:t xml:space="preserve"> (Regulation (EU) 2021/23)에 따라 운영되며, 2023년 2월 12일부터 전면 적용되었다.</w:t>
      </w:r>
    </w:p>
    <w:p>
      <w:r>
        <w:rPr>
          <w:rFonts w:ascii="Malgun Gothic" w:hAnsi="Malgun Gothic" w:eastAsia="맑은 고딕"/>
          <w:b/>
        </w:rPr>
        <w:t>회복 수단: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변동증거금 이익 삭감(VMGH)</w:t>
      </w:r>
      <w:r>
        <w:rPr>
          <w:rFonts w:ascii="Malgun Gothic" w:hAnsi="Malgun Gothic" w:eastAsia="맑은 고딕"/>
        </w:rPr>
        <w:t>: 미보전 손실 충당을 위한 비채무불이행 회원에 대한 변동증거금 지급액 축소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현금 징수/추가분담금 부과</w:t>
      </w:r>
      <w:r>
        <w:rPr>
          <w:rFonts w:ascii="Malgun Gothic" w:hAnsi="Malgun Gothic" w:eastAsia="맑은 고딕"/>
        </w:rPr>
        <w:t>: 비채무불이행 회원에게 추가 자금 출연 요구 가능 (공동기금 분담금의 최대 2배)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포지션 배분/강제 배분</w:t>
      </w:r>
      <w:r>
        <w:rPr>
          <w:rFonts w:ascii="Malgun Gothic" w:hAnsi="Malgun Gothic" w:eastAsia="맑은 고딕"/>
        </w:rPr>
        <w:t>: 채무불이행 회원 포트폴리오의 이전 또는 종결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부분적 계약 종결(Partial Tear-up)</w:t>
      </w:r>
      <w:r>
        <w:rPr>
          <w:rFonts w:ascii="Malgun Gothic" w:hAnsi="Malgun Gothic" w:eastAsia="맑은 고딕"/>
        </w:rPr>
        <w:t>: 정합된 장부 복구를 위해 필요한 경우 계약 종결</w:t>
      </w:r>
    </w:p>
    <w:p>
      <w:r>
        <w:rPr>
          <w:rFonts w:ascii="Malgun Gothic" w:hAnsi="Malgun Gothic" w:eastAsia="맑은 고딕"/>
          <w:b/>
        </w:rPr>
        <w:t>정리 수단 (BaFin이 정리기관):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정리 현금 징수(Resolution Cash Calls)</w:t>
      </w:r>
      <w:r>
        <w:rPr>
          <w:rFonts w:ascii="Malgun Gothic" w:hAnsi="Malgun Gothic" w:eastAsia="맑은 고딕"/>
        </w:rPr>
        <w:t>: BaFin이 비채무불이행 회원에게 해당 분담 요건의 최대 2배까지 추가 출연 요구 가능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감액 및 전환 수단(Write-down and Conversion Tools)</w:t>
      </w:r>
      <w:r>
        <w:rPr>
          <w:rFonts w:ascii="Malgun Gothic" w:hAnsi="Malgun Gothic" w:eastAsia="맑은 고딕"/>
        </w:rPr>
        <w:t>: 부채 감액 또는 채권 전환 권한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포지션 및 손실 배분 수단</w:t>
      </w:r>
      <w:r>
        <w:rPr>
          <w:rFonts w:ascii="Malgun Gothic" w:hAnsi="Malgun Gothic" w:eastAsia="맑은 고딕"/>
        </w:rPr>
        <w:t>: BaFin이 포지션과 손실을 배분할 수 있는 권한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이전 수단(Transfer Tools)</w:t>
      </w:r>
      <w:r>
        <w:rPr>
          <w:rFonts w:ascii="Malgun Gothic" w:hAnsi="Malgun Gothic" w:eastAsia="맑은 고딕"/>
        </w:rPr>
        <w:t>: 청산회원 포지션을 가교 CCP(bridge CCP) 또는 다른 CCP로 이전</w:t>
      </w:r>
    </w:p>
    <w:p>
      <w:r>
        <w:rPr>
          <w:rFonts w:ascii="Malgun Gothic" w:hAnsi="Malgun Gothic" w:eastAsia="맑은 고딕"/>
        </w:rPr>
        <w:t>청산회원은 BaFin이 취하는 모든 정리 수단에 대해 계약적으로 구속되며, 이는 자산, 권리, 의무, 부채에 영향을 미치는 수단을 포함한다.</w:t>
      </w:r>
    </w:p>
    <w:p>
      <w:r>
        <w:rPr>
          <w:rFonts w:ascii="Malgun Gothic" w:hAnsi="Malgun Gothic" w:eastAsia="맑은 고딕"/>
        </w:rPr>
        <w:t xml:space="preserve">Source: </w:t>
      </w:r>
      <w:r>
        <w:rPr>
          <w:rFonts w:ascii="Malgun Gothic" w:hAnsi="Malgun Gothic" w:eastAsia="맑은 고딕"/>
          <w:color w:val="0563C1"/>
          <w:u w:val="single"/>
        </w:rPr>
        <w:t>Eurex Clearing CCP RRR Circular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4. 결제 (Settlement)</w:t>
      </w:r>
    </w:p>
    <w:p>
      <w:pPr>
        <w:pStyle w:val="Heading3"/>
      </w:pPr>
      <w:r>
        <w:rPr>
          <w:rFonts w:ascii="Malgun Gothic" w:hAnsi="Malgun Gothic" w:eastAsia="맑은 고딕"/>
        </w:rPr>
        <w:t>4.1 상품별 결제주기 (Settlement Cycle by Product)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상품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결제주기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장내 파생상품 (선물)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일별 변동증거금 결제; 만기 시 실물인도 또는 현금결제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현금결제: 최종결제일 후 T+1; 실물인도: 상품별 상이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장내 파생상품 (옵션)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행사 결제는 상품별 상이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유럽식: 만기 시; 미국식: 모든 영업일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현물 주식 / ETF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T+2 (EU 표준, CSDR 기준)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EU 내 T+1 전환 검토 중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OTC IRS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변동증거금 일별 결제; 지급일에 현금흐름 발생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CLS 또는 직접 결제를 통해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레포 (GC Pooling, Special Repo)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T+0 ~ T+N (기한부 레포)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GC Pooling은 익일물 및 기한부 지원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채권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T+2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EU 표준 결제주기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4.2 DVP 모델 및 결제 인프라 (DVP Model &amp; Settlement Infrastructure)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파라미터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DVP 모델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DVP Model 1 (총액, 동시) -- 증권 대 현금 결제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사용 CSD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Clearstream Banking Frankfurt</w:t>
            </w:r>
            <w:r>
              <w:rPr>
                <w:rFonts w:ascii="Malgun Gothic" w:hAnsi="Malgun Gothic" w:eastAsia="맑은 고딕"/>
              </w:rPr>
              <w:t xml:space="preserve"> (CBF) -- 법인 구조조정을 거쳐 현재 </w:t>
            </w:r>
            <w:r>
              <w:rPr>
                <w:rFonts w:ascii="Malgun Gothic" w:hAnsi="Malgun Gothic" w:eastAsia="맑은 고딕"/>
                <w:b/>
              </w:rPr>
              <w:t>Clearstream Europe AG</w:t>
            </w:r>
            <w:r>
              <w:rPr>
                <w:rFonts w:ascii="Malgun Gothic" w:hAnsi="Malgun Gothic" w:eastAsia="맑은 고딕"/>
              </w:rPr>
              <w:t xml:space="preserve"> (CEU)로 운영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T2S 참여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예 -- Clearstream Europe AG가 중앙은행 화폐 기반 증권 결제를 ECB의 T2S 플랫폼에 아웃소싱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CSD 연계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Clearstream (ICSD), Euroclear -- Special 및 GC Repo의 국가간 결제용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현금 결제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T2 (TARGET2)를 통한 EUR 중앙은행 화폐; 상업은행 화폐도 이용 가능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NTS 처리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T2S 순차적 야간 결제(2회 주기)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RTS 처리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일중 최대 2회의 실시간 결제 주기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DVP 마감시한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DvP/RvP 거래의 경우 중부유럽시간(CET) 16:00</w:t>
            </w:r>
          </w:p>
        </w:tc>
      </w:tr>
    </w:tbl>
    <w:p/>
    <w:p>
      <w:r>
        <w:rPr>
          <w:rFonts w:ascii="Malgun Gothic" w:hAnsi="Malgun Gothic" w:eastAsia="맑은 고딕"/>
        </w:rPr>
        <w:t xml:space="preserve">Source: </w:t>
      </w:r>
      <w:r>
        <w:rPr>
          <w:rFonts w:ascii="Malgun Gothic" w:hAnsi="Malgun Gothic" w:eastAsia="맑은 고딕"/>
          <w:color w:val="0563C1"/>
          <w:u w:val="single"/>
        </w:rPr>
        <w:t>Clearstream T2S Settlement Cycles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Eurex Clearing Settlement Times</w:t>
      </w:r>
    </w:p>
    <w:p>
      <w:pPr>
        <w:pStyle w:val="Heading3"/>
      </w:pPr>
      <w:r>
        <w:rPr>
          <w:rFonts w:ascii="Malgun Gothic" w:hAnsi="Malgun Gothic" w:eastAsia="맑은 고딕"/>
        </w:rPr>
        <w:t>4.3 결제완결성 (Settlement Finality)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법적 근거</w:t>
      </w:r>
      <w:r>
        <w:rPr>
          <w:rFonts w:ascii="Malgun Gothic" w:hAnsi="Malgun Gothic" w:eastAsia="맑은 고딕"/>
        </w:rPr>
        <w:t>: 독일법 (특히 EU 결제완결성지침(Settlement Finality Directive) 98/26/EC의 독일 국내법 이행)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EU 결제완결성지침(SFD)</w:t>
      </w:r>
      <w:r>
        <w:rPr>
          <w:rFonts w:ascii="Malgun Gothic" w:hAnsi="Malgun Gothic" w:eastAsia="맑은 고딕"/>
        </w:rPr>
        <w:t>: Eurex Clearing AG는 SFD에 따른 지정 시스템으로서, 시스템에 입력된 이전 지시가 참가자의 도산 시에도 법적으로 집행 가능하고 취소 불가함을 보장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T2S에서의 완결성 시점</w:t>
      </w:r>
      <w:r>
        <w:rPr>
          <w:rFonts w:ascii="Malgun Gothic" w:hAnsi="Malgun Gothic" w:eastAsia="맑은 고딕"/>
        </w:rPr>
        <w:t>: Clearstream Europe AG의 일반 거래 약관에 의해 결정; 결제 지시가 T2S에서 매칭되어 결제되면 해당 이전은 최종적이고 취소 불가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중앙은행 화폐 완결성</w:t>
      </w:r>
      <w:r>
        <w:rPr>
          <w:rFonts w:ascii="Malgun Gothic" w:hAnsi="Malgun Gothic" w:eastAsia="맑은 고딕"/>
        </w:rPr>
        <w:t>: T2를 통한 EUR 결제는 유로시스템(Eurosystem) 규정에 따른 중앙은행 화폐 완결성 제공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5. 기술 및 인프라 (Technology &amp; Infrastructure)</w:t>
      </w:r>
    </w:p>
    <w:p>
      <w:pPr>
        <w:pStyle w:val="Heading3"/>
      </w:pPr>
      <w:r>
        <w:rPr>
          <w:rFonts w:ascii="Malgun Gothic" w:hAnsi="Malgun Gothic" w:eastAsia="맑은 고딕"/>
        </w:rPr>
        <w:t>5.1 C7 청산 아키텍처 (C7 Clearing Architecture)</w:t>
      </w:r>
    </w:p>
    <w:p>
      <w:r>
        <w:rPr>
          <w:rFonts w:ascii="Malgun Gothic" w:hAnsi="Malgun Gothic" w:eastAsia="맑은 고딕"/>
        </w:rPr>
        <w:t>C7은 Eurex Clearing의 차세대 청산 아키텍처로, 기존 "Eurex Clearing Classic" 시스템을 단계적으로 대체하고 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구성요소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설명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상태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C7 Core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파생상품 및 증권 청산을 위한 중앙 청산 엔진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다수 릴리스 이후 운영 중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C7 Securities Clearing Service (C7 SCS)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Frankfurt Stock Exchange (XETR, XFRA) 및 Eurex (XEUR) 증권 거래의 증권 청산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2021년 9월부터 운영 중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C7 Client Administration Service (C7 CAS)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회원 관리, 계좌 관리, 보고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지속적 릴리스 (CAS Release 2.293 운영 중)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C7 Advanced Risk Protection (ARP)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사전 거래 위험 통제 및 실시간 위험 모니터링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C7 아키텍처에 통합</w:t>
            </w:r>
          </w:p>
        </w:tc>
      </w:tr>
    </w:tbl>
    <w:p/>
    <w:p>
      <w:r>
        <w:rPr>
          <w:rFonts w:ascii="Malgun Gothic" w:hAnsi="Malgun Gothic" w:eastAsia="맑은 고딕"/>
          <w:b/>
        </w:rPr>
        <w:t>최근 C7 개선사항 (2025-2026):</w:t>
      </w:r>
    </w:p>
    <w:p>
      <w:pPr>
        <w:pStyle w:val="ListBullet"/>
      </w:pPr>
      <w:r>
        <w:rPr>
          <w:rFonts w:ascii="Malgun Gothic" w:hAnsi="Malgun Gothic" w:eastAsia="맑은 고딕"/>
        </w:rPr>
        <w:t>C7 Release 11.1 (2025년 5월): Total Return Futures 전략 지원, 음수 거래/결제가격, 미국 FCM 고객에 대한 상품간 증거금 산정</w:t>
      </w:r>
    </w:p>
    <w:p>
      <w:pPr>
        <w:pStyle w:val="ListBullet"/>
      </w:pPr>
      <w:r>
        <w:rPr>
          <w:rFonts w:ascii="Malgun Gothic" w:hAnsi="Malgun Gothic" w:eastAsia="맑은 고딕"/>
        </w:rPr>
        <w:t>C7 SCS Release: 기업행사(corporate action) 처리 개선 (2025년 11월)</w:t>
      </w:r>
    </w:p>
    <w:p>
      <w:pPr>
        <w:pStyle w:val="ListBullet"/>
      </w:pPr>
      <w:r>
        <w:rPr>
          <w:rFonts w:ascii="Malgun Gothic" w:hAnsi="Malgun Gothic" w:eastAsia="맑은 고딕"/>
        </w:rPr>
        <w:t>C7 CAS Release 2.293: 2025년 10월 운영 개시</w:t>
      </w:r>
    </w:p>
    <w:p>
      <w:pPr>
        <w:pStyle w:val="ListBullet"/>
      </w:pPr>
      <w:r>
        <w:rPr>
          <w:rFonts w:ascii="Malgun Gothic" w:hAnsi="Malgun Gothic" w:eastAsia="맑은 고딕"/>
        </w:rPr>
        <w:t>2026년 로드맵: 매매 및 청산 아키텍처, 규제 준수, 담보부 자금조달의 추가 발전</w:t>
      </w:r>
    </w:p>
    <w:p>
      <w:r>
        <w:rPr>
          <w:rFonts w:ascii="Malgun Gothic" w:hAnsi="Malgun Gothic" w:eastAsia="맑은 고딕"/>
        </w:rPr>
        <w:t xml:space="preserve">Source: </w:t>
      </w:r>
      <w:r>
        <w:rPr>
          <w:rFonts w:ascii="Malgun Gothic" w:hAnsi="Malgun Gothic" w:eastAsia="맑은 고딕"/>
          <w:color w:val="0563C1"/>
          <w:u w:val="single"/>
        </w:rPr>
        <w:t>Eurex Clearing C7 Releases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Eurex 2026 Roadmap</w:t>
      </w:r>
    </w:p>
    <w:p>
      <w:pPr>
        <w:pStyle w:val="Heading3"/>
      </w:pPr>
      <w:r>
        <w:rPr>
          <w:rFonts w:ascii="Malgun Gothic" w:hAnsi="Malgun Gothic" w:eastAsia="맑은 고딕"/>
        </w:rPr>
        <w:t>5.2 Prisma 위험 엔진 (Prisma Risk Engine)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파라미터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엔진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Eurex Clearing Prisma 산정 엔진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방법론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750+250개 시나리오에 의한 필터링된 과거 시뮬레이션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재산정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장종료 전체 재산정; 장중 준실시간 위험 모니터링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온라인 계산기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Cloud Prisma Margin Estimator (cPME) -- 회원용 API 및 GUI로 이용 가능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Prisma 릴리스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정기적 릴리스 (예: 2025년 Prisma Release 15.0) -- 보정 업데이트, 신상품, 방법론 개선 포함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증거금 하한 재보정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스트레스 기간 VaR 증거금 하한의 연간 재보정 (예: 2025년 6월 16일 시행)</w:t>
            </w:r>
          </w:p>
        </w:tc>
      </w:tr>
    </w:tbl>
    <w:p/>
    <w:p>
      <w:r>
        <w:rPr>
          <w:rFonts w:ascii="Malgun Gothic" w:hAnsi="Malgun Gothic" w:eastAsia="맑은 고딕"/>
        </w:rPr>
        <w:t xml:space="preserve">Source: </w:t>
      </w:r>
      <w:r>
        <w:rPr>
          <w:rFonts w:ascii="Malgun Gothic" w:hAnsi="Malgun Gothic" w:eastAsia="맑은 고딕"/>
          <w:color w:val="0563C1"/>
          <w:u w:val="single"/>
        </w:rPr>
        <w:t>Eurex Prisma Technology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GitHub Cloud Prisma Margin Estimator</w:t>
      </w:r>
    </w:p>
    <w:p>
      <w:pPr>
        <w:pStyle w:val="Heading3"/>
      </w:pPr>
      <w:r>
        <w:rPr>
          <w:rFonts w:ascii="Malgun Gothic" w:hAnsi="Malgun Gothic" w:eastAsia="맑은 고딕"/>
        </w:rPr>
        <w:t>5.3 인터페이스 프로토콜 및 연결 (Interface Protocols &amp; Connectivity)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인터페이스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Common Report Engine (CRE)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매매 및 청산 리포트 조회를 위한 중앙 솔루션; SFTP 기반; 모든 리포트와 비거래 파일의 단일 소스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Enhanced Risk Solution (ERS) GUI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실시간 위험 모니터링을 위한 웹 기반 GUI; 증거금 커버리지, 익스포저 뷰, 위험관리자 대시보드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Clearing GUI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장내 파생상품, 증권, OTC 업무 전반에 걸친 청산 활동을 위한 웹 기반 GUI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FIX / FIXML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매매 후 청산 및 결제 메시징을 위한 FIX 프로토콜(FIX Protocol) 및 FIXML 인코딩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Eurex Enhanced Trading Interface (ETI)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매매 및 청산을 위한 저지연 전용 API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C7 API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C7 SCS 및 C7 CAS 통합을 위한 전용 API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연결 옵션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전용선(Leased line), 인터넷 회선, Multi-Member-Service Operator</w:t>
            </w:r>
          </w:p>
        </w:tc>
      </w:tr>
    </w:tbl>
    <w:p/>
    <w:p>
      <w:r>
        <w:rPr>
          <w:rFonts w:ascii="Malgun Gothic" w:hAnsi="Malgun Gothic" w:eastAsia="맑은 고딕"/>
        </w:rPr>
        <w:t xml:space="preserve">Source: </w:t>
      </w:r>
      <w:r>
        <w:rPr>
          <w:rFonts w:ascii="Malgun Gothic" w:hAnsi="Malgun Gothic" w:eastAsia="맑은 고딕"/>
          <w:color w:val="0563C1"/>
          <w:u w:val="single"/>
        </w:rPr>
        <w:t>Eurex CRE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Eurex Connectivity</w:t>
      </w:r>
    </w:p>
    <w:p>
      <w:pPr>
        <w:pStyle w:val="Heading3"/>
      </w:pPr>
      <w:r>
        <w:rPr>
          <w:rFonts w:ascii="Malgun Gothic" w:hAnsi="Malgun Gothic" w:eastAsia="맑은 고딕"/>
        </w:rPr>
        <w:t>5.4 복원력 및 재해복구 (Resilience &amp; Disaster Recovery)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항목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업무연속성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고가용성을 위한 이중 데이터센터 아키텍처 [미검증 -- 시스템적으로 중요한 금융시장인프라의 표준]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복구 시간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EMIR 요건인 2시간 복구 시간 목표(RTO) 충족을 위해 설계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운영 복원력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정기적 DR 테스트 및 업무연속성 훈련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사이버보안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2025년 1월부터 DORA (디지털 운영 복원력법, Digital Operational Resilience Act) 요건 적용</w:t>
            </w:r>
          </w:p>
        </w:tc>
      </w:tr>
    </w:tbl>
    <w:p/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6. 규제 체계 (Regulatory Framework)</w:t>
      </w:r>
    </w:p>
    <w:p>
      <w:pPr>
        <w:pStyle w:val="Heading3"/>
      </w:pPr>
      <w:r>
        <w:rPr>
          <w:rFonts w:ascii="Malgun Gothic" w:hAnsi="Malgun Gothic" w:eastAsia="맑은 고딕"/>
        </w:rPr>
        <w:t>6.1 국가 감독 (National Supervision)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감독기관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역할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BaFin</w:t>
            </w:r>
            <w:r>
              <w:rPr>
                <w:rFonts w:ascii="Malgun Gothic" w:hAnsi="Malgun Gothic" w:eastAsia="맑은 고딕"/>
              </w:rPr>
              <w:t xml:space="preserve"> (독일 연방금융감독청)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주요 감독기관; 은행 인가 기관; CCP 회복 및 정리 규정에 따른 정리기관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Deutsche Bundesbank</w:t>
            </w:r>
            <w:r>
              <w:rPr>
                <w:rFonts w:ascii="Malgun Gothic" w:hAnsi="Malgun Gothic" w:eastAsia="맑은 고딕"/>
              </w:rPr>
              <w:t xml:space="preserve"> (독일 연방은행)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지급결제 시스템 감독; 통화정책적 함의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Hessische Borsaufsicht</w:t>
            </w:r>
            <w:r>
              <w:rPr>
                <w:rFonts w:ascii="Malgun Gothic" w:hAnsi="Malgun Gothic" w:eastAsia="맑은 고딕"/>
              </w:rPr>
              <w:t xml:space="preserve"> (헤센주 거래소감독청)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Eurex Exchange 운영에 대한 헤센주 거래소 감독기관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6.2 EU 수준 감독 (EU-Level Supervision)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체계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EMIR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Regulation (EU) No 648/2012에 따른 인가 CCP (2014년 4월 10일)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EMIR Refit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Regulation (EU) 2019/834 (EMIR 2.2) 준수 -- 강화된 제3국 CCP 체계 포함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EMIR 3.0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Regulation (EU) 2024/2987; 활성 계좌 요건 2025년 6월 24일 발효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ESMA 감독 위원회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ESMA가 BaFin, Bundesbank 및 관련 EU 각국 감독당국을 포함하는 Eurex Clearing CCP 감독 위원회를 주재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CCP RRR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CCP 회복 및 정리에 관한 Regulation (EU) 2021/23, 2023년 2월부터 전면 적용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CSDR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증권 청산에 적용되는 결제규율제도(Settlement Discipline Regime)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DORA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2025년 1월부터 디지털 운영 복원력법 요건 적용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6.3 CPMI-IOSCO 준수 (CPMI-IOSCO Compliance)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공시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PFMI 자체평가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정기적으로 발행 및 업데이트; 최신 평가는 Eurex Clearing 웹사이트에서 열람 가능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공개 정량 공시(PQD)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2015년부터 분기별 발행; 신용위험, 담보, 증거금, 유동성 위험, 채무불이행 규정에 관한 약 200개 항목의 정량 데이터 포함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PQD 웨비나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2026년까지 14회의 웨비나 발행, 추세 및 방법론 설명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투명성 노트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"Pioneering CCP Transparency" 시리즈 (Part 1-10) -- PQD 추세에 대한 심층 분석 제공</w:t>
            </w:r>
          </w:p>
        </w:tc>
      </w:tr>
    </w:tbl>
    <w:p/>
    <w:p>
      <w:r>
        <w:rPr>
          <w:rFonts w:ascii="Malgun Gothic" w:hAnsi="Malgun Gothic" w:eastAsia="맑은 고딕"/>
        </w:rPr>
        <w:t xml:space="preserve">Source: </w:t>
      </w:r>
      <w:r>
        <w:rPr>
          <w:rFonts w:ascii="Malgun Gothic" w:hAnsi="Malgun Gothic" w:eastAsia="맑은 고딕"/>
          <w:color w:val="0563C1"/>
          <w:u w:val="single"/>
        </w:rPr>
        <w:t>Eurex Clearing Regulatory Standards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Eurex CCP Transparency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7. 상호운용성 및 CCP 간 약정 (Interoperability &amp; Cross-CCP Arrangements)</w:t>
      </w:r>
    </w:p>
    <w:p>
      <w:pPr>
        <w:pStyle w:val="Heading3"/>
      </w:pPr>
      <w:r>
        <w:rPr>
          <w:rFonts w:ascii="Malgun Gothic" w:hAnsi="Malgun Gothic" w:eastAsia="맑은 고딕"/>
        </w:rPr>
        <w:t>7.1 CCP 간 연계 (Cross-CCP Links)</w:t>
      </w:r>
    </w:p>
    <w:p>
      <w:r>
        <w:rPr>
          <w:rFonts w:ascii="Malgun Gothic" w:hAnsi="Malgun Gothic" w:eastAsia="맑은 고딕"/>
        </w:rPr>
        <w:t>Eurex Clearing은 현재 현물주식 청산에 대해 다른 CCP와의 공식적 CCP 상호운용 연계를 운영하지 않는다 (EuroCCP-SIX x-clear-Cboe Clear Europe 상호운용 약정과는 다름). Eurex Clearing은 자사 청산 대상 거래장의 단독 CCP로 기능한다.</w:t>
      </w:r>
    </w:p>
    <w:p>
      <w:pPr>
        <w:pStyle w:val="Heading3"/>
      </w:pPr>
      <w:r>
        <w:rPr>
          <w:rFonts w:ascii="Malgun Gothic" w:hAnsi="Malgun Gothic" w:eastAsia="맑은 고딕"/>
        </w:rPr>
        <w:t>7.2 교차증거금 약정 (Cross-Margin Arrangements)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약정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내부 장내-OTC 교차증거금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PFI01 청산그룹 내 OTC IRS (5일 보유기간)와 장내 채권 (2일 보유기간) 간 교차증거금; 최대 70% 절감 가능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상품간 증거금(CPM)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C7 Release 11.1에서 미국 FCM 고객용 CPM 도입 (2025년 5월)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Eurex/OCC 약정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Eurex Clearing과 OCC 간의 공식적 CCP 간 교차증거금 약정은 현재 확인되지 않음 [미검증 -- 과거 논의가 있었을 수 있으나 활성화된 프로그램은 발견되지 않음]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7.3 Clearstream과의 관계 (Relationship with Clearstream)</w:t>
      </w:r>
    </w:p>
    <w:p>
      <w:r>
        <w:rPr>
          <w:rFonts w:ascii="Malgun Gothic" w:hAnsi="Malgun Gothic" w:eastAsia="맑은 고딕"/>
        </w:rPr>
        <w:t>Eurex Clearing과 Clearstream (양사 모두 Deutsche Borse Group 소속)은 긴밀한 통합 관계를 유지한다: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측면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결제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Clearstream Europe AG (구 CBF)가 Eurex Clearing 전 증권 결제의 주요 CSD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담보 관리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Clearstream이 Eurex Clearing 증거금 및 공동기금 담보에 대한 담보 관리 서비스 제공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GC Pooling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통합 가치사슬: Eurex Repo (매매) -&gt; Eurex Clearing (CCP) -&gt; Clearstream (결제 및 보관)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DLT 담보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HQLAx 및 Clearstream과 공동으로 DLT 기반 담보 유동화 이니셔티브 (2025년 7월 출범)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D7 플랫폼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Clearstream의 D7 디지털 증권 플랫폼이 디지털 CP 매매 및 청산을 위해 Eurex Repo F7과 통합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7.4 기타 파트너십 (Other Partnerships)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파트너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약정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HQLAx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DLT 기반 담보 유동화 서비스; Eurex Clearing이 전 세계 CCP 최초로 출범 (2025년 7월)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Pirum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대차 CCP를 위한 매매 후 자동화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EquiLend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증권대차 거래 소싱 협력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CLS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OTC FX 관련 현금흐름 결제</w:t>
            </w:r>
          </w:p>
        </w:tc>
      </w:tr>
    </w:tbl>
    <w:p/>
    <w:p>
      <w:r>
        <w:rPr>
          <w:rFonts w:ascii="Malgun Gothic" w:hAnsi="Malgun Gothic" w:eastAsia="맑은 고딕"/>
        </w:rPr>
        <w:t xml:space="preserve">Source: </w:t>
      </w:r>
      <w:r>
        <w:rPr>
          <w:rFonts w:ascii="Malgun Gothic" w:hAnsi="Malgun Gothic" w:eastAsia="맑은 고딕"/>
          <w:color w:val="0563C1"/>
          <w:u w:val="single"/>
        </w:rPr>
        <w:t>Eurex Clearing DLT Collateral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HQLAx Partnership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8. 수수료 (Fees)</w:t>
      </w:r>
    </w:p>
    <w:p>
      <w:pPr>
        <w:pStyle w:val="Heading3"/>
      </w:pPr>
      <w:r>
        <w:rPr>
          <w:rFonts w:ascii="Malgun Gothic" w:hAnsi="Malgun Gothic" w:eastAsia="맑은 고딕"/>
        </w:rPr>
        <w:t>8.1 수수료 구조 개요 (Fee Structure Overview)</w:t>
      </w:r>
    </w:p>
    <w:p>
      <w:r>
        <w:rPr>
          <w:rFonts w:ascii="Malgun Gothic" w:hAnsi="Malgun Gothic" w:eastAsia="맑은 고딕"/>
        </w:rPr>
        <w:t xml:space="preserve">모든 거래 수수료 및 적용 리베이트는 </w:t>
      </w:r>
      <w:r>
        <w:rPr>
          <w:rFonts w:ascii="Malgun Gothic" w:hAnsi="Malgun Gothic" w:eastAsia="맑은 고딕"/>
          <w:b/>
        </w:rPr>
        <w:t>Eurex Clearing AG Price List</w:t>
      </w:r>
      <w:r>
        <w:rPr>
          <w:rFonts w:ascii="Malgun Gothic" w:hAnsi="Malgun Gothic" w:eastAsia="맑은 고딕"/>
        </w:rPr>
        <w:t xml:space="preserve"> (Chapter 3)에 상세히 기술되어 있으며, Eurex 웹사이트 Rules &amp; Regulations 항목에서 공시된다.</w:t>
      </w:r>
    </w:p>
    <w:p>
      <w:r>
        <w:rPr>
          <w:rFonts w:ascii="Malgun Gothic" w:hAnsi="Malgun Gothic" w:eastAsia="맑은 고딕"/>
        </w:rPr>
        <w:t xml:space="preserve">수수료는 </w:t>
      </w:r>
      <w:r>
        <w:rPr>
          <w:rFonts w:ascii="Malgun Gothic" w:hAnsi="Malgun Gothic" w:eastAsia="맑은 고딕"/>
          <w:b/>
        </w:rPr>
        <w:t>계약당</w:t>
      </w:r>
      <w:r>
        <w:rPr>
          <w:rFonts w:ascii="Malgun Gothic" w:hAnsi="Malgun Gothic" w:eastAsia="맑은 고딕"/>
        </w:rPr>
        <w:t xml:space="preserve"> 부과되며 다음에 따라 차이가 있다:</w:t>
      </w:r>
    </w:p>
    <w:p>
      <w:pPr>
        <w:pStyle w:val="ListBullet"/>
      </w:pPr>
      <w:r>
        <w:rPr>
          <w:rFonts w:ascii="Malgun Gothic" w:hAnsi="Malgun Gothic" w:eastAsia="맑은 고딕"/>
        </w:rPr>
        <w:t>상품군</w:t>
      </w:r>
    </w:p>
    <w:p>
      <w:pPr>
        <w:pStyle w:val="ListBullet"/>
      </w:pPr>
      <w:r>
        <w:rPr>
          <w:rFonts w:ascii="Malgun Gothic" w:hAnsi="Malgun Gothic" w:eastAsia="맑은 고딕"/>
        </w:rPr>
        <w:t>체결 유형 (호가장 vs. 장외/TES)</w:t>
      </w:r>
    </w:p>
    <w:p>
      <w:pPr>
        <w:pStyle w:val="ListBullet"/>
      </w:pPr>
      <w:r>
        <w:rPr>
          <w:rFonts w:ascii="Malgun Gothic" w:hAnsi="Malgun Gothic" w:eastAsia="맑은 고딕"/>
        </w:rPr>
        <w:t>포지션 계좌 (자기 vs. 고객)</w:t>
      </w:r>
    </w:p>
    <w:p>
      <w:pPr>
        <w:pStyle w:val="ListBullet"/>
      </w:pPr>
      <w:r>
        <w:rPr>
          <w:rFonts w:ascii="Malgun Gothic" w:hAnsi="Malgun Gothic" w:eastAsia="맑은 고딕"/>
        </w:rPr>
        <w:t>거래량 등급 (대량 참가자를 위한 리베이트 프로그램)</w:t>
      </w:r>
    </w:p>
    <w:p>
      <w:pPr>
        <w:pStyle w:val="Heading3"/>
      </w:pPr>
      <w:r>
        <w:rPr>
          <w:rFonts w:ascii="Malgun Gothic" w:hAnsi="Malgun Gothic" w:eastAsia="맑은 고딕"/>
        </w:rPr>
        <w:t>8.2 대표적 수수료 수준 (Representative Fee Levels)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상품군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수수료 유형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대략적 범위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주가지수선물 (예: EURO STOXX 50)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계약당 청산 수수료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표준 수수료에 거래량 기반 리베이트 등급 적용; 대량 참가자에게 인하된 수수료 이용 가능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채권선물 (예: Euro-Bund, Euro-Bobl)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계약당 청산 수수료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2026년 가격 로드맵 변경 적용 대상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주식옵션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계약당 청산 수수료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거래량 의존적 등급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OTC 금리 파생상품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건당 및 명목 기반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OTC IRS Pricing &amp; Fees 문서에 별도 공시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레포 / GC Pooling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건당 청산 수수료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주기적으로 조정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증권대차 (대차 CCP)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건당 기준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[미검증]</w:t>
            </w:r>
          </w:p>
        </w:tc>
      </w:tr>
    </w:tbl>
    <w:p/>
    <w:p>
      <w:r>
        <w:rPr>
          <w:rFonts w:ascii="Malgun Gothic" w:hAnsi="Malgun Gothic" w:eastAsia="맑은 고딕"/>
        </w:rPr>
        <w:t xml:space="preserve">참고: 구체적인 EUR 센트/계약 금액은 공식 Price List PDF에서 확인 가능하나 본 조사에서는 추출되지 않았다. 2025년 10월 기준 최신 Price List는 </w:t>
      </w:r>
      <w:r>
        <w:rPr>
          <w:rFonts w:ascii="Malgun Gothic" w:hAnsi="Malgun Gothic" w:eastAsia="맑은 고딕"/>
          <w:color w:val="0563C1"/>
          <w:u w:val="single"/>
        </w:rPr>
        <w:t>Eurex Clearing Price List</w:t>
      </w:r>
      <w:r>
        <w:rPr>
          <w:rFonts w:ascii="Malgun Gothic" w:hAnsi="Malgun Gothic" w:eastAsia="맑은 고딕"/>
        </w:rPr>
        <w:t>에서 열람 가능하다.</w:t>
      </w:r>
    </w:p>
    <w:p>
      <w:pPr>
        <w:pStyle w:val="Heading3"/>
      </w:pPr>
      <w:r>
        <w:rPr>
          <w:rFonts w:ascii="Malgun Gothic" w:hAnsi="Malgun Gothic" w:eastAsia="맑은 고딕"/>
        </w:rPr>
        <w:t>8.3 2026년 가격 변경 (2026 Pricing Changes)</w:t>
      </w:r>
    </w:p>
    <w:p>
      <w:r>
        <w:rPr>
          <w:rFonts w:ascii="Malgun Gothic" w:hAnsi="Malgun Gothic" w:eastAsia="맑은 고딕"/>
        </w:rPr>
        <w:t>2026년 1월 1일 및 4월 1일 시행 변경사항: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주가지수선물</w:t>
      </w:r>
      <w:r>
        <w:rPr>
          <w:rFonts w:ascii="Malgun Gothic" w:hAnsi="Malgun Gothic" w:eastAsia="맑은 고딕"/>
        </w:rPr>
        <w:t xml:space="preserve">, </w:t>
      </w:r>
      <w:r>
        <w:rPr>
          <w:rFonts w:ascii="Malgun Gothic" w:hAnsi="Malgun Gothic" w:eastAsia="맑은 고딕"/>
          <w:b/>
        </w:rPr>
        <w:t>EURO STOXX 50 지수옵션</w:t>
      </w:r>
      <w:r>
        <w:rPr>
          <w:rFonts w:ascii="Malgun Gothic" w:hAnsi="Malgun Gothic" w:eastAsia="맑은 고딕"/>
        </w:rPr>
        <w:t xml:space="preserve">, </w:t>
      </w:r>
      <w:r>
        <w:rPr>
          <w:rFonts w:ascii="Malgun Gothic" w:hAnsi="Malgun Gothic" w:eastAsia="맑은 고딕"/>
          <w:b/>
        </w:rPr>
        <w:t>채권선물 및 옵션</w:t>
      </w:r>
      <w:r>
        <w:rPr>
          <w:rFonts w:ascii="Malgun Gothic" w:hAnsi="Malgun Gothic" w:eastAsia="맑은 고딕"/>
        </w:rPr>
        <w:t>의 표준 수수료, 인하 수수료, 리베이트, 기준치 변경</w:t>
      </w:r>
    </w:p>
    <w:p>
      <w:pPr>
        <w:pStyle w:val="ListBullet"/>
      </w:pPr>
      <w:r>
        <w:rPr>
          <w:rFonts w:ascii="Malgun Gothic" w:hAnsi="Malgun Gothic" w:eastAsia="맑은 고딕"/>
        </w:rPr>
        <w:t>주가지수옵션 유동성 등급 1의 리베이트 수준이 등급별 5%p 인하</w:t>
      </w:r>
    </w:p>
    <w:p>
      <w:pPr>
        <w:pStyle w:val="ListBullet"/>
      </w:pPr>
      <w:r>
        <w:rPr>
          <w:rFonts w:ascii="Malgun Gothic" w:hAnsi="Malgun Gothic" w:eastAsia="맑은 고딕"/>
        </w:rPr>
        <w:t>금리옵션에 대한 유동성 공급 리베이트가 전 유동성 등급에 걸쳐 10%p 인하</w:t>
      </w:r>
    </w:p>
    <w:p>
      <w:r>
        <w:rPr>
          <w:rFonts w:ascii="Malgun Gothic" w:hAnsi="Malgun Gothic" w:eastAsia="맑은 고딕"/>
        </w:rPr>
        <w:t xml:space="preserve">Source: </w:t>
      </w:r>
      <w:r>
        <w:rPr>
          <w:rFonts w:ascii="Malgun Gothic" w:hAnsi="Malgun Gothic" w:eastAsia="맑은 고딕"/>
          <w:color w:val="0563C1"/>
          <w:u w:val="single"/>
        </w:rPr>
        <w:t>Eurex Pricing Roadmap 2026 Circular</w:t>
      </w:r>
    </w:p>
    <w:p>
      <w:pPr>
        <w:pStyle w:val="Heading3"/>
      </w:pPr>
      <w:r>
        <w:rPr>
          <w:rFonts w:ascii="Malgun Gothic" w:hAnsi="Malgun Gothic" w:eastAsia="맑은 고딕"/>
        </w:rPr>
        <w:t>8.4 회원 수수료 (Membership Fees)</w:t>
      </w:r>
    </w:p>
    <w:p>
      <w:r>
        <w:rPr>
          <w:rFonts w:ascii="Malgun Gothic" w:hAnsi="Malgun Gothic" w:eastAsia="맑은 고딕"/>
        </w:rPr>
        <w:t>회원 관련 수수료에는 가입 수수료, 연간 회원 수수료, 연결 요금이 포함된다. 이는 거래 기반 청산 수수료와 별도이며 해당 수수료 일정에 상세히 기술되어 있다.</w:t>
      </w:r>
    </w:p>
    <w:p>
      <w:pPr>
        <w:pStyle w:val="Heading3"/>
      </w:pPr>
      <w:r>
        <w:rPr>
          <w:rFonts w:ascii="Malgun Gothic" w:hAnsi="Malgun Gothic" w:eastAsia="맑은 고딕"/>
        </w:rPr>
        <w:t>8.5 Prisma 증거금 차감 혜택 (Prisma Margin Netting Benefits)</w:t>
      </w:r>
    </w:p>
    <w:p>
      <w:r>
        <w:rPr>
          <w:rFonts w:ascii="Malgun Gothic" w:hAnsi="Malgun Gothic" w:eastAsia="맑은 고딕"/>
        </w:rPr>
        <w:t>Prisma 포트폴리오 기반 증거금 산정 방식은 청산회원에게 상당한 경제적 혜택을 제공한다: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교차증거금 절감</w:t>
      </w:r>
      <w:r>
        <w:rPr>
          <w:rFonts w:ascii="Malgun Gothic" w:hAnsi="Malgun Gothic" w:eastAsia="맑은 고딕"/>
        </w:rPr>
        <w:t>: 상계되는 장내 채권 및 OTC IRS 포지션이 있는 포트폴리오에 대해 최대 70% 증거금 감소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포트폴리오 증거금</w:t>
      </w:r>
      <w:r>
        <w:rPr>
          <w:rFonts w:ascii="Malgun Gothic" w:hAnsi="Malgun Gothic" w:eastAsia="맑은 고딕"/>
        </w:rPr>
        <w:t>: 청산그룹 내 완전한 차감으로 헤지 및 상관관계 효과 인식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자본효율성</w:t>
      </w:r>
      <w:r>
        <w:rPr>
          <w:rFonts w:ascii="Malgun Gothic" w:hAnsi="Malgun Gothic" w:eastAsia="맑은 고딕"/>
        </w:rPr>
        <w:t>: 보다 정확한 위험 평가로 표준화 또는 양자 간 접근법 대비 바젤 III/CRD IV에 따른 낮은 자본 요건 실현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단일 담보 풀</w:t>
      </w:r>
      <w:r>
        <w:rPr>
          <w:rFonts w:ascii="Malgun Gothic" w:hAnsi="Malgun Gothic" w:eastAsia="맑은 고딕"/>
        </w:rPr>
        <w:t>: 장내 및 OTC 포지션에 걸친 하나의 증거금 풀로 운영 복잡성과 담보 분산 감소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9. 최근 동향 (Recent Developments)</w:t>
      </w:r>
    </w:p>
    <w:p>
      <w:pPr>
        <w:pStyle w:val="Heading3"/>
      </w:pPr>
      <w:r>
        <w:rPr>
          <w:rFonts w:ascii="Malgun Gothic" w:hAnsi="Malgun Gothic" w:eastAsia="맑은 고딕"/>
        </w:rPr>
        <w:t>9.1 C7 시스템 발전 (C7 System Evolution)</w:t>
      </w:r>
    </w:p>
    <w:p>
      <w:r>
        <w:rPr>
          <w:rFonts w:ascii="Malgun Gothic" w:hAnsi="Malgun Gothic" w:eastAsia="맑은 고딕"/>
        </w:rPr>
        <w:t>C7 청산 아키텍처는 다년간의 적용을 지속하고 있다: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C7 SCS</w:t>
      </w:r>
      <w:r>
        <w:rPr>
          <w:rFonts w:ascii="Malgun Gothic" w:hAnsi="Malgun Gothic" w:eastAsia="맑은 고딕"/>
        </w:rPr>
        <w:t xml:space="preserve"> (Securities Clearing Service)는 2021년 9월부터 운영 중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C7 Release 11.1</w:t>
      </w:r>
      <w:r>
        <w:rPr>
          <w:rFonts w:ascii="Malgun Gothic" w:hAnsi="Malgun Gothic" w:eastAsia="맑은 고딕"/>
        </w:rPr>
        <w:t xml:space="preserve"> (2025년 5월): Total Return Futures 전략, 음수 거래/결제가격, 미국 FCM 고객용 상품간 증거금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C7 CAS Release 2.293</w:t>
      </w:r>
      <w:r>
        <w:rPr>
          <w:rFonts w:ascii="Malgun Gothic" w:hAnsi="Malgun Gothic" w:eastAsia="맑은 고딕"/>
        </w:rPr>
        <w:t xml:space="preserve"> (2025년 10월): 강화된 회원 관리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2026년 로드맵</w:t>
      </w:r>
      <w:r>
        <w:rPr>
          <w:rFonts w:ascii="Malgun Gothic" w:hAnsi="Malgun Gothic" w:eastAsia="맑은 고딕"/>
        </w:rPr>
        <w:t>: 청산 아키텍처, 규제 이니셔티브, 담보부 자금조달 역량의 추가 발전</w:t>
      </w:r>
    </w:p>
    <w:p>
      <w:pPr>
        <w:pStyle w:val="ListBullet"/>
      </w:pPr>
      <w:r>
        <w:rPr>
          <w:rFonts w:ascii="Malgun Gothic" w:hAnsi="Malgun Gothic" w:eastAsia="맑은 고딕"/>
        </w:rPr>
        <w:t>TCS (Tata Consultancy Services)가 청산 플랫폼 현대화의 기술 파트너로 참여</w:t>
      </w:r>
    </w:p>
    <w:p>
      <w:r>
        <w:rPr>
          <w:rFonts w:ascii="Malgun Gothic" w:hAnsi="Malgun Gothic" w:eastAsia="맑은 고딕"/>
        </w:rPr>
        <w:t xml:space="preserve">Source: </w:t>
      </w:r>
      <w:r>
        <w:rPr>
          <w:rFonts w:ascii="Malgun Gothic" w:hAnsi="Malgun Gothic" w:eastAsia="맑은 고딕"/>
          <w:color w:val="0563C1"/>
          <w:u w:val="single"/>
        </w:rPr>
        <w:t>Eurex C7 Releases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TCS Case Study</w:t>
      </w:r>
    </w:p>
    <w:p>
      <w:pPr>
        <w:pStyle w:val="Heading3"/>
      </w:pPr>
      <w:r>
        <w:rPr>
          <w:rFonts w:ascii="Malgun Gothic" w:hAnsi="Malgun Gothic" w:eastAsia="맑은 고딕"/>
        </w:rPr>
        <w:t>9.2 D7 매매 후 플랫폼 (디지털 증권) (D7 Post-Trade Platform)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D7</w:t>
      </w:r>
      <w:r>
        <w:rPr>
          <w:rFonts w:ascii="Malgun Gothic" w:hAnsi="Malgun Gothic" w:eastAsia="맑은 고딕"/>
        </w:rPr>
        <w:t>은 Deutsche Borse Group의 완전 디지털 증권 발행 및 처리를 위한 차세대 플랫폼</w:t>
      </w:r>
    </w:p>
    <w:p>
      <w:pPr>
        <w:pStyle w:val="ListBullet"/>
      </w:pPr>
      <w:r>
        <w:rPr>
          <w:rFonts w:ascii="Malgun Gothic" w:hAnsi="Malgun Gothic" w:eastAsia="맑은 고딕"/>
        </w:rPr>
        <w:t>Clearstream의 D7 플랫폼에서 발행된 네이티브 디지털 CP(ABN Amro 발행)가 Eurex Repo F7에서 거래</w:t>
      </w:r>
    </w:p>
    <w:p>
      <w:pPr>
        <w:pStyle w:val="ListBullet"/>
      </w:pPr>
      <w:r>
        <w:rPr>
          <w:rFonts w:ascii="Malgun Gothic" w:hAnsi="Malgun Gothic" w:eastAsia="맑은 고딕"/>
        </w:rPr>
        <w:t>Eurex Clearing이 ECB의 도매 디지털 화폐 시범사업에 성공적으로 참여</w:t>
      </w:r>
    </w:p>
    <w:p>
      <w:pPr>
        <w:pStyle w:val="ListBullet"/>
      </w:pPr>
      <w:r>
        <w:rPr>
          <w:rFonts w:ascii="Malgun Gothic" w:hAnsi="Malgun Gothic" w:eastAsia="맑은 고딕"/>
        </w:rPr>
        <w:t>D7과 Eurex Clearing 인프라의 통합으로 디지털 증권 청산 실현</w:t>
      </w:r>
    </w:p>
    <w:p>
      <w:r>
        <w:rPr>
          <w:rFonts w:ascii="Malgun Gothic" w:hAnsi="Malgun Gothic" w:eastAsia="맑은 고딕"/>
        </w:rPr>
        <w:t xml:space="preserve">Source: </w:t>
      </w:r>
      <w:r>
        <w:rPr>
          <w:rFonts w:ascii="Malgun Gothic" w:hAnsi="Malgun Gothic" w:eastAsia="맑은 고딕"/>
          <w:color w:val="0563C1"/>
          <w:u w:val="single"/>
        </w:rPr>
        <w:t>Deutsche Borse D7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Eurex Digital Money Pilot</w:t>
      </w:r>
    </w:p>
    <w:p>
      <w:pPr>
        <w:pStyle w:val="Heading3"/>
      </w:pPr>
      <w:r>
        <w:rPr>
          <w:rFonts w:ascii="Malgun Gothic" w:hAnsi="Malgun Gothic" w:eastAsia="맑은 고딕"/>
        </w:rPr>
        <w:t>9.3 Partnership Program (OTC IRS)</w:t>
      </w:r>
    </w:p>
    <w:p>
      <w:r>
        <w:rPr>
          <w:rFonts w:ascii="Malgun Gothic" w:hAnsi="Malgun Gothic" w:eastAsia="맑은 고딕"/>
        </w:rPr>
        <w:t>2017년 10월에 출범한 Eurex Clearing Partnership Program은 Eurex의 OTC 청산 위상을 변모시켰다: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지표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참가기관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미국, 영국, 아시아, 유럽 대륙에서 27개 창립 참가기관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등록 고객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500개 이상의 은행 및 매수 측(buy-side) 기관이 스왑 청산에 가입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거래량 성장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일평균 청산 금액: EUR 50억 (2017년) -&gt; EUR 2,800억 (2025년)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거버넌스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최활발 상위 10개 참가기관은 경제적 이익에 대한 영구 지분 및 거버넌스/위원회 구조 참여 자격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고객 인센티브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OTC IRD Client Activation Program: 적격 고객에 최대 EUR 50,000 보상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CCP 전환 인센티브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지정 전환일의 OTC IRD 거래에 대한 정규 booking 수수료 50% 할인 (2026년 3월 31일까지)</w:t>
            </w:r>
          </w:p>
        </w:tc>
      </w:tr>
    </w:tbl>
    <w:p/>
    <w:p>
      <w:r>
        <w:rPr>
          <w:rFonts w:ascii="Malgun Gothic" w:hAnsi="Malgun Gothic" w:eastAsia="맑은 고딕"/>
        </w:rPr>
        <w:t xml:space="preserve">Source: </w:t>
      </w:r>
      <w:r>
        <w:rPr>
          <w:rFonts w:ascii="Malgun Gothic" w:hAnsi="Malgun Gothic" w:eastAsia="맑은 고딕"/>
          <w:color w:val="0563C1"/>
          <w:u w:val="single"/>
        </w:rPr>
        <w:t>FIA Partnership Program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Eurex Partnership Program</w:t>
      </w:r>
    </w:p>
    <w:p>
      <w:pPr>
        <w:pStyle w:val="Heading3"/>
      </w:pPr>
      <w:r>
        <w:rPr>
          <w:rFonts w:ascii="Malgun Gothic" w:hAnsi="Malgun Gothic" w:eastAsia="맑은 고딕"/>
        </w:rPr>
        <w:t>9.4 OTC 청산 성장 (OTC Clearing Growth)</w:t>
      </w:r>
    </w:p>
    <w:p>
      <w:r>
        <w:rPr>
          <w:rFonts w:ascii="Malgun Gothic" w:hAnsi="Malgun Gothic" w:eastAsia="맑은 고딕"/>
        </w:rPr>
        <w:t>Eurex OTC Clear는 괄목할 만한 성장 궤적을 달성하였다: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연도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명목 잔액 (연말)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일평균 청산 금액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전년 대비 성장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2023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~EUR 29,800억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~EUR 1,850억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--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2024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EUR 33,411억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EUR 2,090억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+12% / +13%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2025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EUR 43,668억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EUR 2,800억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+31% / +35%</w:t>
            </w:r>
          </w:p>
        </w:tc>
      </w:tr>
    </w:tbl>
    <w:p/>
    <w:p>
      <w:r>
        <w:rPr>
          <w:rFonts w:ascii="Malgun Gothic" w:hAnsi="Malgun Gothic" w:eastAsia="맑은 고딕"/>
        </w:rPr>
        <w:t>2025년 10월에는 명목 잔액이 EUR 49,407억에 도달하였다 (전년 동월 대비 41% 증가). IRS 거래량은 전년 대비 90% 증가하였고, OIS 잔액은 50% 증가하였다. 신규 참가기관에는 EU 및 비EU 기관이 모두 포함된다.</w:t>
      </w:r>
    </w:p>
    <w:p>
      <w:r>
        <w:rPr>
          <w:rFonts w:ascii="Malgun Gothic" w:hAnsi="Malgun Gothic" w:eastAsia="맑은 고딕"/>
        </w:rPr>
        <w:t>주요 이정표: 유럽안정메커니즘(European Stability Mechanism, ESM)이 금리스왑의 자발적 청산을 위해 Eurex Clearing을 선정하였다.</w:t>
      </w:r>
    </w:p>
    <w:p>
      <w:r>
        <w:rPr>
          <w:rFonts w:ascii="Malgun Gothic" w:hAnsi="Malgun Gothic" w:eastAsia="맑은 고딕"/>
        </w:rPr>
        <w:t xml:space="preserve">Sources: </w:t>
      </w:r>
      <w:r>
        <w:rPr>
          <w:rFonts w:ascii="Malgun Gothic" w:hAnsi="Malgun Gothic" w:eastAsia="맑은 고딕"/>
          <w:color w:val="0563C1"/>
          <w:u w:val="single"/>
        </w:rPr>
        <w:t>Eurex Full Year 2025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Eurex OTC Momentum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ESM Selection</w:t>
      </w:r>
    </w:p>
    <w:p>
      <w:pPr>
        <w:pStyle w:val="Heading3"/>
      </w:pPr>
      <w:r>
        <w:rPr>
          <w:rFonts w:ascii="Malgun Gothic" w:hAnsi="Malgun Gothic" w:eastAsia="맑은 고딕"/>
        </w:rPr>
        <w:t>9.5 Eurex Repo F7 플랫폼 (Eurex Repo F7 Platform)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F7</w:t>
      </w:r>
      <w:r>
        <w:rPr>
          <w:rFonts w:ascii="Malgun Gothic" w:hAnsi="Malgun Gothic" w:eastAsia="맑은 고딕"/>
        </w:rPr>
        <w:t>은 BaFin의 감독을 받는 다자간거래시설(Multilateral Trading Facility, MTF)로 운영되는 Eurex Repo의 웹 기반 매매 시스템</w:t>
      </w:r>
    </w:p>
    <w:p>
      <w:pPr>
        <w:pStyle w:val="ListBullet"/>
      </w:pPr>
      <w:r>
        <w:rPr>
          <w:rFonts w:ascii="Malgun Gothic" w:hAnsi="Malgun Gothic" w:eastAsia="맑은 고딕"/>
        </w:rPr>
        <w:t>전자거래, CCP 청산, 담보 관리, 결제를 통합한 시장</w:t>
      </w:r>
    </w:p>
    <w:p>
      <w:pPr>
        <w:pStyle w:val="ListBullet"/>
      </w:pPr>
      <w:r>
        <w:rPr>
          <w:rFonts w:ascii="Malgun Gothic" w:hAnsi="Malgun Gothic" w:eastAsia="맑은 고딕"/>
        </w:rPr>
        <w:t>F7 Release 4.3 (2025년 4월): FIX 업그레이드 및 선택적 API 업그레이드</w:t>
      </w:r>
    </w:p>
    <w:p>
      <w:pPr>
        <w:pStyle w:val="ListBullet"/>
      </w:pPr>
      <w:r>
        <w:rPr>
          <w:rFonts w:ascii="Malgun Gothic" w:hAnsi="Malgun Gothic" w:eastAsia="맑은 고딕"/>
        </w:rPr>
        <w:t>F7 Release 4.4 (2025년 9월 시뮬레이션): 필수 API 업데이트를 포함한 FIX 업그레이드</w:t>
      </w:r>
    </w:p>
    <w:p>
      <w:pPr>
        <w:pStyle w:val="ListBullet"/>
      </w:pPr>
      <w:r>
        <w:rPr>
          <w:rFonts w:ascii="Malgun Gothic" w:hAnsi="Malgun Gothic" w:eastAsia="맑은 고딕"/>
        </w:rPr>
        <w:t>추가 인프라 개선을 포함한 2026년 릴리스 일정 발표</w:t>
      </w:r>
    </w:p>
    <w:p>
      <w:pPr>
        <w:pStyle w:val="ListBullet"/>
      </w:pPr>
      <w:r>
        <w:rPr>
          <w:rFonts w:ascii="Malgun Gothic" w:hAnsi="Malgun Gothic" w:eastAsia="맑은 고딕"/>
        </w:rPr>
        <w:t>레포 사상 최대 거래량: 2025년 평균 잔존기간 조정 거래량 EUR 4,061억 (전년 대비 +20%)</w:t>
      </w:r>
    </w:p>
    <w:p>
      <w:r>
        <w:rPr>
          <w:rFonts w:ascii="Malgun Gothic" w:hAnsi="Malgun Gothic" w:eastAsia="맑은 고딕"/>
        </w:rPr>
        <w:t xml:space="preserve">Source: </w:t>
      </w:r>
      <w:r>
        <w:rPr>
          <w:rFonts w:ascii="Malgun Gothic" w:hAnsi="Malgun Gothic" w:eastAsia="맑은 고딕"/>
          <w:color w:val="0563C1"/>
          <w:u w:val="single"/>
        </w:rPr>
        <w:t>Eurex Repo F7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F7 Release Schedule 2026</w:t>
      </w:r>
    </w:p>
    <w:p>
      <w:pPr>
        <w:pStyle w:val="Heading3"/>
      </w:pPr>
      <w:r>
        <w:rPr>
          <w:rFonts w:ascii="Malgun Gothic" w:hAnsi="Malgun Gothic" w:eastAsia="맑은 고딕"/>
        </w:rPr>
        <w:t>9.6 지속가능성 파생상품 청산 (Sustainability Derivatives Clearing)</w:t>
      </w:r>
    </w:p>
    <w:p>
      <w:r>
        <w:rPr>
          <w:rFonts w:ascii="Malgun Gothic" w:hAnsi="Malgun Gothic" w:eastAsia="맑은 고딕"/>
        </w:rPr>
        <w:t>Eurex는 확대되는 ESG/지속가능성 파생상품을 청산하고 있다: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지표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2025년 1분기 데이터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ESG 지수 파생상품 총 명목금액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 300억 초과 (2025년 1분기, 분기 기준 사상 최고)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최초 EUR 200억 달성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2025년 3월 (EUR 201억)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EURO STOXX 50 ESG Options (OSSX)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명목금액 EUR 16억 (2025년 1분기, 전년 동기 대비 +38.1%)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Bloomberg MSCI Euro Corporate SRI Futures (FECX)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명목금액 EUR 138억 (2025년 1분기)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상품 범위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글로벌, 유럽, 지역 벤치마크의 지속가능 버전으로 ESG-X, SRI, CTB, PAB 방법론 적용</w:t>
            </w:r>
          </w:p>
        </w:tc>
      </w:tr>
    </w:tbl>
    <w:p/>
    <w:p>
      <w:r>
        <w:rPr>
          <w:rFonts w:ascii="Malgun Gothic" w:hAnsi="Malgun Gothic" w:eastAsia="맑은 고딕"/>
        </w:rPr>
        <w:t xml:space="preserve">Source: </w:t>
      </w:r>
      <w:r>
        <w:rPr>
          <w:rFonts w:ascii="Malgun Gothic" w:hAnsi="Malgun Gothic" w:eastAsia="맑은 고딕"/>
          <w:color w:val="0563C1"/>
          <w:u w:val="single"/>
        </w:rPr>
        <w:t>Eurex ESG Index Derivatives Q1 2025</w:t>
      </w:r>
    </w:p>
    <w:p>
      <w:pPr>
        <w:pStyle w:val="Heading3"/>
      </w:pPr>
      <w:r>
        <w:rPr>
          <w:rFonts w:ascii="Malgun Gothic" w:hAnsi="Malgun Gothic" w:eastAsia="맑은 고딕"/>
        </w:rPr>
        <w:t>9.7 EMIR 3.0 영향 및 활성 계좌 요건 (EMIR 3.0 Implications &amp; Active Account Requirement)</w:t>
      </w:r>
    </w:p>
    <w:p>
      <w:r>
        <w:rPr>
          <w:rFonts w:ascii="Malgun Gothic" w:hAnsi="Malgun Gothic" w:eastAsia="맑은 고딕"/>
        </w:rPr>
        <w:t xml:space="preserve">EMIR 3.0 (Regulation (EU) 2024/2987)은 </w:t>
      </w:r>
      <w:r>
        <w:rPr>
          <w:rFonts w:ascii="Malgun Gothic" w:hAnsi="Malgun Gothic" w:eastAsia="맑은 고딕"/>
          <w:b/>
        </w:rPr>
        <w:t>활성 계좌 요건(Active Account Requirement, AAR)</w:t>
      </w:r>
      <w:r>
        <w:rPr>
          <w:rFonts w:ascii="Malgun Gothic" w:hAnsi="Malgun Gothic" w:eastAsia="맑은 고딕"/>
        </w:rPr>
        <w:t>을 도입하였다 -- 이는 Eurex Clearing에 직접적으로 유리한 중요한 규제 변화이다: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측면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시행일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활성 계좌 유지 의무: 2025년 6월 24일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RTS 시행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2026년 2월 26일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대상 상품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 및 PLN 표시 OTC IRD; Euro STIR (유리보 및 eSTR 선물)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준수 대상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IRD 청산 기준을 초과하는 EU 시장참가자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요건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상시 기능: IT 연결, 내부 절차, 법적 문서, EU CCP에서의 현금/담보 계좌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최초 보고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2026년 7월 말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Eurex의 지위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포괄적 장내 및 OTC IRD 청산을 제공하는 유일한 EU 기반 CCP로서 주요 수혜자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인센티브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CCP Switch Incentive Program: 전환일 booking 수수료 50% 할인 (2026년 3월 31일까지); 시장참가자 교육을 위한 Eurex Focus Days</w:t>
            </w:r>
          </w:p>
        </w:tc>
      </w:tr>
    </w:tbl>
    <w:p/>
    <w:p>
      <w:r>
        <w:rPr>
          <w:rFonts w:ascii="Malgun Gothic" w:hAnsi="Malgun Gothic" w:eastAsia="맑은 고딕"/>
        </w:rPr>
        <w:t xml:space="preserve">Source: </w:t>
      </w:r>
      <w:r>
        <w:rPr>
          <w:rFonts w:ascii="Malgun Gothic" w:hAnsi="Malgun Gothic" w:eastAsia="맑은 고딕"/>
          <w:color w:val="0563C1"/>
          <w:u w:val="single"/>
        </w:rPr>
        <w:t>Eurex EMIR 3.0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ESMA EMIR 3 AAR Final Report</w:t>
      </w:r>
    </w:p>
    <w:p>
      <w:pPr>
        <w:pStyle w:val="Heading3"/>
      </w:pPr>
      <w:r>
        <w:rPr>
          <w:rFonts w:ascii="Malgun Gothic" w:hAnsi="Malgun Gothic" w:eastAsia="맑은 고딕"/>
        </w:rPr>
        <w:t>9.8 DLT 기반 담보 유동화 (DLT-Enabled Collateral Mobilisation)</w:t>
      </w:r>
    </w:p>
    <w:p>
      <w:r>
        <w:rPr>
          <w:rFonts w:ascii="Malgun Gothic" w:hAnsi="Malgun Gothic" w:eastAsia="맑은 고딕"/>
        </w:rPr>
        <w:t xml:space="preserve">2025년 7월, Eurex Clearing은 </w:t>
      </w:r>
      <w:r>
        <w:rPr>
          <w:rFonts w:ascii="Malgun Gothic" w:hAnsi="Malgun Gothic" w:eastAsia="맑은 고딕"/>
          <w:b/>
        </w:rPr>
        <w:t>전 세계 CCP 최초로</w:t>
      </w:r>
      <w:r>
        <w:rPr>
          <w:rFonts w:ascii="Malgun Gothic" w:hAnsi="Malgun Gothic" w:eastAsia="맑은 고딕"/>
        </w:rPr>
        <w:t xml:space="preserve"> DLT 기반 담보 유동화 서비스를 출범하였다: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HQLAx</w:t>
      </w:r>
      <w:r>
        <w:rPr>
          <w:rFonts w:ascii="Malgun Gothic" w:hAnsi="Malgun Gothic" w:eastAsia="맑은 고딕"/>
        </w:rPr>
        <w:t xml:space="preserve"> (분산원장기술) 및 </w:t>
      </w:r>
      <w:r>
        <w:rPr>
          <w:rFonts w:ascii="Malgun Gothic" w:hAnsi="Malgun Gothic" w:eastAsia="맑은 고딕"/>
          <w:b/>
        </w:rPr>
        <w:t>Clearstream</w:t>
      </w:r>
      <w:r>
        <w:rPr>
          <w:rFonts w:ascii="Malgun Gothic" w:hAnsi="Malgun Gothic" w:eastAsia="맑은 고딕"/>
        </w:rPr>
        <w:t xml:space="preserve"> (결제 인프라)과의 파트너십으로 개발</w:t>
      </w:r>
    </w:p>
    <w:p>
      <w:pPr>
        <w:pStyle w:val="ListBullet"/>
      </w:pPr>
      <w:r>
        <w:rPr>
          <w:rFonts w:ascii="Malgun Gothic" w:hAnsi="Malgun Gothic" w:eastAsia="맑은 고딕"/>
        </w:rPr>
        <w:t>담보 자산의 물리적 소재지로 인한 운영 마찰 해소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J.P. Morgan</w:t>
      </w:r>
      <w:r>
        <w:rPr>
          <w:rFonts w:ascii="Malgun Gothic" w:hAnsi="Malgun Gothic" w:eastAsia="맑은 고딕"/>
        </w:rPr>
        <w:t>이 시범 청산회원으로 계획</w:t>
      </w:r>
    </w:p>
    <w:p>
      <w:pPr>
        <w:pStyle w:val="ListBullet"/>
      </w:pPr>
      <w:r>
        <w:rPr>
          <w:rFonts w:ascii="Malgun Gothic" w:hAnsi="Malgun Gothic" w:eastAsia="맑은 고딕"/>
        </w:rPr>
        <w:t>분산원장 상에서 물리적 결제 없이 담보 소유권 기록을 이동, 시간 및 비용 절감</w:t>
      </w:r>
    </w:p>
    <w:p>
      <w:r>
        <w:rPr>
          <w:rFonts w:ascii="Malgun Gothic" w:hAnsi="Malgun Gothic" w:eastAsia="맑은 고딕"/>
        </w:rPr>
        <w:t xml:space="preserve">Source: </w:t>
      </w:r>
      <w:r>
        <w:rPr>
          <w:rFonts w:ascii="Malgun Gothic" w:hAnsi="Malgun Gothic" w:eastAsia="맑은 고딕"/>
          <w:color w:val="0563C1"/>
          <w:u w:val="single"/>
        </w:rPr>
        <w:t>Eurex DLT Collateral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HQLAx Announcement</w:t>
      </w:r>
    </w:p>
    <w:p>
      <w:pPr>
        <w:pStyle w:val="Heading3"/>
      </w:pPr>
      <w:r>
        <w:rPr>
          <w:rFonts w:ascii="Malgun Gothic" w:hAnsi="Malgun Gothic" w:eastAsia="맑은 고딕"/>
        </w:rPr>
        <w:t>9.9 Prisma Bonds 확대 (Prisma Bonds Extension)</w:t>
      </w:r>
    </w:p>
    <w:p>
      <w:r>
        <w:rPr>
          <w:rFonts w:ascii="Malgun Gothic" w:hAnsi="Malgun Gothic" w:eastAsia="맑은 고딕"/>
        </w:rPr>
        <w:t xml:space="preserve">2025년 12월 8일(의무 적용)부터 Eurex Clearing은 Prisma 방법론을 </w:t>
      </w:r>
      <w:r>
        <w:rPr>
          <w:rFonts w:ascii="Malgun Gothic" w:hAnsi="Malgun Gothic" w:eastAsia="맑은 고딕"/>
          <w:b/>
        </w:rPr>
        <w:t>채권 및 레포</w:t>
      </w:r>
      <w:r>
        <w:rPr>
          <w:rFonts w:ascii="Malgun Gothic" w:hAnsi="Malgun Gothic" w:eastAsia="맑은 고딕"/>
        </w:rPr>
        <w:t xml:space="preserve"> (Prisma Bonds)로 확대하였다:</w:t>
      </w:r>
    </w:p>
    <w:p>
      <w:pPr>
        <w:pStyle w:val="ListBullet"/>
      </w:pPr>
      <w:r>
        <w:rPr>
          <w:rFonts w:ascii="Malgun Gothic" w:hAnsi="Malgun Gothic" w:eastAsia="맑은 고딕"/>
        </w:rPr>
        <w:t>대상 채권 및 레포에 대한 기존 Risk-Based Margining (RBM) 방식 대체</w:t>
      </w:r>
    </w:p>
    <w:p>
      <w:pPr>
        <w:pStyle w:val="ListBullet"/>
      </w:pPr>
      <w:r>
        <w:rPr>
          <w:rFonts w:ascii="Malgun Gothic" w:hAnsi="Malgun Gothic" w:eastAsia="맑은 고딕"/>
        </w:rPr>
        <w:t>후향적 및 개선된 전향적 증거금 요소 통합</w:t>
      </w:r>
    </w:p>
    <w:p>
      <w:pPr>
        <w:pStyle w:val="ListBullet"/>
      </w:pPr>
      <w:r>
        <w:rPr>
          <w:rFonts w:ascii="Malgun Gothic" w:hAnsi="Malgun Gothic" w:eastAsia="맑은 고딕"/>
        </w:rPr>
        <w:t>채권 담보 헤어컷(haircut)에도 개선된 방법론 적용</w:t>
      </w:r>
    </w:p>
    <w:p>
      <w:pPr>
        <w:pStyle w:val="ListBullet"/>
      </w:pPr>
      <w:r>
        <w:rPr>
          <w:rFonts w:ascii="Malgun Gothic" w:hAnsi="Malgun Gothic" w:eastAsia="맑은 고딕"/>
        </w:rPr>
        <w:t>ESMA 및 BaFin의 규제 승인을 2025년 6월 3일 획득</w:t>
      </w:r>
    </w:p>
    <w:p>
      <w:r>
        <w:rPr>
          <w:rFonts w:ascii="Malgun Gothic" w:hAnsi="Malgun Gothic" w:eastAsia="맑은 고딕"/>
        </w:rPr>
        <w:t xml:space="preserve">Source: </w:t>
      </w:r>
      <w:r>
        <w:rPr>
          <w:rFonts w:ascii="Malgun Gothic" w:hAnsi="Malgun Gothic" w:eastAsia="맑은 고딕"/>
          <w:color w:val="0563C1"/>
          <w:u w:val="single"/>
        </w:rPr>
        <w:t>Eurex Prisma Bonds Circular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부록: KRX 청산과의 비교 (Appendix: Comparison with KRX Clearing)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특성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Eurex Clearing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KRX (한국거래소, CCP)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법적 구조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독립 법인 (Eurex Clearing AG), 거래소의 자회사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KRX 자체가 CCP 역할 수행; 한국예탁결제원(KSD)이 CSD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증거금 방법론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Prisma (필터링된 과거 시뮬레이션, 포트폴리오 기반)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KOSPI 200 옵션: SPAN 유사; 선물: SPAN; KTB 선물: SPAN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교차증거금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예 (장내 채권 및 OTC IRS, 최대 70% 절감)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상품군 간 제한적 교차증거금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OTC 청산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예 (IRS, FX NDF)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예 (2014년부터 KRX OTC IRS 청산)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공동기금 구조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전 자산군 포괄 단일 합동 기금, Cover-2 기준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시장별 별도 손해배상공동기금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결제 CSD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Clearstream Europe AG / T2S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한국예탁결제원 (KSD)</w:t>
            </w:r>
          </w:p>
        </w:tc>
      </w:tr>
    </w:tbl>
    <w:p/>
    <w:p>
      <w:pPr>
        <w:pBdr>
          <w:bottom w:val="single" w:sz="4" w:space="1" w:color="auto"/>
        </w:pBdr>
      </w:pPr>
    </w:p>
    <w:p>
      <w:r>
        <w:rPr>
          <w:rFonts w:ascii="Malgun Gothic" w:hAnsi="Malgun Gothic" w:eastAsia="맑은 고딕"/>
        </w:rPr>
        <w:t>*본 문서는 글로벌 거래소 조사 프로젝트 -- 청산결제 도메인의 일부이다.*</w:t>
      </w:r>
    </w:p>
    <w:p>
      <w:r>
        <w:rPr>
          <w:rFonts w:ascii="Malgun Gothic" w:hAnsi="Malgun Gothic" w:eastAsia="맑은 고딕"/>
        </w:rPr>
        <w:t>*문의 또는 업데이트 사항은 프로젝트 CLAUDE.md 지침을 참조한다.*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