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KSD (한국예탁결제원, Korea Securities Depository)</w:t>
      </w:r>
    </w:p>
    <w:p>
      <w:r>
        <w:rPr>
          <w:i/>
          <w:sz w:val="18"/>
        </w:rPr>
        <w:t>**최종 업데이트:** 2026-04-13</w:t>
      </w:r>
    </w:p>
    <w:p>
      <w:r>
        <w:rPr>
          <w:i/>
          <w:sz w:val="18"/>
        </w:rPr>
        <w:t>**조사 등급:** Tier 1</w:t>
      </w:r>
    </w:p>
    <w:p>
      <w:r>
        <w:rPr>
          <w:i/>
          <w:sz w:val="18"/>
        </w:rPr>
        <w:t>**유형:** CSD (중앙예탁결제기관, Central Securities Depository)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기본 정보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한국예탁결제원 (Korea Securities Depository)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KSD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[https://www.ksd.or.kr](https://www.ksd.or.kr)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1974년 12월 6일 (한국증권대체결제주식회사로 설립); 이후 수차례 개편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국가 / 도시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대한민국 / 부산 (본사)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금융위원회 산하 공공기관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금융위원회 (FSC, Financial Services Commission) / 금융감독원 (FSS, Financial Supervisory Service)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9884008RRMX1X5HV6625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SWIFT BIC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KSDCKRSEXXX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핵심 기능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 예탁, 결제대리, 명의개서대리, 펀드 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수탁 자산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3,149조 원 (2014년 기준); 2026년 현재 상당히 증가했을 것으로 추정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자금 처리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70조 원 (2014년 기준)</w:t>
            </w:r>
          </w:p>
        </w:tc>
      </w:tr>
    </w:tbl>
    <w:p/>
    <w:p>
      <w:pPr>
        <w:pStyle w:val="Heading3"/>
      </w:pPr>
      <w:r>
        <w:t>주요 연혁 (Key Historical Milestones)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1974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한국증권대체결제주식회사 설립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1994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한국예탁결제원으로 재편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(한국거래소) 그룹 구조에 편입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자본시장법 (FSCMA, Financial Investment Services and Capital Markets Act) 에 따라 독립 기관으로 재설립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본사를 부산으로 이전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2021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분할결제 제도 도입 (1,000억 원 단위)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 단위를 1,000억 원에서 500억 원으로 축소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 단위를 100억 원으로 추가 축소; 운영 시간 확대</w:t>
            </w:r>
          </w:p>
        </w:tc>
      </w:tr>
    </w:tbl>
    <w:p/>
    <w:p>
      <w:r>
        <w:t>[출처: Wikipedia, "Korea Securities Depository"]</w:t>
      </w:r>
    </w:p>
    <w:p>
      <w:r>
        <w:t>[출처: 한국예탁결제원 공식 홈페이지, https://www.ksd.or.kr]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핵심 서비스 (Core Services)</w:t>
      </w:r>
    </w:p>
    <w:p>
      <w:pPr>
        <w:pStyle w:val="Heading3"/>
      </w:pPr>
      <w:r>
        <w:t>2.1 증권 예탁 (Securities Depository)</w:t>
      </w:r>
    </w:p>
    <w:p>
      <w:pPr>
        <w:pStyle w:val="ListBullet"/>
      </w:pPr>
      <w:r>
        <w:t>상장 증권 전체 보관 (KOSPI, KOSDAQ, 채권, ETF)</w:t>
      </w:r>
    </w:p>
    <w:p>
      <w:pPr>
        <w:pStyle w:val="ListBullet"/>
      </w:pPr>
      <w:r>
        <w:t>증권의 부동화(Immobilization) 및 전자화(Dematerialization)</w:t>
      </w:r>
    </w:p>
    <w:p>
      <w:pPr>
        <w:pStyle w:val="ListBullet"/>
      </w:pPr>
      <w:r>
        <w:t>계좌부 대체 방식 (Book-entry Transfer System)</w:t>
      </w:r>
    </w:p>
    <w:p>
      <w:pPr>
        <w:pStyle w:val="ListBullet"/>
      </w:pPr>
      <w:r>
        <w:t>기업 행위 처리 (배당, 유상증자, 주식 분할 등)</w:t>
      </w:r>
    </w:p>
    <w:p>
      <w:pPr>
        <w:pStyle w:val="Heading3"/>
      </w:pPr>
      <w:r>
        <w:t>2.2 결제 서비스 (Settlement Services)</w:t>
      </w:r>
    </w:p>
    <w:p>
      <w:pPr>
        <w:pStyle w:val="ListBullet"/>
      </w:pPr>
      <w:r>
        <w:t>KRX (한국거래소) 청산 거래의 결제 대리</w:t>
      </w:r>
    </w:p>
    <w:p>
      <w:pPr>
        <w:pStyle w:val="ListBullet"/>
      </w:pPr>
      <w:r>
        <w:t>주식 DVP (Delivery vs. Payment) 결제 (T+2), 채권 DVP 결제 (T+1)</w:t>
      </w:r>
    </w:p>
    <w:p>
      <w:pPr>
        <w:pStyle w:val="ListBullet"/>
      </w:pPr>
      <w:r>
        <w:t>거래소 거래 및 장외(OTC) 거래 결제</w:t>
      </w:r>
    </w:p>
    <w:p>
      <w:pPr>
        <w:pStyle w:val="ListBullet"/>
      </w:pPr>
      <w:r>
        <w:t>결제촉진담보금 — 현금, 국채, 통화안정증권 등</w:t>
      </w:r>
    </w:p>
    <w:p>
      <w:pPr>
        <w:pStyle w:val="ListBullet"/>
      </w:pPr>
      <w:r>
        <w:t>결제 이행 담보 제도 운영</w:t>
      </w:r>
    </w:p>
    <w:p>
      <w:pPr>
        <w:pStyle w:val="Heading3"/>
      </w:pPr>
      <w:r>
        <w:t>2.3 펀드 결제 (Fund Settlement)</w:t>
      </w:r>
    </w:p>
    <w:p>
      <w:pPr>
        <w:pStyle w:val="ListBullet"/>
      </w:pPr>
      <w:r>
        <w:t>펀드 청약 및 환매 결제</w:t>
      </w:r>
    </w:p>
    <w:p>
      <w:pPr>
        <w:pStyle w:val="ListBullet"/>
      </w:pPr>
      <w:r>
        <w:t>글로벌 펀드 플랫폼 연계 (Euroclear FundSettle, Clearstream Vestima)</w:t>
      </w:r>
    </w:p>
    <w:p>
      <w:pPr>
        <w:pStyle w:val="ListBullet"/>
      </w:pPr>
      <w:r>
        <w:t>명의개서대리인 서비스</w:t>
      </w:r>
    </w:p>
    <w:p>
      <w:pPr>
        <w:pStyle w:val="Heading3"/>
      </w:pPr>
      <w:r>
        <w:t>2.4 증권 정보 서비스 (Securities Information Services)</w:t>
      </w:r>
    </w:p>
    <w:p>
      <w:pPr>
        <w:pStyle w:val="ListBullet"/>
      </w:pPr>
      <w:r>
        <w:t>증권 기준 정보 관리</w:t>
      </w:r>
    </w:p>
    <w:p>
      <w:pPr>
        <w:pStyle w:val="ListBullet"/>
      </w:pPr>
      <w:r>
        <w:t>기업 행위 통보</w:t>
      </w:r>
    </w:p>
    <w:p>
      <w:pPr>
        <w:pStyle w:val="ListBullet"/>
      </w:pPr>
      <w:r>
        <w:t>실질주주 명부 관리</w:t>
      </w:r>
    </w:p>
    <w:p>
      <w:r>
        <w:t>[출처: 한국예탁결제원 공식 홈페이지, https://www.ksd.or.kr]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결제 인프라 (Settlement Infrastructure)</w:t>
      </w:r>
    </w:p>
    <w:p>
      <w:pPr>
        <w:pStyle w:val="Heading3"/>
      </w:pPr>
      <w:r>
        <w:t>3.1 결제 프로세스 (Settlement Process)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 확인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KRX가 체결 거래 데이터를 한국예탁결제원에 전송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차감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한국예탁결제원이 청산 참가자별 순결제 의무를 산출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지시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 지시 자동 생성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DVP 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 인도와 대금 지급의 동시 이행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확정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계좌부 대체 완료 시 결제 확정력(Finality) 발생</w:t>
            </w:r>
          </w:p>
        </w:tc>
      </w:tr>
    </w:tbl>
    <w:p/>
    <w:p>
      <w:pPr>
        <w:pStyle w:val="Heading3"/>
      </w:pPr>
      <w:r>
        <w:t>3.2 결제 시간 (Settlement Timing)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 주기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 시각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국채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회사채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 ~ T+2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환매채 (Repos)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T+0 ~ T+2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파생상품 증거금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T+0/T+1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11:00</w:t>
            </w:r>
          </w:p>
        </w:tc>
      </w:tr>
    </w:tbl>
    <w:p/>
    <w:p>
      <w:pPr>
        <w:pStyle w:val="Heading3"/>
      </w:pPr>
      <w:r>
        <w:t>3.3 결제 은행 (Settlement Banks)</w:t>
      </w:r>
    </w:p>
    <w:p>
      <w:pPr>
        <w:pStyle w:val="ListBullet"/>
      </w:pPr>
      <w:r>
        <w:t>한국은행 (대규모·국채 결제를 위한 중앙은행 자금)</w:t>
      </w:r>
    </w:p>
    <w:p>
      <w:pPr>
        <w:pStyle w:val="ListBullet"/>
      </w:pPr>
      <w:r>
        <w:t>상업 결제 은행: 자기자본비율 및 신용등급 요건 충족 필요</w:t>
      </w:r>
    </w:p>
    <w:p>
      <w:pPr>
        <w:pStyle w:val="ListBullet"/>
      </w:pPr>
      <w:r>
        <w:t>한국은행 환매조건부매매 (RP) 제도 운영</w:t>
      </w:r>
    </w:p>
    <w:p>
      <w:pPr>
        <w:pStyle w:val="ListBullet"/>
      </w:pPr>
      <w:r>
        <w:t>일일 자금 처리 규모: 약 70조 원 [2014년 기준 데이터]</w:t>
      </w:r>
    </w:p>
    <w:p>
      <w:pPr>
        <w:pStyle w:val="Heading3"/>
      </w:pPr>
      <w:r>
        <w:t>3.4 결제 시스템 개편 (Settlement System Overhaul, 2021-2026)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변경 내용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효과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분할결제 도입 (1,000억 원 단위)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결제 최대 위험 감소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결제 단위 500억 원으로 축소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담보금 15~20% 감소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2026년 2월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운영 시간 확대 (7:00~16:10)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개장 전 준비 시간 개선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2026년 4월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결제 단위 100억 원으로 축소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담보금 추가 감소</w:t>
            </w:r>
          </w:p>
        </w:tc>
      </w:tr>
    </w:tbl>
    <w:p/>
    <w:p>
      <w:r>
        <w:t>2026년 주요 지표:</w:t>
      </w:r>
    </w:p>
    <w:p>
      <w:pPr>
        <w:pStyle w:val="ListBullet"/>
      </w:pPr>
      <w:r>
        <w:t>일평균 거래 대금: 29.6조 원 (2026년 1~3월), 138.7% 증가</w:t>
      </w:r>
    </w:p>
    <w:p>
      <w:pPr>
        <w:pStyle w:val="ListBullet"/>
      </w:pPr>
      <w:r>
        <w:t>기관 주식 결제 금액: 일평균 3.6조 원, 157.1% 증가</w:t>
      </w:r>
    </w:p>
    <w:p>
      <w:pPr>
        <w:pStyle w:val="ListBullet"/>
      </w:pPr>
      <w:r>
        <w:t>참가사당 결제촉진담보금: 일평균 848억 원, 131% 증가</w:t>
      </w:r>
    </w:p>
    <w:p>
      <w:r>
        <w:t>[출처: 서울경제신문, "KSD 결제 시스템 개편", 2026년 4월]</w:t>
      </w:r>
    </w:p>
    <w:p>
      <w:r>
        <w:t>[출처: KRX, "증권시장 청산결제 업무규정_전문_20260304"]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기술 및 인프라 (Technology &amp; Infrastructure)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핵심 시스템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한국예탁결제원 증권결제시스템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ISO 20022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CSD 연계, 명의개서대리, 글로벌 펀드 플랫폼에 도입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SWIFT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SWIFT 네트워크 연결 (BIC: KSDCKRSEXXX)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API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 정보 서비스에 배포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데이터 센터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부산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STP 처리율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높음 (거래소 거래의 자동 처리)</w:t>
            </w:r>
          </w:p>
        </w:tc>
      </w:tr>
    </w:tbl>
    <w:p/>
    <w:p>
      <w:r>
        <w:t>[출처: 한국예탁결제원 공식 홈페이지, https://www.ksd.or.kr]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DLT / 블록체인 이니셔티브 (DLT / Blockchain Initiatives)</w:t>
      </w:r>
    </w:p>
    <w:p>
      <w:pPr>
        <w:pStyle w:val="Heading3"/>
      </w:pPr>
      <w:r>
        <w:t>5.1 증권형 토큰 프레임워크 (Security Token Framework)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관련 법령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전자증권법 및 자본시장법 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시행일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2027년 1월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한국예탁결제원의 역할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증권형 토큰의 한국예탁결제원 의무 등록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적용 범위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광범위 — 상장 증권에 한정하지 않고 모든 증권형 토큰 포괄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요건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인가 중개기관 필수; 미인가 중개기관 금지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스마트 컨트랙트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DLT의 장부 기재 및 스마트 컨트랙트 기능 법적 인정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이전 시도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2023년 법안 실패; 현행법은 장기간 논의 끝에 성립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미해결 과제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디파이(DeFi) 플랫폼 관련 규율 미비</w:t>
            </w:r>
          </w:p>
        </w:tc>
      </w:tr>
    </w:tbl>
    <w:p/>
    <w:p>
      <w:pPr>
        <w:pStyle w:val="Heading3"/>
      </w:pPr>
      <w:r>
        <w:t>5.2 디지털 자산 인프라 (Digital Asset Infrastructure)</w:t>
      </w:r>
    </w:p>
    <w:p>
      <w:pPr>
        <w:pStyle w:val="ListBullet"/>
      </w:pPr>
      <w:r>
        <w:t>토큰 증권 중앙 등록기관으로서 한국예탁결제원 포지셔닝</w:t>
      </w:r>
    </w:p>
    <w:p>
      <w:pPr>
        <w:pStyle w:val="ListBullet"/>
      </w:pPr>
      <w:r>
        <w:t>운영 체계 수립을 위한 규제 당국과의 협의 진행</w:t>
      </w:r>
    </w:p>
    <w:p>
      <w:r>
        <w:t>[출처: Ledger Insights, "Korea Tokenization Legislation"]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규제 체계 (Regulatory Framework)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주요 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금융위원회 (FSC) / 금융감독원 (FSS)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법적 근거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자본시장법 (FSCMA, Financial Investment Services and Capital Markets Act)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확정력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자본시장법 관련 조항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PFMI 역할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(CCP)를 보완하는 결제 대리 기관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국제 표준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ISO 20022 도입; SWIFT 연결</w:t>
            </w:r>
          </w:p>
        </w:tc>
      </w:tr>
    </w:tbl>
    <w:p/>
    <w:p>
      <w:r>
        <w:t>[출처: 한국예탁결제원 공식 홈페이지, https://www.ksd.or.kr]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국제 연계 (Cross-Border Linkages)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상대방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Euroclear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CSD 연계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한국 증권의 국가 간 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Clearstream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CSD 연계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국가 간 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DTC (DTCC)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CSD 연계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한국·미국 증권의 국가 간 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Euroclear FundSettle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펀드 플랫폼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펀드 청약 및 환매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Clearstream Vestima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펀드 플랫폼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펀드 청약 및 환매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SWIFT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네트워크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결제 지시를 위한 글로벌 메시징</w:t>
            </w:r>
          </w:p>
        </w:tc>
      </w:tr>
    </w:tbl>
    <w:p/>
    <w:p>
      <w:r>
        <w:t>[출처: 한국예탁결제원 공식 홈페이지, https://www.ksd.or.kr]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글로벌 CSD 비교 (Comparison with Global CSDs)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비교 항목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KSD (한국)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DTC (미국)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Euroclear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JASDEC (일본)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CSDC (중국)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1974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1973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1968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2002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2001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수탁 자산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3,149조 원 (2014)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100조 달러 이상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42.5조 유로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[데이터 없음]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11.05경 위안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결제 주기 (주식)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ISO 20022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도입 완료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도입 진행 중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도입 완료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도입 진행 중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[데이터 없음]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DLT 이니셔티브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증권형 토큰 등록 (2027)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Project 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Canton Network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파일럿 단계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[데이터 없음]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국제 연계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Euroclear, Clearstream, DTC 연계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글로벌 네트워크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Clearstream과의 브리지; 48개 시장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Euroclear, Clearstream 연계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 Connect (HKSCC)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최근 동향 (Recent Developments)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 시스템 개편 (결제 단위 500억 원 → 100억 원; 운영 시간 확대)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2027년 1월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증권형 토큰 의무 등록 체계 시행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2026년 1분기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 대금 급증: 일평균 29.6조 원, 138.7% 상승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지속 추진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글로벌 연계를 위한 ISO 20022 도입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지속 추진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토큰 증권을 위한 DLT/블록체인 인프라 구축</w:t>
            </w:r>
          </w:p>
        </w:tc>
      </w:tr>
    </w:tbl>
    <w:p/>
    <w:p>
      <w:r>
        <w:t>[출처: 서울경제신문, "KSD 결제 시스템 개편", 2026년 4월]</w:t>
      </w:r>
    </w:p>
    <w:p>
      <w:r>
        <w:t>[출처: Ledger Insights, "Korea Tokenization Legislation"]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(Fees)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 참가자에게 부과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보관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예탁 보관 증권에 대해 부과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기업 행위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배당, 유상증자 등의 처리 수수료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수수료 체계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[영문으로 공개된 구체적인 수수료 체계 없음]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Bullet"/>
      </w:pPr>
      <w:r>
        <w:t>[출처: Wikipedia, "Korea Securities Depository"]</w:t>
      </w:r>
    </w:p>
    <w:p>
      <w:pPr>
        <w:pStyle w:val="ListBullet"/>
      </w:pPr>
      <w:r>
        <w:t>[출처: 서울경제신문, "KSD 결제 시스템 개편", 2026년 4월]</w:t>
      </w:r>
    </w:p>
    <w:p>
      <w:pPr>
        <w:pStyle w:val="ListBullet"/>
      </w:pPr>
      <w:r>
        <w:t>[출처: Ledger Insights, "Korea Tokenization Legislation"]</w:t>
      </w:r>
    </w:p>
    <w:p>
      <w:pPr>
        <w:pStyle w:val="ListBullet"/>
      </w:pPr>
      <w:r>
        <w:t>[출처: 한국예탁결제원 공식 홈페이지, https://www.ksd.or.kr]</w:t>
      </w:r>
    </w:p>
    <w:p>
      <w:pPr>
        <w:pStyle w:val="ListBullet"/>
      </w:pPr>
      <w:r>
        <w:t>[출처: KRX, "증권시장 청산결제 업무규정_전문_20260304"]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