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OCC (Options Clearing Corporation, 옵션청산공사)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갱신일:**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단계:** Tier 1 (심층 분석)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중앙청산소 (CCP, Central Counterparty) -- 세계 최대 주식 파생상품 청산기관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The Options Clearing Corporation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https://www.theocc.com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 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1973년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미국 / 일리노이주 시카고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주주 거래소의 공동 소유: Cboe Global Markets, Intercontinental Exchange (NYSE Arca, NYSE American), Nasdaq (ISE 인수로 약 40% 보유). 원래 5개 동등 주주. Nasdaq의 지분이 ISE 인수를 통해 20%에서 40%로 증가.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없음 (독립적 시장 유틸리티)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SEC (등록 청산기관으로서 주요 감독기관), CFTC (등록 DCO로서 보조 감독기관), 연방준비제도이사회 (도드-프랭크법(Dodd-Frank Act) Title VIII에 따른 SIFMU 감독)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금융시장인프라에 관한 원칙 (PFMI)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PFMI 공시 프레임워크 및 CPMI-IOSCO 공적정량공시(PQD)를 분기별로 발행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적격중앙청산소 (QCCP)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Basel III 체계에서 은행 자본 산출 목적의 적격중앙청산소로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SIFMU 지정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도드-프랭크법 Title VIII에 따라 2012년 7월 FSOC에 의해 시스템적으로 중요한 금융시장인프라(SIFMU)로 지정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What Is OCC?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Wikipedia -- Options Clearing Corporation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SIFMU Designation Press Release (2012)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PFMI Disclosures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참가 거래소 및 선물시장 (Participant Exchanges and Futures Markets)</w:t>
      </w:r>
    </w:p>
    <w:p>
      <w:r>
        <w:rPr>
          <w:rFonts w:ascii="Malgun Gothic" w:hAnsi="Malgun Gothic" w:eastAsia="맑은 고딕"/>
        </w:rPr>
        <w:t>OCC는 약 21개 거래소 및 거래 플랫폼에 CCP 청산·결제 서비스를 제공한다:</w:t>
      </w:r>
    </w:p>
    <w:p>
      <w:r>
        <w:rPr>
          <w:rFonts w:ascii="Malgun Gothic" w:hAnsi="Malgun Gothic" w:eastAsia="맑은 고딕"/>
          <w:b/>
        </w:rPr>
        <w:t>옵션 거래소:</w:t>
      </w:r>
    </w:p>
    <w:p>
      <w:pPr>
        <w:pStyle w:val="ListBullet"/>
      </w:pPr>
      <w:r>
        <w:rPr>
          <w:rFonts w:ascii="Malgun Gothic" w:hAnsi="Malgun Gothic" w:eastAsia="맑은 고딕"/>
        </w:rPr>
        <w:t>BOX Options Exchange LLC</w:t>
      </w:r>
    </w:p>
    <w:p>
      <w:pPr>
        <w:pStyle w:val="ListBullet"/>
      </w:pPr>
      <w:r>
        <w:rPr>
          <w:rFonts w:ascii="Malgun Gothic" w:hAnsi="Malgun Gothic" w:eastAsia="맑은 고딕"/>
        </w:rPr>
        <w:t>Cboe BZX Exchange, Inc.</w:t>
      </w:r>
    </w:p>
    <w:p>
      <w:pPr>
        <w:pStyle w:val="ListBullet"/>
      </w:pPr>
      <w:r>
        <w:rPr>
          <w:rFonts w:ascii="Malgun Gothic" w:hAnsi="Malgun Gothic" w:eastAsia="맑은 고딕"/>
        </w:rPr>
        <w:t>Cboe C2 Exchange, Inc.</w:t>
      </w:r>
    </w:p>
    <w:p>
      <w:pPr>
        <w:pStyle w:val="ListBullet"/>
      </w:pPr>
      <w:r>
        <w:rPr>
          <w:rFonts w:ascii="Malgun Gothic" w:hAnsi="Malgun Gothic" w:eastAsia="맑은 고딕"/>
        </w:rPr>
        <w:t>Cboe EDGX Exchange, Inc.</w:t>
      </w:r>
    </w:p>
    <w:p>
      <w:pPr>
        <w:pStyle w:val="ListBullet"/>
      </w:pPr>
      <w:r>
        <w:rPr>
          <w:rFonts w:ascii="Malgun Gothic" w:hAnsi="Malgun Gothic" w:eastAsia="맑은 고딕"/>
        </w:rPr>
        <w:t>Cboe Exchange, Inc.</w:t>
      </w:r>
    </w:p>
    <w:p>
      <w:pPr>
        <w:pStyle w:val="ListBullet"/>
      </w:pPr>
      <w:r>
        <w:rPr>
          <w:rFonts w:ascii="Malgun Gothic" w:hAnsi="Malgun Gothic" w:eastAsia="맑은 고딕"/>
        </w:rPr>
        <w:t>MIAX Emerald, LLC</w:t>
      </w:r>
    </w:p>
    <w:p>
      <w:pPr>
        <w:pStyle w:val="ListBullet"/>
      </w:pPr>
      <w:r>
        <w:rPr>
          <w:rFonts w:ascii="Malgun Gothic" w:hAnsi="Malgun Gothic" w:eastAsia="맑은 고딕"/>
        </w:rPr>
        <w:t>Miami International Securities Exchange, LLC (MIAX)</w:t>
      </w:r>
    </w:p>
    <w:p>
      <w:pPr>
        <w:pStyle w:val="ListBullet"/>
      </w:pPr>
      <w:r>
        <w:rPr>
          <w:rFonts w:ascii="Malgun Gothic" w:hAnsi="Malgun Gothic" w:eastAsia="맑은 고딕"/>
        </w:rPr>
        <w:t>MIAX PEARL, LLC</w:t>
      </w:r>
    </w:p>
    <w:p>
      <w:pPr>
        <w:pStyle w:val="ListBullet"/>
      </w:pPr>
      <w:r>
        <w:rPr>
          <w:rFonts w:ascii="Malgun Gothic" w:hAnsi="Malgun Gothic" w:eastAsia="맑은 고딕"/>
        </w:rPr>
        <w:t>Nasdaq BX, Inc.</w:t>
      </w:r>
    </w:p>
    <w:p>
      <w:pPr>
        <w:pStyle w:val="ListBullet"/>
      </w:pPr>
      <w:r>
        <w:rPr>
          <w:rFonts w:ascii="Malgun Gothic" w:hAnsi="Malgun Gothic" w:eastAsia="맑은 고딕"/>
        </w:rPr>
        <w:t>Nasdaq GEMX, LLC</w:t>
      </w:r>
    </w:p>
    <w:p>
      <w:pPr>
        <w:pStyle w:val="ListBullet"/>
      </w:pPr>
      <w:r>
        <w:rPr>
          <w:rFonts w:ascii="Malgun Gothic" w:hAnsi="Malgun Gothic" w:eastAsia="맑은 고딕"/>
        </w:rPr>
        <w:t>Nasdaq ISE, LLC</w:t>
      </w:r>
    </w:p>
    <w:p>
      <w:pPr>
        <w:pStyle w:val="ListBullet"/>
      </w:pPr>
      <w:r>
        <w:rPr>
          <w:rFonts w:ascii="Malgun Gothic" w:hAnsi="Malgun Gothic" w:eastAsia="맑은 고딕"/>
        </w:rPr>
        <w:t>Nasdaq MRX, LLC</w:t>
      </w:r>
    </w:p>
    <w:p>
      <w:pPr>
        <w:pStyle w:val="ListBullet"/>
      </w:pPr>
      <w:r>
        <w:rPr>
          <w:rFonts w:ascii="Malgun Gothic" w:hAnsi="Malgun Gothic" w:eastAsia="맑은 고딕"/>
        </w:rPr>
        <w:t>Nasdaq Options Market, LLC</w:t>
      </w:r>
    </w:p>
    <w:p>
      <w:pPr>
        <w:pStyle w:val="ListBullet"/>
      </w:pPr>
      <w:r>
        <w:rPr>
          <w:rFonts w:ascii="Malgun Gothic" w:hAnsi="Malgun Gothic" w:eastAsia="맑은 고딕"/>
        </w:rPr>
        <w:t>Nasdaq PHLX, LLC</w:t>
      </w:r>
    </w:p>
    <w:p>
      <w:pPr>
        <w:pStyle w:val="ListBullet"/>
      </w:pPr>
      <w:r>
        <w:rPr>
          <w:rFonts w:ascii="Malgun Gothic" w:hAnsi="Malgun Gothic" w:eastAsia="맑은 고딕"/>
        </w:rPr>
        <w:t>NYSE American Options, LLC</w:t>
      </w:r>
    </w:p>
    <w:p>
      <w:pPr>
        <w:pStyle w:val="ListBullet"/>
      </w:pPr>
      <w:r>
        <w:rPr>
          <w:rFonts w:ascii="Malgun Gothic" w:hAnsi="Malgun Gothic" w:eastAsia="맑은 고딕"/>
        </w:rPr>
        <w:t>NYSE Arca, Inc.</w:t>
      </w:r>
    </w:p>
    <w:p>
      <w:r>
        <w:rPr>
          <w:rFonts w:ascii="Malgun Gothic" w:hAnsi="Malgun Gothic" w:eastAsia="맑은 고딕"/>
          <w:b/>
        </w:rPr>
        <w:t>선물 거래소:</w:t>
      </w:r>
    </w:p>
    <w:p>
      <w:pPr>
        <w:pStyle w:val="ListBullet"/>
      </w:pPr>
      <w:r>
        <w:rPr>
          <w:rFonts w:ascii="Malgun Gothic" w:hAnsi="Malgun Gothic" w:eastAsia="맑은 고딕"/>
        </w:rPr>
        <w:t>Cboe Futures Exchange (CFE)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Wikipedia -- Options Clearing Corporation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2024 Annual Report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1973년:</w:t>
      </w:r>
      <w:r>
        <w:rPr>
          <w:rFonts w:ascii="Malgun Gothic" w:hAnsi="Malgun Gothic" w:eastAsia="맑은 고딕"/>
        </w:rPr>
        <w:t xml:space="preserve"> CBOE (Chicago Board Options Exchange, 시카고옵션거래소) 개장에 맞춰 5개 거래소의 상장 주식 옵션 청산소로 OCC 설립.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1975년:</w:t>
      </w:r>
      <w:r>
        <w:rPr>
          <w:rFonts w:ascii="Malgun Gothic" w:hAnsi="Malgun Gothic" w:eastAsia="맑은 고딕"/>
        </w:rPr>
        <w:t xml:space="preserve"> 풋옵션 청산 개시 (이전에는 콜옵션만 상장).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1985년:</w:t>
      </w:r>
      <w:r>
        <w:rPr>
          <w:rFonts w:ascii="Malgun Gothic" w:hAnsi="Malgun Gothic" w:eastAsia="맑은 고딕"/>
        </w:rPr>
        <w:t xml:space="preserve"> 지수옵션 청산 개시.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1993년:</w:t>
      </w:r>
      <w:r>
        <w:rPr>
          <w:rFonts w:ascii="Malgun Gothic" w:hAnsi="Malgun Gothic" w:eastAsia="맑은 고딕"/>
        </w:rPr>
        <w:t xml:space="preserve"> 대차거래를 위한 Stock Loan/Hedge Program 출시.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2000년:</w:t>
      </w:r>
      <w:r>
        <w:rPr>
          <w:rFonts w:ascii="Malgun Gothic" w:hAnsi="Malgun Gothic" w:eastAsia="맑은 고딕"/>
        </w:rPr>
        <w:t xml:space="preserve"> 레거시 시스템을 대체하는 ENCORE 청산 플랫폼 출시.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2000년:</w:t>
      </w:r>
      <w:r>
        <w:rPr>
          <w:rFonts w:ascii="Malgun Gothic" w:hAnsi="Malgun Gothic" w:eastAsia="맑은 고딕"/>
        </w:rPr>
        <w:t xml:space="preserve"> 10월 월간 거래량 7,530만 계약 기록.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2006년:</w:t>
      </w:r>
      <w:r>
        <w:rPr>
          <w:rFonts w:ascii="Malgun Gothic" w:hAnsi="Malgun Gothic" w:eastAsia="맑은 고딕"/>
        </w:rPr>
        <w:t xml:space="preserve"> STANS (System for Theoretical Analysis and Numerical Simulations) 증거금 방법론 도입, 기존 TIMS (Theoretical Intermarket Margin System) 대체.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2011년 (8월):</w:t>
      </w:r>
      <w:r>
        <w:rPr>
          <w:rFonts w:ascii="Malgun Gothic" w:hAnsi="Malgun Gothic" w:eastAsia="맑은 고딕"/>
        </w:rPr>
        <w:t xml:space="preserve"> 월간 5.5억 계약의 기록적 거래량; S&amp;P가 OCC의 신용등급을 AAA에서 AA+로 하향.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2012년 (7월):</w:t>
      </w:r>
      <w:r>
        <w:rPr>
          <w:rFonts w:ascii="Malgun Gothic" w:hAnsi="Malgun Gothic" w:eastAsia="맑은 고딕"/>
        </w:rPr>
        <w:t xml:space="preserve"> 도드-프랭크법 Title VIII에 따라 FSOC가 SIFMU로 지정.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2015년:</w:t>
      </w:r>
      <w:r>
        <w:rPr>
          <w:rFonts w:ascii="Malgun Gothic" w:hAnsi="Malgun Gothic" w:eastAsia="맑은 고딕"/>
        </w:rPr>
        <w:t xml:space="preserve"> OCC가 자본화 강화를 위한 Capital Plan을 SEC에 제출; 이후 비주주 거래소들의 이의 제기.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2019년 (2월):</w:t>
      </w:r>
      <w:r>
        <w:rPr>
          <w:rFonts w:ascii="Malgun Gothic" w:hAnsi="Malgun Gothic" w:eastAsia="맑은 고딕"/>
        </w:rPr>
        <w:t xml:space="preserve"> SEC가 절차적·실질적 사유로 OCC의 Capital Plan 불승인. 불충분한 정보 및 지배구조 우려 지적.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2019년 (9월):</w:t>
      </w:r>
      <w:r>
        <w:rPr>
          <w:rFonts w:ascii="Malgun Gothic" w:hAnsi="Malgun Gothic" w:eastAsia="맑은 고딕"/>
        </w:rPr>
        <w:t xml:space="preserve"> SEC 및 CFTC가 OCC를 적절한 리스크 관리 정책 수립·유지 실패로 고발.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2019~2021년:</w:t>
      </w:r>
      <w:r>
        <w:rPr>
          <w:rFonts w:ascii="Malgun Gothic" w:hAnsi="Malgun Gothic" w:eastAsia="맑은 고딕"/>
        </w:rPr>
        <w:t xml:space="preserve"> 청산기금 부족 사태 -- 청산비용모델(Liquidation Cost Model)의 오류로 인해 2019년 10월~2021년 5월 기간 중 OCC 청산기금이 2억~5.88억 USD 부족.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2022년 (10월):</w:t>
      </w:r>
      <w:r>
        <w:rPr>
          <w:rFonts w:ascii="Malgun Gothic" w:hAnsi="Malgun Gothic" w:eastAsia="맑은 고딕"/>
        </w:rPr>
        <w:t xml:space="preserve"> SEC가 OCC의 Renaissance Initiative 클라우드 인프라 제안에 대해 이의 없음(no-objection) 통지 발행.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 (2월):</w:t>
      </w:r>
      <w:r>
        <w:rPr>
          <w:rFonts w:ascii="Malgun Gothic" w:hAnsi="Malgun Gothic" w:eastAsia="맑은 고딕"/>
        </w:rPr>
        <w:t xml:space="preserve"> OCC가 SEC (1,700만 USD 과징금) 및 CFTC (500만 USD 과징금)와 청산기금 부족 및 운영리스크 관리 실패에 관해 화해.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(5월 28일):</w:t>
      </w:r>
      <w:r>
        <w:rPr>
          <w:rFonts w:ascii="Malgun Gothic" w:hAnsi="Malgun Gothic" w:eastAsia="맑은 고딕"/>
        </w:rPr>
        <w:t xml:space="preserve"> 기초 주식 증권에 대한 T+1 결제주기 전환.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2024년:</w:t>
      </w:r>
      <w:r>
        <w:rPr>
          <w:rFonts w:ascii="Malgun Gothic" w:hAnsi="Malgun Gothic" w:eastAsia="맑은 고딕"/>
        </w:rPr>
        <w:t xml:space="preserve"> 기록적 연간 거래량 -- 옵션 122억 계약 청산 (전년 대비 +10.6%), 선물 6,010만 계약 (+7.7%).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(4월 4일):</w:t>
      </w:r>
      <w:r>
        <w:rPr>
          <w:rFonts w:ascii="Malgun Gothic" w:hAnsi="Malgun Gothic" w:eastAsia="맑은 고딕"/>
        </w:rPr>
        <w:t xml:space="preserve"> 사상 최초 일일 1억 계약 돌파 -- 1억 260만 계약의 일일 거래량 기록.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(10월 10일):</w:t>
      </w:r>
      <w:r>
        <w:rPr>
          <w:rFonts w:ascii="Malgun Gothic" w:hAnsi="Malgun Gothic" w:eastAsia="맑은 고딕"/>
        </w:rPr>
        <w:t xml:space="preserve"> 일일 1.1억 옵션 계약 청산의 신기록 달성.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Wikipedia -- Options Clearing Corporation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2024 Volume Release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Charges OCC (2023)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CFTC Penalty Order (2023)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Capital Plan Disapproval (2019)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주요 재무 데이터 (2024년) (Key Financial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4.68~5억 USD [미확인 -- 출처에 따라 상이]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직원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800명 이상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옵션 계약 청산 (2024년)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122억 (기록)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선물 계약 청산 (2024년)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6,010만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일평균 옵션 거래량 (2024년)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4,860만 계약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총 증거금 보유 (2023년 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2,317억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청산기금 규모 (2024년 Q3~2025년 Q2 평균)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195억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청산기금 규모 (2023년 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169억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개시증거금 (2025년 Q3, PQD)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1,800억 USD (전년 대비 +59%)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규제자본 목표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3.03억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영속적 최소 CCP 자기자본 출연분 (SITG)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6,900만 USD (OCC 자본) / 약 7,600만 USD (이연보상 포함)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115개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2024 Volume Release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2024 OCC Annual Report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CCP Global PQD Quarterly Trends Report Q3 2025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Filing SR-OCC-2021 (SITG)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>OCC는 미국 국내 증권거래소에 상장된 표준화된 주식 옵션의 유일한 CCP이다. 선물, 대차거래, 일부 OTC 상품도 청산한다.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규모 (2024년)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주식 옵션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개별 주식, ETF에 대한 풋·콜 옵션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 122억 중 대부분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지수옵션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주가지수 옵션 (예: SPX, NDX, VIX)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총계에 포함; SPX만으로 약 20억 이상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선물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CBOE Futures Exchange 선물 (VIX 선물 등)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6,010만 계약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대차거래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Stock Loan/Hedge Program 및 Market Loan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일평균 대출잔고 약 1,390억 USD (2023년 6월 최대치); 일일 약 9,800건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개별주식선물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개별 주식에 대한 선물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최소 거래량 (사실상 휴면)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2024 Volume Release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Stock Loan Programs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FOW -- OCC Securities Lending 30th Anniversary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2.2 단기 및 당일만기옵션 (Short-Dated and 0DTE Options)</w:t>
      </w:r>
    </w:p>
    <w:p>
      <w:r>
        <w:rPr>
          <w:rFonts w:ascii="Malgun Gothic" w:hAnsi="Malgun Gothic" w:eastAsia="맑은 고딕"/>
        </w:rPr>
        <w:t>단기옵션(만기까지 1주 미만인 계약)은 OCC 청산 거래량에서 급속히 성장하는 부문이다: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2024년 단기옵션은 총 거래량의 약 </w:t>
      </w:r>
      <w:r>
        <w:rPr>
          <w:rFonts w:ascii="Malgun Gothic" w:hAnsi="Malgun Gothic" w:eastAsia="맑은 고딕"/>
          <w:b/>
        </w:rPr>
        <w:t>40%</w:t>
      </w:r>
      <w:r>
        <w:rPr>
          <w:rFonts w:ascii="Malgun Gothic" w:hAnsi="Malgun Gothic" w:eastAsia="맑은 고딕"/>
        </w:rPr>
        <w:t>를 차지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당일만기옵션(0DTE, Zero-Day-to-Expiry)은 2024년 총 거래량의 약 </w:t>
      </w:r>
      <w:r>
        <w:rPr>
          <w:rFonts w:ascii="Malgun Gothic" w:hAnsi="Malgun Gothic" w:eastAsia="맑은 고딕"/>
          <w:b/>
        </w:rPr>
        <w:t>20%</w:t>
      </w:r>
      <w:r>
        <w:rPr>
          <w:rFonts w:ascii="Malgun Gothic" w:hAnsi="Malgun Gothic" w:eastAsia="맑은 고딕"/>
        </w:rPr>
        <w:t>를 차지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SPX 옵션에서 구체적으로 0DTE는 2024년 Q1 거래량의 </w:t>
      </w:r>
      <w:r>
        <w:rPr>
          <w:rFonts w:ascii="Malgun Gothic" w:hAnsi="Malgun Gothic" w:eastAsia="맑은 고딕"/>
          <w:b/>
        </w:rPr>
        <w:t>48%</w:t>
      </w:r>
      <w:r>
        <w:rPr>
          <w:rFonts w:ascii="Malgun Gothic" w:hAnsi="Malgun Gothic" w:eastAsia="맑은 고딕"/>
        </w:rPr>
        <w:t>를 차지 (5년 전 11%에서 증가)</w:t>
      </w:r>
    </w:p>
    <w:p>
      <w:pPr>
        <w:pStyle w:val="ListBullet"/>
      </w:pPr>
      <w:r>
        <w:rPr>
          <w:rFonts w:ascii="Malgun Gothic" w:hAnsi="Malgun Gothic" w:eastAsia="맑은 고딕"/>
        </w:rPr>
        <w:t>이러한 급성장은 상당한 장중 리스크 관리 과제를 야기한다. 0DTE 포지션은 전통적 장 마감 증거금 산출 체계에서는 장중 무담보 상태이기 때문이다.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2024 Volume Release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Filing SR-OCC-2024-010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2.3 채무인수 절차 (Novation Process)</w:t>
      </w:r>
    </w:p>
    <w:p>
      <w:r>
        <w:rPr>
          <w:rFonts w:ascii="Malgun Gothic" w:hAnsi="Malgun Gothic" w:eastAsia="맑은 고딕"/>
        </w:rPr>
        <w:t xml:space="preserve">OCC는 채무인수에 </w:t>
      </w:r>
      <w:r>
        <w:rPr>
          <w:rFonts w:ascii="Malgun Gothic" w:hAnsi="Malgun Gothic" w:eastAsia="맑은 고딕"/>
          <w:b/>
        </w:rPr>
        <w:t>공개 청약(Open Offer)</w:t>
      </w:r>
      <w:r>
        <w:rPr>
          <w:rFonts w:ascii="Malgun Gothic" w:hAnsi="Malgun Gothic" w:eastAsia="맑은 고딕"/>
        </w:rPr>
        <w:t xml:space="preserve"> 모델을 사용한다. 옵션 거래가 참가 거래소에서 체결되어 OCC에 보고되면, OCC가 CCP로서 개입한다: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OCC가 </w:t>
      </w:r>
      <w:r>
        <w:rPr>
          <w:rFonts w:ascii="Malgun Gothic" w:hAnsi="Malgun Gothic" w:eastAsia="맑은 고딕"/>
          <w:b/>
        </w:rPr>
        <w:t>모든 매도자의 매수자이자 모든 매수자의 매도자</w:t>
      </w:r>
      <w:r>
        <w:rPr>
          <w:rFonts w:ascii="Malgun Gothic" w:hAnsi="Malgun Gothic" w:eastAsia="맑은 고딕"/>
        </w:rPr>
        <w:t>가 된다</w:t>
      </w:r>
    </w:p>
    <w:p>
      <w:pPr>
        <w:pStyle w:val="ListBullet"/>
      </w:pPr>
      <w:r>
        <w:rPr>
          <w:rFonts w:ascii="Malgun Gothic" w:hAnsi="Malgun Gothic" w:eastAsia="맑은 고딕"/>
        </w:rPr>
        <w:t>이 채무인수(Novation)는 거래 수용 시점에 발생한다</w:t>
      </w:r>
    </w:p>
    <w:p>
      <w:pPr>
        <w:pStyle w:val="ListBullet"/>
      </w:pPr>
      <w:r>
        <w:rPr>
          <w:rFonts w:ascii="Malgun Gothic" w:hAnsi="Malgun Gothic" w:eastAsia="맑은 고딕"/>
        </w:rPr>
        <w:t>OCC는 모든 청산 계약의 이행을 보증한다</w:t>
      </w:r>
    </w:p>
    <w:p>
      <w:pPr>
        <w:pStyle w:val="ListBullet"/>
      </w:pPr>
      <w:r>
        <w:rPr>
          <w:rFonts w:ascii="Malgun Gothic" w:hAnsi="Malgun Gothic" w:eastAsia="맑은 고딕"/>
        </w:rPr>
        <w:t>포지션은 청산회원(Clearing Member) 계좌 수준에서 관리된다</w:t>
      </w:r>
    </w:p>
    <w:p>
      <w:pPr>
        <w:pStyle w:val="Heading3"/>
      </w:pPr>
      <w:r>
        <w:rPr>
          <w:rFonts w:ascii="Malgun Gothic" w:hAnsi="Malgun Gothic" w:eastAsia="맑은 고딕"/>
        </w:rPr>
        <w:t>2.4 차감 (Netting)</w:t>
      </w:r>
    </w:p>
    <w:p>
      <w:r>
        <w:rPr>
          <w:rFonts w:ascii="Malgun Gothic" w:hAnsi="Malgun Gothic" w:eastAsia="맑은 고딕"/>
        </w:rPr>
        <w:t>OCC는 다자간차감(Multilateral Netting)을 수행한다: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포지션 차감:</w:t>
      </w:r>
      <w:r>
        <w:rPr>
          <w:rFonts w:ascii="Malgun Gothic" w:hAnsi="Malgun Gothic" w:eastAsia="맑은 고딕"/>
        </w:rPr>
        <w:t xml:space="preserve"> 동일 시리즈의 매수·매도 포지션이 계좌 수준에서 차감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프리미엄 차감:</w:t>
      </w:r>
      <w:r>
        <w:rPr>
          <w:rFonts w:ascii="Malgun Gothic" w:hAnsi="Malgun Gothic" w:eastAsia="맑은 고딕"/>
        </w:rPr>
        <w:t xml:space="preserve"> 일일 수취·지급 프리미엄이 청산회원당 단일 결제로 차감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행사/배정 차감:</w:t>
      </w:r>
      <w:r>
        <w:rPr>
          <w:rFonts w:ascii="Malgun Gothic" w:hAnsi="Malgun Gothic" w:eastAsia="맑은 고딕"/>
        </w:rPr>
        <w:t xml:space="preserve"> 행사 및 배정에 따른 인도 의무가 "Accord" 협약을 통해 NSCC와 차감</w:t>
      </w:r>
    </w:p>
    <w:p>
      <w:pPr>
        <w:pStyle w:val="Heading3"/>
      </w:pPr>
      <w:r>
        <w:rPr>
          <w:rFonts w:ascii="Malgun Gothic" w:hAnsi="Malgun Gothic" w:eastAsia="맑은 고딕"/>
        </w:rPr>
        <w:t>2.5 청산회원 제도 (Clearing Membership)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115개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미국 브로커-딜러, 선물중개업자(FCM), 미국 은행 (신규 적격), 비미국 증권사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순자본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10,000,000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운영 요건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자격 있는 인력, 적절한 설비, OCC 시스템과의 인터페이스 능력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청산기금 출연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필수; 스트레스 익스포저에 비례한 리스크 기반 방법론으로 배분</w:t>
            </w:r>
          </w:p>
        </w:tc>
      </w:tr>
    </w:tbl>
    <w:p/>
    <w:p>
      <w:r>
        <w:rPr>
          <w:rFonts w:ascii="Malgun Gothic" w:hAnsi="Malgun Gothic" w:eastAsia="맑은 고딕"/>
        </w:rPr>
        <w:t>2023년 5월, SEC는 기존 브로커-딜러 및 FCM 외에 특정 미국 은행의 회원 자격을 확대하는 OCC의 개정안을 승인하였다.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Becoming a Clearing Member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Membership Standards Amendment (2023)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2.6 대차거래 프로그램 (Securities Lending Programs)</w:t>
      </w:r>
    </w:p>
    <w:p>
      <w:r>
        <w:rPr>
          <w:rFonts w:ascii="Malgun Gothic" w:hAnsi="Malgun Gothic" w:eastAsia="맑은 고딕"/>
        </w:rPr>
        <w:t>OCC는 1993년에 설립된 두 가지 대차거래 프로그램을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프로그램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모델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Hedge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상대거래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상대방 간 상대적으로 체결된 거래를 지원; OCC가 CCP 보증자 역할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Market Loan Program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거래소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참가 대출시장(예: AQS)을 통해 개시된 거래 지원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 xml:space="preserve">2012년 이후 대차 청산 거래량은 </w:t>
      </w:r>
      <w:r>
        <w:rPr>
          <w:rFonts w:ascii="Malgun Gothic" w:hAnsi="Malgun Gothic" w:eastAsia="맑은 고딕"/>
          <w:b/>
        </w:rPr>
        <w:t>연평균 16%</w:t>
      </w:r>
      <w:r>
        <w:rPr>
          <w:rFonts w:ascii="Malgun Gothic" w:hAnsi="Malgun Gothic" w:eastAsia="맑은 고딕"/>
        </w:rPr>
        <w:t xml:space="preserve"> 성장, 미결제약정은 </w:t>
      </w:r>
      <w:r>
        <w:rPr>
          <w:rFonts w:ascii="Malgun Gothic" w:hAnsi="Malgun Gothic" w:eastAsia="맑은 고딕"/>
          <w:b/>
        </w:rPr>
        <w:t>22%</w:t>
      </w:r>
      <w:r>
        <w:rPr>
          <w:rFonts w:ascii="Malgun Gothic" w:hAnsi="Malgun Gothic" w:eastAsia="맑은 고딕"/>
        </w:rPr>
        <w:t xml:space="preserve"> 성장</w:t>
      </w:r>
    </w:p>
    <w:p>
      <w:pPr>
        <w:pStyle w:val="ListBullet"/>
      </w:pPr>
      <w:r>
        <w:rPr>
          <w:rFonts w:ascii="Malgun Gothic" w:hAnsi="Malgun Gothic" w:eastAsia="맑은 고딕"/>
        </w:rPr>
        <w:t>OCC는 세계 최대의 미국 주식 대차 CCP</w:t>
      </w:r>
    </w:p>
    <w:p>
      <w:pPr>
        <w:pStyle w:val="ListBullet"/>
      </w:pPr>
      <w:r>
        <w:rPr>
          <w:rFonts w:ascii="Malgun Gothic" w:hAnsi="Malgun Gothic" w:eastAsia="맑은 고딕"/>
        </w:rPr>
        <w:t>OCC는 대차 인프라 현대화를 위해 Axoni (DLT 플랫폼)를 선정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Stock Loan Programs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Axoni -- OCC Modernization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STANS 증거금 방법론 (STANS Margin Methodology)</w:t>
      </w:r>
    </w:p>
    <w:p>
      <w:r>
        <w:rPr>
          <w:rFonts w:ascii="Malgun Gothic" w:hAnsi="Malgun Gothic" w:eastAsia="맑은 고딕"/>
        </w:rPr>
        <w:t xml:space="preserve">OCC의 </w:t>
      </w:r>
      <w:r>
        <w:rPr>
          <w:rFonts w:ascii="Malgun Gothic" w:hAnsi="Malgun Gothic" w:eastAsia="맑은 고딕"/>
          <w:b/>
        </w:rPr>
        <w:t>STANS (System for Theoretical Analysis and Numerical Simulations)</w:t>
      </w:r>
      <w:r>
        <w:rPr>
          <w:rFonts w:ascii="Malgun Gothic" w:hAnsi="Malgun Gothic" w:eastAsia="맑은 고딕"/>
        </w:rPr>
        <w:t xml:space="preserve">는 주요 증거금 방법론으로, 기존 TIMS (Theoretical Intermarket Margin System)를 대체하여 2006년 8월에 도입되었다. OCC는 대규모 Monte Carlo 기반 리스크 관리 방법론을 사용하는 </w:t>
      </w:r>
      <w:r>
        <w:rPr>
          <w:rFonts w:ascii="Malgun Gothic" w:hAnsi="Malgun Gothic" w:eastAsia="맑은 고딕"/>
          <w:b/>
        </w:rPr>
        <w:t>세계 최초의 파생상품 청산소</w:t>
      </w:r>
      <w:r>
        <w:rPr>
          <w:rFonts w:ascii="Malgun Gothic" w:hAnsi="Malgun Gothic" w:eastAsia="맑은 고딕"/>
        </w:rPr>
        <w:t>이다.</w:t>
      </w:r>
    </w:p>
    <w:p>
      <w:pPr>
        <w:pStyle w:val="Heading3"/>
      </w:pPr>
      <w:r>
        <w:rPr>
          <w:rFonts w:ascii="Malgun Gothic" w:hAnsi="Malgun Gothic" w:eastAsia="맑은 고딕"/>
        </w:rPr>
        <w:t>STANS 기술적 세부사항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방법론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Monte Carlo 시뮬레이션 -- 전체 포트폴리오 증거금 산출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리스크 척도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99% 기대손실(Expected Shortfall, ES) -- 99% VaR 지점을 초과하는 모든 손실의 평균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강화된 척도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최대 익스포저를 갖는 두 단일 요소 하위 포트폴리오에 대해 99.5% ES; 잔여 포트폴리오에 대해 99% 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2일 청산기간</w:t>
            </w:r>
            <w:r>
              <w:rPr>
                <w:rFonts w:ascii="Malgun Gothic" w:hAnsi="Malgun Gothic" w:eastAsia="맑은 고딕"/>
              </w:rPr>
              <w:t xml:space="preserve"> (CME 등 미국 경쟁사보다 1일 길다)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시뮬레이션 경로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모든 리스크 요소에 대한 대규모 Monte Carlo 시뮬레이션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리스크 요소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주가, 내재변동성(행사가격/만기별), 금리, 배당수익률, 상관관계 구조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가격결정 모델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모든 상장 파생상품에 대한 정교한 옵션가격결정 모델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구성요소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기본 구성요소(ES) + 스트레스 테스트 부가 구성요소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부가금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특히 큰 시장 변동, 추정 상관관계를 대체하는 완전/영(zero) 상관관계, 극단적 불리한 개별 변동에 따른 ES 증가 고려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산출 주기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일일 (장 마감), 장중 모니터링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STANS 대 SPAN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OCC STANS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CME SPAN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방법론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Monte Carlo 시뮬레이션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시나리오 기반 (16개 리스크 시나리오)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리스크 척도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기대손실(99% 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시나리오 중 최대 손실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포트폴리오 접근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상관관계를 포함한 전체 포트폴리오 증거금 산출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상품군 스캐닝 및 상품 간 스프레드 크레딧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보유기간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1일 (일반적)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비선형성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시뮬레이션을 통해 완전 반영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스캐닝 범위를 통한 근사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상관관계 처리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역사적 데이터로부터 동적 추정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고정 상품 간 스프레드 크레딧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계산 부하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높음 (Monte Carlo)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낮음 (모수적 시나리오)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역사적 맥락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2006년 도입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1988년 도입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Margin Methodology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Risk.net -- Clearing House of the Year: OCC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STANS Approval Order (2006)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3.2 증거금 징수 일정 (Margin Call Schedule)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 마감 증거금:</w:t>
      </w:r>
      <w:r>
        <w:rPr>
          <w:rFonts w:ascii="Malgun Gothic" w:hAnsi="Malgun Gothic" w:eastAsia="맑은 고딕"/>
        </w:rPr>
        <w:t xml:space="preserve"> STANS를 사용하여 매일 장 마감 후 산출; 익일 아침 납부를 위한 증거금 징수 통지 발행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장중 모니터링:</w:t>
      </w:r>
      <w:r>
        <w:rPr>
          <w:rFonts w:ascii="Malgun Gothic" w:hAnsi="Malgun Gothic" w:eastAsia="맑은 고딕"/>
        </w:rPr>
        <w:t xml:space="preserve"> OCC는 장중 포지션 및 시장 변동을 모니터링하며 장중 증거금 징수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장중 리스크 차지 (2025년 제안/승인):</w:t>
      </w:r>
      <w:r>
        <w:rPr>
          <w:rFonts w:ascii="Malgun Gothic" w:hAnsi="Malgun Gothic" w:eastAsia="맑은 고딕"/>
        </w:rPr>
        <w:t xml:space="preserve"> 특히 당일만기옵션(0DTE) 및 야간 거래에서 발생하는 장중 무담보 익스포저를 다루기 위한 신규 증거금 부가금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SEC Approval of Intraday Risk Charge (April 2025)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OCC의 손실부담순서는 청산회원 부도 시 발생하는 손실을 충당하기 위해 재무자원이 사용되는 순서를 규정한다: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자원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대략적 규모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증거금 예치분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회원에 따라 상이 (총 증거금 풀 약 1,800~2,320억 USD)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청산기금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 약 195억 USD 중 비례 배분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OCC CCP 자기자본 출연분 (SITG)</w:t>
            </w:r>
            <w:r>
              <w:rPr>
                <w:rFonts w:ascii="Malgun Gothic" w:hAnsi="Malgun Gothic" w:eastAsia="맑은 고딕"/>
              </w:rPr>
              <w:t xml:space="preserve"> -- OCC 자체 자본 출연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영속적 최소 6,900만 USD (자본) / 약 7,600만 USD (이연보상 포함); 목표 규제자본의 최소 25%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청산기금 출연분</w:t>
            </w:r>
            <w:r>
              <w:rPr>
                <w:rFonts w:ascii="Malgun Gothic" w:hAnsi="Malgun Gothic" w:eastAsia="맑은 고딕"/>
              </w:rPr>
              <w:t xml:space="preserve"> (상호 손실 분담)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 약 195억 USD 청산기금 잔여분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비부도회원에 대한 추가분담금 (Assessment Powers)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각 회원의 청산기금 출연 의무액까지 (상호분담 풀을 실질적으로 2배로 확대)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회복 수단</w:t>
            </w:r>
            <w:r>
              <w:rPr>
                <w:rFonts w:ascii="Malgun Gothic" w:hAnsi="Malgun Gothic" w:eastAsia="맑은 고딕"/>
              </w:rPr>
              <w:t xml:space="preserve"> (VMGH, 부분적 tear-up 등)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3.5절 참조</w:t>
            </w:r>
          </w:p>
        </w:tc>
      </w:tr>
    </w:tbl>
    <w:p/>
    <w:p>
      <w:r>
        <w:rPr>
          <w:rFonts w:ascii="Malgun Gothic" w:hAnsi="Malgun Gothic" w:eastAsia="맑은 고딕"/>
          <w:b/>
        </w:rPr>
        <w:t>Cover 2 기준:</w:t>
      </w:r>
      <w:r>
        <w:rPr>
          <w:rFonts w:ascii="Malgun Gothic" w:hAnsi="Malgun Gothic" w:eastAsia="맑은 고딕"/>
        </w:rPr>
        <w:t xml:space="preserve"> OCC는 자체 재무자원(증거금 + 청산기금)을 극단적이지만 현실적인 시장 상황에서 </w:t>
      </w:r>
      <w:r>
        <w:rPr>
          <w:rFonts w:ascii="Malgun Gothic" w:hAnsi="Malgun Gothic" w:eastAsia="맑은 고딕"/>
          <w:b/>
        </w:rPr>
        <w:t>최대 두 청산회원 및 그 계열사</w:t>
      </w:r>
      <w:r>
        <w:rPr>
          <w:rFonts w:ascii="Malgun Gothic" w:hAnsi="Malgun Gothic" w:eastAsia="맑은 고딕"/>
        </w:rPr>
        <w:t>의 부도를 충당할 수 있도록 규모를 산정한다. 이는 시스템적으로 중요한 CCP에 대한 CPMI-IOSCO PFMI 원칙 4와 일치한다.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Default Rules &amp; Procedures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Filing on Default Waterfall Amendments (2024)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Risk.net -- OCC Cover 2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3.4 스트레스 테스트 및 사후검증 (Stress Testing &amp; Back-Testing)</w:t>
      </w:r>
    </w:p>
    <w:p>
      <w:r>
        <w:rPr>
          <w:rFonts w:ascii="Malgun Gothic" w:hAnsi="Malgun Gothic" w:eastAsia="맑은 고딕"/>
          <w:b/>
        </w:rPr>
        <w:t>스트레스 테스트: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OCC는 재무자원에 대한 </w:t>
      </w:r>
      <w:r>
        <w:rPr>
          <w:rFonts w:ascii="Malgun Gothic" w:hAnsi="Malgun Gothic" w:eastAsia="맑은 고딕"/>
          <w:b/>
        </w:rPr>
        <w:t>일일 스트레스 테스트</w:t>
      </w:r>
      <w:r>
        <w:rPr>
          <w:rFonts w:ascii="Malgun Gothic" w:hAnsi="Malgun Gothic" w:eastAsia="맑은 고딕"/>
        </w:rPr>
        <w:t>를 실시한다</w:t>
      </w:r>
    </w:p>
    <w:p>
      <w:pPr>
        <w:pStyle w:val="ListBullet"/>
      </w:pPr>
      <w:r>
        <w:rPr>
          <w:rFonts w:ascii="Malgun Gothic" w:hAnsi="Malgun Gothic" w:eastAsia="맑은 고딕"/>
        </w:rPr>
        <w:t>두 가지 범주의 시나리오: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규모 산정 시나리오(Sizing Scenarios):</w:t>
      </w:r>
      <w:r>
        <w:rPr>
          <w:rFonts w:ascii="Malgun Gothic" w:hAnsi="Malgun Gothic" w:eastAsia="맑은 고딕"/>
        </w:rPr>
        <w:t xml:space="preserve"> 징수된 자원의 적정성을 평가하고 OCC 재무자원의 규모를 결정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충분성 시나리오(Sufficiency Scenarios):</w:t>
      </w:r>
      <w:r>
        <w:rPr>
          <w:rFonts w:ascii="Malgun Gothic" w:hAnsi="Malgun Gothic" w:eastAsia="맑은 고딕"/>
        </w:rPr>
        <w:t xml:space="preserve"> 추가 증거금 또는 청산기금 징수 필요 여부를 판단하기 위한 잠재 익스포저 측정</w:t>
      </w:r>
    </w:p>
    <w:p>
      <w:pPr>
        <w:pStyle w:val="ListBullet"/>
      </w:pPr>
      <w:r>
        <w:rPr>
          <w:rFonts w:ascii="Malgun Gothic" w:hAnsi="Malgun Gothic" w:eastAsia="맑은 고딕"/>
        </w:rPr>
        <w:t>시나리오: 과거 시나리오(예: 2008년 금융위기 급등/급락 변형), 가상 시나리오, 역스트레스 테스트 포함</w:t>
      </w:r>
    </w:p>
    <w:p>
      <w:pPr>
        <w:pStyle w:val="ListBullet"/>
      </w:pPr>
      <w:r>
        <w:rPr>
          <w:rFonts w:ascii="Malgun Gothic" w:hAnsi="Malgun Gothic" w:eastAsia="맑은 고딕"/>
        </w:rPr>
        <w:t>2024년, OCC는 일관되게 더 높은 익스포저를 발생시킨 일부 2008년 기반 정보 시나리오를 충분성 시나리오로 재분류</w:t>
      </w:r>
    </w:p>
    <w:p>
      <w:pPr>
        <w:pStyle w:val="ListBullet"/>
      </w:pPr>
      <w:r>
        <w:rPr>
          <w:rFonts w:ascii="Malgun Gothic" w:hAnsi="Malgun Gothic" w:eastAsia="맑은 고딕"/>
        </w:rPr>
        <w:t>2025년 1월, SEC가 단기옵션의 리스크를 보다 잘 포착하기 위한 STANS 및 CST (Comprehensive Stress Testing) 방법론 개선을 승인</w:t>
      </w:r>
    </w:p>
    <w:p>
      <w:r>
        <w:rPr>
          <w:rFonts w:ascii="Malgun Gothic" w:hAnsi="Malgun Gothic" w:eastAsia="맑은 고딕"/>
          <w:b/>
        </w:rPr>
        <w:t>사후검증:</w:t>
      </w:r>
    </w:p>
    <w:p>
      <w:pPr>
        <w:pStyle w:val="ListBullet"/>
      </w:pPr>
      <w:r>
        <w:rPr>
          <w:rFonts w:ascii="Malgun Gothic" w:hAnsi="Malgun Gothic" w:eastAsia="맑은 고딕"/>
        </w:rPr>
        <w:t>OCC는 증거금 모델에 대한 일일 사후검증을 실시</w:t>
      </w:r>
    </w:p>
    <w:p>
      <w:pPr>
        <w:pStyle w:val="ListBullet"/>
      </w:pPr>
      <w:r>
        <w:rPr>
          <w:rFonts w:ascii="Malgun Gothic" w:hAnsi="Malgun Gothic" w:eastAsia="맑은 고딕"/>
        </w:rPr>
        <w:t>2024년 9월, SEC가 OCC의 갱신된 사후검증 프레임워크 및 자원 사후검증 증거금 차지(Resource Backtesting Margin Charge) 수립을 승인</w:t>
      </w:r>
    </w:p>
    <w:p>
      <w:pPr>
        <w:pStyle w:val="ListBullet"/>
      </w:pPr>
      <w:r>
        <w:rPr>
          <w:rFonts w:ascii="Malgun Gothic" w:hAnsi="Malgun Gothic" w:eastAsia="맑은 고딕"/>
        </w:rPr>
        <w:t>사후검증은 실제 포트폴리오 손익을 증거금 요건과 비교하여 모델 커버리지를 검증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SEC Approval of Stress Testing Amendments (July 2024)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STANS/CST Enhancements (January 2025)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Backtesting Framework (September 2024)</w:t>
      </w:r>
      <w:r>
        <w:rPr>
          <w:rFonts w:ascii="Malgun Gothic" w:hAnsi="Malgun Gothic" w:eastAsia="맑은 고딕"/>
        </w:rPr>
        <w:t>*</w:t>
      </w:r>
    </w:p>
    <w:p>
      <w:pPr>
        <w:pStyle w:val="Heading3"/>
      </w:pPr>
      <w:r>
        <w:rPr>
          <w:rFonts w:ascii="Malgun Gothic" w:hAnsi="Malgun Gothic" w:eastAsia="맑은 고딕"/>
        </w:rPr>
        <w:t>3.5 회복 및 정리 수단 (Recovery &amp; Resolution Tools)</w:t>
      </w:r>
    </w:p>
    <w:p>
      <w:r>
        <w:rPr>
          <w:rFonts w:ascii="Malgun Gothic" w:hAnsi="Malgun Gothic" w:eastAsia="맑은 고딕"/>
        </w:rPr>
        <w:t xml:space="preserve">OCC는 통상적 리스크 관리를 초과하는 손실 및 유동성 부족을 관리하기 위한 수단을 기술하는 </w:t>
      </w:r>
      <w:r>
        <w:rPr>
          <w:rFonts w:ascii="Malgun Gothic" w:hAnsi="Malgun Gothic" w:eastAsia="맑은 고딕"/>
          <w:b/>
        </w:rPr>
        <w:t>회복 및 질서 있는 업무정리(RWD, Recovery and Orderly Wind-Down) 계획</w:t>
      </w:r>
      <w:r>
        <w:rPr>
          <w:rFonts w:ascii="Malgun Gothic" w:hAnsi="Malgun Gothic" w:eastAsia="맑은 고딕"/>
        </w:rPr>
        <w:t>을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수단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(Assessments)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OCC는 비부도 청산회원에게 청산기금 출연 의무액까지 부과할 수 있다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변동증거금 이익 삭감 (VMGH)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OCC는 포지션의 시가평가 이익을 경험한 청산참가자에게 손실을 배분할 수 있다; 회원의 부도관리 참여 유인 제공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자발적 부분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회원이 OCC의 매칭된 장부 복원을 돕기 위해 자발적으로 계약을 소멸시킬 수 있다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강제적 부분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OCC가 부도 청산회원의 잔여 계약을 OCC의 평가가격으로 소멸시킬 수 있는 권한; 다른 부도관리 수단이 소진된 후 사용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질서 있는 업무정리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포지션을 대안적 청산 방안으로 이전하면서 핵심 서비스를 계획적으로 중단</w:t>
            </w:r>
          </w:p>
        </w:tc>
      </w:tr>
    </w:tbl>
    <w:p/>
    <w:p>
      <w:r>
        <w:rPr>
          <w:rFonts w:ascii="Malgun Gothic" w:hAnsi="Malgun Gothic" w:eastAsia="맑은 고딕"/>
        </w:rPr>
        <w:t>RWD 계획은 가장 최근 2025년 8월 SEC가 개정을 승인하였다.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Recovery and Orderly Wind-Down Plan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RWD Plan Modifications (August 2025)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FSB OCC Questionnaire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프리미엄 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옵션 프리미엄은 거래일 익영업일에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행사/배정 (주식 옵션)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5월 28일 전환 이후; 이전에는 T+2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행사/배정 (지수옵션)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 현금결제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현금결제 지수옵션은 현금 차액을 수수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선물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일일 시가평가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변동증거금(Variation Margin) 일일 결제; 만기 시 최종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대차거래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당일 또는 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프로그램 및 개시 시점에 따름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4.2 DVP 및 결제완결성 (DVP and Settlement Finality)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주식 옵션 행사/배정:</w:t>
      </w:r>
      <w:r>
        <w:rPr>
          <w:rFonts w:ascii="Malgun Gothic" w:hAnsi="Malgun Gothic" w:eastAsia="맑은 고딕"/>
        </w:rPr>
        <w:t xml:space="preserve"> 주식 옵션이 행사/배정되면, 그에 따른 주식 인도 의무는 </w:t>
      </w:r>
      <w:r>
        <w:rPr>
          <w:rFonts w:ascii="Malgun Gothic" w:hAnsi="Malgun Gothic" w:eastAsia="맑은 고딕"/>
          <w:b/>
        </w:rPr>
        <w:t>Accord</w:t>
      </w:r>
      <w:r>
        <w:rPr>
          <w:rFonts w:ascii="Malgun Gothic" w:hAnsi="Malgun Gothic" w:eastAsia="맑은 고딕"/>
        </w:rPr>
        <w:t xml:space="preserve"> -- OCC와 NSCC 간 협약을 통해 처리된다</w:t>
      </w:r>
    </w:p>
    <w:p>
      <w:pPr>
        <w:pStyle w:val="ListBullet"/>
      </w:pPr>
      <w:r>
        <w:rPr>
          <w:rFonts w:ascii="Malgun Gothic" w:hAnsi="Malgun Gothic" w:eastAsia="맑은 고딕"/>
        </w:rPr>
        <w:t>Accord에 따라 NSCC는 OCC의 행사 및 배정에서 발생하는 "E&amp;A/인도 거래"를 NSCC의 CNS (Continuous Net Settlement) 시스템을 통한 청산·결제를 위해 수용한다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기초 주식의 결제는 </w:t>
      </w:r>
      <w:r>
        <w:rPr>
          <w:rFonts w:ascii="Malgun Gothic" w:hAnsi="Malgun Gothic" w:eastAsia="맑은 고딕"/>
          <w:b/>
        </w:rPr>
        <w:t>DTC (Depository Trust Company)</w:t>
      </w:r>
      <w:r>
        <w:rPr>
          <w:rFonts w:ascii="Malgun Gothic" w:hAnsi="Malgun Gothic" w:eastAsia="맑은 고딕"/>
        </w:rPr>
        <w:t>에서 DVP (증권과대금의 동시결제) 방식으로 이루어진다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결제는 DTC의 장부대체 시스템을 통해 완료되면 </w:t>
      </w:r>
      <w:r>
        <w:rPr>
          <w:rFonts w:ascii="Malgun Gothic" w:hAnsi="Malgun Gothic" w:eastAsia="맑은 고딕"/>
          <w:b/>
        </w:rPr>
        <w:t>최종적이고 철회 불가능</w:t>
      </w:r>
      <w:r>
        <w:rPr>
          <w:rFonts w:ascii="Malgun Gothic" w:hAnsi="Malgun Gothic" w:eastAsia="맑은 고딕"/>
        </w:rPr>
        <w:t>한 것으로 간주된다</w:t>
      </w:r>
    </w:p>
    <w:p>
      <w:pPr>
        <w:pStyle w:val="Heading3"/>
      </w:pPr>
      <w:r>
        <w:rPr>
          <w:rFonts w:ascii="Malgun Gothic" w:hAnsi="Malgun Gothic" w:eastAsia="맑은 고딕"/>
        </w:rPr>
        <w:t>4.3 프리미엄 결제 절차 (Premium Settlement Process)</w:t>
      </w:r>
    </w:p>
    <w:p>
      <w:pPr>
        <w:pStyle w:val="ListBullet"/>
      </w:pPr>
      <w:r>
        <w:rPr>
          <w:rFonts w:ascii="Malgun Gothic" w:hAnsi="Malgun Gothic" w:eastAsia="맑은 고딕"/>
        </w:rPr>
        <w:t>매 거래일 마감 시 OCC는 각 청산회원에 대한 순프리미엄 의무를 산출</w:t>
      </w:r>
    </w:p>
    <w:p>
      <w:pPr>
        <w:pStyle w:val="ListBullet"/>
      </w:pPr>
      <w:r>
        <w:rPr>
          <w:rFonts w:ascii="Malgun Gothic" w:hAnsi="Malgun Gothic" w:eastAsia="맑은 고딕"/>
        </w:rPr>
        <w:t>모든 청산 거래에 걸쳐 수취·지급 순프리미엄을 합산</w:t>
      </w:r>
    </w:p>
    <w:p>
      <w:pPr>
        <w:pStyle w:val="ListBullet"/>
      </w:pPr>
      <w:r>
        <w:rPr>
          <w:rFonts w:ascii="Malgun Gothic" w:hAnsi="Malgun Gothic" w:eastAsia="맑은 고딕"/>
        </w:rPr>
        <w:t>T+1에 Fedwire 또는 상업은행 결제 시스템을 통해 결제</w:t>
      </w:r>
    </w:p>
    <w:p>
      <w:pPr>
        <w:pStyle w:val="ListBullet"/>
      </w:pPr>
      <w:r>
        <w:rPr>
          <w:rFonts w:ascii="Malgun Gothic" w:hAnsi="Malgun Gothic" w:eastAsia="맑은 고딕"/>
        </w:rPr>
        <w:t>OCC는 높은 변동성 기간에 장중 프리미엄 결제를 요구할 수 있다</w:t>
      </w:r>
    </w:p>
    <w:p>
      <w:pPr>
        <w:pStyle w:val="Heading3"/>
      </w:pPr>
      <w:r>
        <w:rPr>
          <w:rFonts w:ascii="Malgun Gothic" w:hAnsi="Malgun Gothic" w:eastAsia="맑은 고딕"/>
        </w:rPr>
        <w:t>4.4 행사 및 배정 절차 (Exercise and Assignment Process)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행사 통지:</w:t>
      </w:r>
      <w:r>
        <w:rPr>
          <w:rFonts w:ascii="Malgun Gothic" w:hAnsi="Malgun Gothic" w:eastAsia="맑은 고딕"/>
        </w:rPr>
        <w:t xml:space="preserve"> 옵션 보유자의 청산회원이 OCC에 행사 통지를 제출 (지시에 의하거나 내가격(in-the-money) 옵션의 자동 행사)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배정:</w:t>
      </w:r>
      <w:r>
        <w:rPr>
          <w:rFonts w:ascii="Malgun Gothic" w:hAnsi="Malgun Gothic" w:eastAsia="맑은 고딕"/>
        </w:rPr>
        <w:t xml:space="preserve"> OCC는 </w:t>
      </w:r>
      <w:r>
        <w:rPr>
          <w:rFonts w:ascii="Malgun Gothic" w:hAnsi="Malgun Gothic" w:eastAsia="맑은 고딕"/>
          <w:b/>
        </w:rPr>
        <w:t>무작위 배정 알고리즘</w:t>
      </w:r>
      <w:r>
        <w:rPr>
          <w:rFonts w:ascii="Malgun Gothic" w:hAnsi="Malgun Gothic" w:eastAsia="맑은 고딕"/>
        </w:rPr>
        <w:t>을 사용하여 배정 대상 시리즈의 매도 포지션을 보유한 청산회원에게 행사 통지를 공정하게 배분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인도/현금결제:</w:t>
      </w:r>
      <w:r>
        <w:rPr>
          <w:rFonts w:ascii="Malgun Gothic" w:hAnsi="Malgun Gothic" w:eastAsia="맑은 고딕"/>
        </w:rPr>
        <w:t xml:space="preserve"> 주식 옵션의 경우 결과적 매수/매도 의무는 Accord를 통해 NSCC로 유입되어 DTC에서 결제. 지수옵션의 경우 현금결제 금액이 산출되어 OCC를 통해 직접 결제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자동 행사:</w:t>
      </w:r>
      <w:r>
        <w:rPr>
          <w:rFonts w:ascii="Malgun Gothic" w:hAnsi="Malgun Gothic" w:eastAsia="맑은 고딕"/>
        </w:rPr>
        <w:t xml:space="preserve"> 만기 시 0.01 USD 이상 내가격인 옵션은 반대 지시가 없는 한 자동 행사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Equity Options Product Specifications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T+1 Info Memo #54580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-- OCC/NSCC Accord Modifications (2024)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Heading3"/>
      </w:pPr>
      <w:r>
        <w:rPr>
          <w:rFonts w:ascii="Malgun Gothic" w:hAnsi="Malgun Gothic" w:eastAsia="맑은 고딕"/>
        </w:rPr>
        <w:t>5.1 핵심 시스템 (Core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시스템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기능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ENCORE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청산, 리스크 관리, 데이터 관리 플랫폼; 실시간 처리 엔진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레거시 -- 2000년부터 운영; Ovation으로 교체 예정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Ovation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차세대 클라우드 기반 청산, 결제, 리스크 관리, 데이터 플랫폼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테스트 중; 외부 베타 테스트 2024년 7월 개시; 2025년 중반 출시 목표 [완료 여부 미확인]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STANS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증거금 계산 엔진 (Monte Carlo 기반)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운영 중 -- 지속적 개선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청산회원 보고 및 조회 시스템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운영 중 [현재 상태 미확인]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5.2 ENCORE 아키텍처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모놀리식 아키텍처</w:t>
      </w:r>
      <w:r>
        <w:rPr>
          <w:rFonts w:ascii="Malgun Gothic" w:hAnsi="Malgun Gothic" w:eastAsia="맑은 고딕"/>
        </w:rPr>
        <w:t xml:space="preserve"> -- 긴밀하게 결합된 구성요소로 인해 변경이 어려움</w:t>
      </w:r>
    </w:p>
    <w:p>
      <w:pPr>
        <w:pStyle w:val="ListBullet"/>
      </w:pPr>
      <w:r>
        <w:rPr>
          <w:rFonts w:ascii="Malgun Gothic" w:hAnsi="Malgun Gothic" w:eastAsia="맑은 고딕"/>
        </w:rPr>
        <w:t>전통적 온프레미스 데이터 센터에서 구동</w:t>
      </w:r>
    </w:p>
    <w:p>
      <w:pPr>
        <w:pStyle w:val="ListBullet"/>
      </w:pPr>
      <w:r>
        <w:rPr>
          <w:rFonts w:ascii="Malgun Gothic" w:hAnsi="Malgun Gothic" w:eastAsia="맑은 고딕"/>
        </w:rPr>
        <w:t>거래소로부터 거래 및 거래 후 데이터를 실시간으로 건별 수신</w:t>
      </w:r>
    </w:p>
    <w:p>
      <w:pPr>
        <w:pStyle w:val="ListBullet"/>
      </w:pPr>
      <w:r>
        <w:rPr>
          <w:rFonts w:ascii="Malgun Gothic" w:hAnsi="Malgun Gothic" w:eastAsia="맑은 고딕"/>
        </w:rPr>
        <w:t>청산회원 포지션 관리, 증거금 및 청산기금 요건 산출</w:t>
      </w:r>
    </w:p>
    <w:p>
      <w:pPr>
        <w:pStyle w:val="ListBullet"/>
      </w:pPr>
      <w:r>
        <w:rPr>
          <w:rFonts w:ascii="Malgun Gothic" w:hAnsi="Malgun Gothic" w:eastAsia="맑은 고딕"/>
        </w:rPr>
        <w:t>OCC 직원, 감독기관, 청산회원에 대한 보고 제공</w:t>
      </w:r>
    </w:p>
    <w:p>
      <w:pPr>
        <w:pStyle w:val="Heading3"/>
      </w:pPr>
      <w:r>
        <w:rPr>
          <w:rFonts w:ascii="Malgun Gothic" w:hAnsi="Malgun Gothic" w:eastAsia="맑은 고딕"/>
        </w:rPr>
        <w:t>5.3 Ovation 아키텍처 (Renaissance Initiative)</w:t>
      </w:r>
    </w:p>
    <w:p>
      <w:r>
        <w:rPr>
          <w:rFonts w:ascii="Malgun Gothic" w:hAnsi="Malgun Gothic" w:eastAsia="맑은 고딕"/>
        </w:rPr>
        <w:t xml:space="preserve">OCC의 </w:t>
      </w:r>
      <w:r>
        <w:rPr>
          <w:rFonts w:ascii="Malgun Gothic" w:hAnsi="Malgun Gothic" w:eastAsia="맑은 고딕"/>
          <w:b/>
        </w:rPr>
        <w:t>Renaissance Initiative</w:t>
      </w:r>
      <w:r>
        <w:rPr>
          <w:rFonts w:ascii="Malgun Gothic" w:hAnsi="Malgun Gothic" w:eastAsia="맑은 고딕"/>
        </w:rPr>
        <w:t>는 ENCORE를 Ovation 플랫폼으로 교체하는 다년간 기술 현대화 프로그램이다: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클라우드 제공자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Amazon Web Services (AWS)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아키텍처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모듈형, 클라우드 네이티브; 3대 축 -- 청산·결제, 데이터, 리스크 관리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실시간 처리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Apache Kafka 및 Apache Flink를 활용한 스트림 처리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데이터 처리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초당 200만 건 이상의 금융상품 가격 처리; 수십억 건의 미결제 옵션 포지션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재해복구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AWS 및 온프레미스 데이터 센터 양쪽에 분리된 Kafka + Flink 인프라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이점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복원력, 보안, 확장성 강화; 전일 종가 대신 현재 가격을 사용한 실시간 리스크 측정</w:t>
            </w:r>
          </w:p>
        </w:tc>
      </w:tr>
    </w:tbl>
    <w:p/>
    <w:p>
      <w:r>
        <w:rPr>
          <w:rFonts w:ascii="Malgun Gothic" w:hAnsi="Malgun Gothic" w:eastAsia="맑은 고딕"/>
          <w:b/>
        </w:rPr>
        <w:t>Renaissance 일정: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2022년 10월:</w:t>
      </w:r>
      <w:r>
        <w:rPr>
          <w:rFonts w:ascii="Malgun Gothic" w:hAnsi="Malgun Gothic" w:eastAsia="맑은 고딕"/>
        </w:rPr>
        <w:t xml:space="preserve"> SEC가 클라우드 인프라 제안에 이의 없음 통지 발행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2023년:</w:t>
      </w:r>
      <w:r>
        <w:rPr>
          <w:rFonts w:ascii="Malgun Gothic" w:hAnsi="Malgun Gothic" w:eastAsia="맑은 고딕"/>
        </w:rPr>
        <w:t xml:space="preserve"> Ovation 개발 및 내부 테스트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7월:</w:t>
      </w:r>
      <w:r>
        <w:rPr>
          <w:rFonts w:ascii="Malgun Gothic" w:hAnsi="Malgun Gothic" w:eastAsia="맑은 고딕"/>
        </w:rPr>
        <w:t xml:space="preserve"> 외부 베타 테스트 개시 (Beta 1)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10월:</w:t>
      </w:r>
      <w:r>
        <w:rPr>
          <w:rFonts w:ascii="Malgun Gothic" w:hAnsi="Malgun Gothic" w:eastAsia="맑은 고딕"/>
        </w:rPr>
        <w:t xml:space="preserve"> 확장된 기능으로 Beta 2 출시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1월:</w:t>
      </w:r>
      <w:r>
        <w:rPr>
          <w:rFonts w:ascii="Malgun Gothic" w:hAnsi="Malgun Gothic" w:eastAsia="맑은 고딕"/>
        </w:rPr>
        <w:t xml:space="preserve"> Beta 3 -- 담보 관리 테스트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중반:</w:t>
      </w:r>
      <w:r>
        <w:rPr>
          <w:rFonts w:ascii="Malgun Gothic" w:hAnsi="Malgun Gothic" w:eastAsia="맑은 고딕"/>
        </w:rPr>
        <w:t xml:space="preserve"> Ovation 출시 계획 (단일 처리 사이클 내 ENCORE-Ovation 전환)</w:t>
      </w:r>
    </w:p>
    <w:p>
      <w:pPr>
        <w:pStyle w:val="Heading3"/>
      </w:pPr>
      <w:r>
        <w:rPr>
          <w:rFonts w:ascii="Malgun Gothic" w:hAnsi="Malgun Gothic" w:eastAsia="맑은 고딕"/>
        </w:rPr>
        <w:t>5.4 처리 능력 (Processing Capacity)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일일 최대 거래량 (기록)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1.1억 계약 (2025년 10월 10일)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데이터 수집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초당 200만 건 이상의 금융상품 가격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추적 미결제 포지션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수십억 건의 미결제 옵션 포지션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지원 참가 거래소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21개 거래소 및 거래 플랫폼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5.5 인터페이스 프로토콜 (Interface Protocols)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FIX/FIXML:</w:t>
      </w:r>
      <w:r>
        <w:rPr>
          <w:rFonts w:ascii="Malgun Gothic" w:hAnsi="Malgun Gothic" w:eastAsia="맑은 고딕"/>
        </w:rPr>
        <w:t xml:space="preserve"> 거래 제출 및 보고를 위한 업계 표준 메시징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독자 API:</w:t>
      </w:r>
      <w:r>
        <w:rPr>
          <w:rFonts w:ascii="Malgun Gothic" w:hAnsi="Malgun Gothic" w:eastAsia="맑은 고딕"/>
        </w:rPr>
        <w:t xml:space="preserve"> 청산회원 연결을 위한 OCC 고유 인터페이스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시장 데이터 피드:</w:t>
      </w:r>
      <w:r>
        <w:rPr>
          <w:rFonts w:ascii="Malgun Gothic" w:hAnsi="Malgun Gothic" w:eastAsia="맑은 고딕"/>
        </w:rPr>
        <w:t xml:space="preserve"> 실시간 포지션 및 증거금 데이터 전달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Transformation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-- Clearing, Risk and Data Changes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Confluent Current 2024 -- OCC Stream Processing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Built In Chicago -- OCC Tech Infrastructure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Traders Magazine -- OCC Ovation Testing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IBM -- OCC Case Study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6.1 규제 구조 (Regulatory 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감독기관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관할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SEC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주요 감독기관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1934년 증권거래소법 Section 17A에 따른 등록 청산기관; 주식, 주가지수, 외환, 금리 복합, 개별주식선물에 대한 풋·콜 옵션 청산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CFTC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보조 감독기관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등록 DCO (Derivatives Clearing Organization); 선물 및 선물 옵션 청산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연방준비제도이사회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SIFMU 감독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도드-프랭크법 Title VIII에 따른 건전성 감독; 연방준비 할인창구 및 결제 시스템 서비스 이용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FSOC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지정 기관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2012년 7월 OCC를 SIFMU로 지정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6.2 주요 규제 요건 (Key Regulatory Requirements)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SEC Rule 17Ad-22(e):</w:t>
      </w:r>
      <w:r>
        <w:rPr>
          <w:rFonts w:ascii="Malgun Gothic" w:hAnsi="Malgun Gothic" w:eastAsia="맑은 고딕"/>
        </w:rPr>
        <w:t xml:space="preserve"> 대상 청산기관에 대한 강화 기준 (2017년 4월 시행); 리스크 관리, 재무자원, 지배구조, 운영, 회복 계획에 관한 요건 수립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CFTC 핵심 원칙 (Core Principles):</w:t>
      </w:r>
      <w:r>
        <w:rPr>
          <w:rFonts w:ascii="Malgun Gothic" w:hAnsi="Malgun Gothic" w:eastAsia="맑은 고딕"/>
        </w:rPr>
        <w:t xml:space="preserve"> 상품거래소법(CEA)에 따른 DCO 요건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PFMI 준수:</w:t>
      </w:r>
      <w:r>
        <w:rPr>
          <w:rFonts w:ascii="Malgun Gothic" w:hAnsi="Malgun Gothic" w:eastAsia="맑은 고딕"/>
        </w:rPr>
        <w:t xml:space="preserve"> OCC는 CPMI-IOSCO 지침에 따라 PFMI 공시 프레임워크 및 분기별 PQD 데이터를 발행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연간 재무감사:</w:t>
      </w:r>
      <w:r>
        <w:rPr>
          <w:rFonts w:ascii="Malgun Gothic" w:hAnsi="Malgun Gothic" w:eastAsia="맑은 고딕"/>
        </w:rPr>
        <w:t xml:space="preserve"> OCC의 재무제표는 매년 감사를 받는다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규제 보고:</w:t>
      </w:r>
      <w:r>
        <w:rPr>
          <w:rFonts w:ascii="Malgun Gothic" w:hAnsi="Malgun Gothic" w:eastAsia="맑은 고딕"/>
        </w:rPr>
        <w:t xml:space="preserve"> 리스크 지표, 재무자원, 운영 성과에 관해 SEC, CFTC, 연방준비에 정기 보고</w:t>
      </w:r>
    </w:p>
    <w:p>
      <w:pPr>
        <w:pStyle w:val="Heading3"/>
      </w:pPr>
      <w:r>
        <w:rPr>
          <w:rFonts w:ascii="Malgun Gothic" w:hAnsi="Malgun Gothic" w:eastAsia="맑은 고딕"/>
        </w:rPr>
        <w:t>6.3 주요 규제 조치 (Notable Regulatory Actions)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조치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2019년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 및 CFTC 고발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적절한 리스크 관리 정책 수립·유지 실패; SEC가 리스크 관리 결함과 관련하여 OCC에 과징금 부과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2019년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 Capital Plan 불승인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SEC가 OCC의 Capital Plan 제안 불승인; 불충분한 정보, 지배구조 우려, 비주주 거래소에 대한 경쟁적 영향 지적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2023년 (2월)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 화해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청산기금 부족(2019년 10월~2021년 5월)으로 1,700만 USD 과징금; 기간 중 청산기금이 2억~5.88억 USD 부족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2023년 (2월)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CFTC 화해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자동화 시스템 관련 운영리스크 관리 위반으로 500만 USD 과징금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SEC Press Release -- OCC Charges (2023)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SEC/CFTC Press Release (2019)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CFTC Press Release (2023)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Capital Plan Disapproval (2019)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교차증거금 프로그램 (Cross-Margining Programs)</w:t>
      </w:r>
    </w:p>
    <w:p>
      <w:r>
        <w:rPr>
          <w:rFonts w:ascii="Malgun Gothic" w:hAnsi="Malgun Gothic" w:eastAsia="맑은 고딕"/>
        </w:rPr>
        <w:t>OCC는 별도의 청산소에서 청산된 헤지 포지션을 단일 포트폴리오로 결합하여 증거금을 산출할 수 있는 교차증거금 협약을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프로그램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 CCP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OCC-CME 교차증거금 프로그램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CME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적격 청산회원이 주식 옵션 포지션(OCC)과 관련 주가지수 선물 포지션(CME)을 상계할 수 있다; 1987년 블랙먼데이 이후 수립; 2020년 제2차 개정·재작성 협약 승인</w:t>
            </w:r>
          </w:p>
        </w:tc>
      </w:tr>
    </w:tbl>
    <w:p/>
    <w:p>
      <w:r>
        <w:rPr>
          <w:rFonts w:ascii="Malgun Gothic" w:hAnsi="Malgun Gothic" w:eastAsia="맑은 고딕"/>
        </w:rPr>
        <w:t>교차증거금은 OCC의 STANS 방법론을 사용하여 결합 포트폴리오 리스크를 산출하며, 일반적으로 각 CCP에서 개별 산출하는 것보다 낮은 증거금이 소요된다.</w:t>
      </w:r>
    </w:p>
    <w:p>
      <w:pPr>
        <w:pStyle w:val="Heading3"/>
      </w:pPr>
      <w:r>
        <w:rPr>
          <w:rFonts w:ascii="Malgun Gothic" w:hAnsi="Malgun Gothic" w:eastAsia="맑은 고딕"/>
        </w:rPr>
        <w:t>7.2 상호보증 및 연계 (Cross-Guaranty and Linkages)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약정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OCC-NSCC Accord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실물결제 주식 옵션의 처리를 규율; NSCC가 DTC의 CNS 시스템을 통한 결제를 위해 행사/배정 인도 거래를 수용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거래소 연계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OCC는 16개 이상 옵션 거래소와 참가 거래소 협약을 유지; 개정·재작성된 참가 거래소 협약이 2025년 7월 SEC 승인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7.3 지속적 조율 (Ongoing Coordination)</w:t>
      </w:r>
    </w:p>
    <w:p>
      <w:r>
        <w:rPr>
          <w:rFonts w:ascii="Malgun Gothic" w:hAnsi="Malgun Gothic" w:eastAsia="맑은 고딕"/>
        </w:rPr>
        <w:t>OCC는 다음 사항에 대응하여 기존 교차 CCP 협약의 조정 및 잠재적 신규 약정을 검토하고 있다:</w:t>
      </w:r>
    </w:p>
    <w:p>
      <w:pPr>
        <w:pStyle w:val="ListBullet"/>
      </w:pPr>
      <w:r>
        <w:rPr>
          <w:rFonts w:ascii="Malgun Gothic" w:hAnsi="Malgun Gothic" w:eastAsia="맑은 고딕"/>
        </w:rPr>
        <w:t>거래시간 연장 이니셔티브</w:t>
      </w:r>
    </w:p>
    <w:p>
      <w:pPr>
        <w:pStyle w:val="ListBullet"/>
      </w:pPr>
      <w:r>
        <w:rPr>
          <w:rFonts w:ascii="Malgun Gothic" w:hAnsi="Malgun Gothic" w:eastAsia="맑은 고딕"/>
        </w:rPr>
        <w:t>T+1 결제주기 전환</w:t>
      </w:r>
    </w:p>
    <w:p>
      <w:pPr>
        <w:pStyle w:val="ListBullet"/>
      </w:pPr>
      <w:r>
        <w:rPr>
          <w:rFonts w:ascii="Malgun Gothic" w:hAnsi="Malgun Gothic" w:eastAsia="맑은 고딕"/>
        </w:rPr>
        <w:t>당일만기옵션(0DTE)으로 인한 장중 리스크 증가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Cross Margin Programs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Yale SOM -- Cross-Margining and Financial Stability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Participant Exchange Agreement (July 2025)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pPr>
        <w:pStyle w:val="Heading3"/>
      </w:pPr>
      <w:r>
        <w:rPr>
          <w:rFonts w:ascii="Malgun Gothic" w:hAnsi="Malgun Gothic" w:eastAsia="맑은 고딕"/>
        </w:rPr>
        <w:t>8.1 청산 수수료 (Clearing Fee Schedule)</w:t>
      </w:r>
    </w:p>
    <w:p>
      <w:r>
        <w:rPr>
          <w:rFonts w:ascii="Malgun Gothic" w:hAnsi="Malgun Gothic" w:eastAsia="맑은 고딕"/>
        </w:rPr>
        <w:t>OCC의 수수료 체계는 2024~2025년에 여러 차례 변경되었다: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시행일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옵션 계약당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0.025 USD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2월 14일 시행 (0.02 USD에서 인상)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선물 계약당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0.025 USD [미확인 -- 상이할 수 있음]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거래당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폐지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이전: 2,751계약 이상 거래에 55.00 USD; 2025년 2월 폐지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최소 월간 청산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200.00 USD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운영 손실 수수료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변동; 자본관리정책에 따라 갱신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 제출 SR-OCC-2024 기준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청산 수수료 면제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0.00 USD (임시)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12월 1~31일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수수료 이력: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2021년 6월~2024년 11월 평균 청산 수수료는 계약당 약 </w:t>
      </w:r>
      <w:r>
        <w:rPr>
          <w:rFonts w:ascii="Malgun Gothic" w:hAnsi="Malgun Gothic" w:eastAsia="맑은 고딕"/>
          <w:b/>
        </w:rPr>
        <w:t>0.019 USD</w:t>
      </w:r>
      <w:r>
        <w:rPr>
          <w:rFonts w:ascii="Malgun Gothic" w:hAnsi="Malgun Gothic" w:eastAsia="맑은 고딕"/>
        </w:rPr>
        <w:t xml:space="preserve"> (폐지된 거래당 수수료 상한 효과 포함)</w:t>
      </w:r>
    </w:p>
    <w:p>
      <w:pPr>
        <w:pStyle w:val="ListBullet"/>
      </w:pPr>
      <w:r>
        <w:rPr>
          <w:rFonts w:ascii="Malgun Gothic" w:hAnsi="Malgun Gothic" w:eastAsia="맑은 고딕"/>
        </w:rPr>
        <w:t>0.025 USD로의 인상 및 거래당 상한 폐지는 OCC의 금리 전망, 예상 운영비, 예상 거래량, 자본 필요에 기반한 예상 현금흐름 수요를 반영하여 설계</w:t>
      </w:r>
    </w:p>
    <w:p>
      <w:pPr>
        <w:pStyle w:val="ListBullet"/>
      </w:pPr>
      <w:r>
        <w:rPr>
          <w:rFonts w:ascii="Malgun Gothic" w:hAnsi="Malgun Gothic" w:eastAsia="맑은 고딕"/>
        </w:rPr>
        <w:t>OCC는 누적 수익이 목표를 초과하면 간헐적으로 "수수료 면제(fee holiday)"를 시행 -- 2025년 12월에 1개월 면제 시행</w:t>
      </w:r>
    </w:p>
    <w:p>
      <w:pPr>
        <w:pStyle w:val="Heading3"/>
      </w:pPr>
      <w:r>
        <w:rPr>
          <w:rFonts w:ascii="Malgun Gothic" w:hAnsi="Malgun Gothic" w:eastAsia="맑은 고딕"/>
        </w:rPr>
        <w:t>8.2 행사 및 배정 수수료 (Exercise and Assignment Fees)</w:t>
      </w:r>
    </w:p>
    <w:p>
      <w:r>
        <w:rPr>
          <w:rFonts w:ascii="Malgun Gothic" w:hAnsi="Malgun Gothic" w:eastAsia="맑은 고딕"/>
        </w:rPr>
        <w:t xml:space="preserve">계약당 구체적 행사·배정 수수료는 OCC의 Schedule of Fees에서 </w:t>
      </w:r>
      <w:r>
        <w:rPr>
          <w:rFonts w:ascii="Malgun Gothic" w:hAnsi="Malgun Gothic" w:eastAsia="맑은 고딕"/>
          <w:color w:val="0563C1"/>
          <w:u w:val="single"/>
        </w:rPr>
        <w:t>theocc.com</w:t>
      </w:r>
      <w:r>
        <w:rPr>
          <w:rFonts w:ascii="Malgun Gothic" w:hAnsi="Malgun Gothic" w:eastAsia="맑은 고딕"/>
        </w:rPr>
        <w:t>에 공개된다. [정확한 금액은 검색 결과에서 비공개 -- 공식 수수료표 참조]</w:t>
      </w:r>
    </w:p>
    <w:p>
      <w:pPr>
        <w:pStyle w:val="Heading3"/>
      </w:pPr>
      <w:r>
        <w:rPr>
          <w:rFonts w:ascii="Malgun Gothic" w:hAnsi="Malgun Gothic" w:eastAsia="맑은 고딕"/>
        </w:rPr>
        <w:t>8.3 회원 수수료 (Membership Fees)</w:t>
      </w:r>
    </w:p>
    <w:p>
      <w:pPr>
        <w:pStyle w:val="ListBullet"/>
      </w:pPr>
      <w:r>
        <w:rPr>
          <w:rFonts w:ascii="Malgun Gothic" w:hAnsi="Malgun Gothic" w:eastAsia="맑은 고딕"/>
        </w:rPr>
        <w:t>가입 및 지속적 회원 수수료는 OCC By-Laws에 따라 부과</w:t>
      </w:r>
    </w:p>
    <w:p>
      <w:pPr>
        <w:pStyle w:val="ListBullet"/>
      </w:pPr>
      <w:r>
        <w:rPr>
          <w:rFonts w:ascii="Malgun Gothic" w:hAnsi="Malgun Gothic" w:eastAsia="맑은 고딕"/>
        </w:rPr>
        <w:t>청산기금 출연은 리스크 기반 배분 방법론에 따라 필수 (정액 수수료가 아님)</w:t>
      </w:r>
    </w:p>
    <w:p>
      <w:pPr>
        <w:pStyle w:val="ListBullet"/>
      </w:pPr>
      <w:r>
        <w:rPr>
          <w:rFonts w:ascii="Malgun Gothic" w:hAnsi="Malgun Gothic" w:eastAsia="맑은 고딕"/>
        </w:rPr>
        <w:t>2016년, OCC는 청산회원에 3,900만 USD 환급 및 주주 거래소에 약 1,700만 USD 배당을 공고, 이는 수익 잉여를 반영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-- Schedule of Fees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Filing SR-OCC-2024-017 (Fee Change)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Filing SR-OCC-2025-002 (Fee Update)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Fee Holiday Info Memo #57379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9.1 Renaissance Initiative / 기술 현대화 (Technology Modernization)</w:t>
      </w:r>
    </w:p>
    <w:p>
      <w:r>
        <w:rPr>
          <w:rFonts w:ascii="Malgun Gothic" w:hAnsi="Malgun Gothic" w:eastAsia="맑은 고딕"/>
        </w:rPr>
        <w:t xml:space="preserve">OCC의 다년간 </w:t>
      </w:r>
      <w:r>
        <w:rPr>
          <w:rFonts w:ascii="Malgun Gothic" w:hAnsi="Malgun Gothic" w:eastAsia="맑은 고딕"/>
          <w:b/>
        </w:rPr>
        <w:t>Renaissance Initiative</w:t>
      </w:r>
      <w:r>
        <w:rPr>
          <w:rFonts w:ascii="Malgun Gothic" w:hAnsi="Malgun Gothic" w:eastAsia="맑은 고딕"/>
        </w:rPr>
        <w:t>는 역사상 가장 대규모의 기술 전환이다: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AWS 클라우드 기반의 </w:t>
      </w:r>
      <w:r>
        <w:rPr>
          <w:rFonts w:ascii="Malgun Gothic" w:hAnsi="Malgun Gothic" w:eastAsia="맑은 고딕"/>
          <w:b/>
        </w:rPr>
        <w:t>Ovation 플랫폼</w:t>
      </w:r>
      <w:r>
        <w:rPr>
          <w:rFonts w:ascii="Malgun Gothic" w:hAnsi="Malgun Gothic" w:eastAsia="맑은 고딕"/>
        </w:rPr>
        <w:t>, 모듈형 아키텍처 (청산·결제, 데이터, 리스크 관리 3대 축)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배치 처리(ENCORE)에서 Apache Kafka 및 Flink를 활용한 실시간 </w:t>
      </w:r>
      <w:r>
        <w:rPr>
          <w:rFonts w:ascii="Malgun Gothic" w:hAnsi="Malgun Gothic" w:eastAsia="맑은 고딕"/>
          <w:b/>
        </w:rPr>
        <w:t>스트림 처리</w:t>
      </w:r>
      <w:r>
        <w:rPr>
          <w:rFonts w:ascii="Malgun Gothic" w:hAnsi="Malgun Gothic" w:eastAsia="맑은 고딕"/>
        </w:rPr>
        <w:t>로 전환</w:t>
      </w:r>
    </w:p>
    <w:p>
      <w:pPr>
        <w:pStyle w:val="ListBullet"/>
      </w:pPr>
      <w:r>
        <w:rPr>
          <w:rFonts w:ascii="Malgun Gothic" w:hAnsi="Malgun Gothic" w:eastAsia="맑은 고딕"/>
        </w:rPr>
        <w:t>전일 종가 대신 현재 시장 가격을 사용한 장중 리스크 계산 가능</w:t>
      </w:r>
    </w:p>
    <w:p>
      <w:pPr>
        <w:pStyle w:val="ListBullet"/>
      </w:pPr>
      <w:r>
        <w:rPr>
          <w:rFonts w:ascii="Malgun Gothic" w:hAnsi="Malgun Gothic" w:eastAsia="맑은 고딕"/>
        </w:rPr>
        <w:t>2024년 7월 외부 업계 테스트 개시, 점진적 베타 릴리스</w:t>
      </w:r>
    </w:p>
    <w:p>
      <w:pPr>
        <w:pStyle w:val="ListBullet"/>
      </w:pPr>
      <w:r>
        <w:rPr>
          <w:rFonts w:ascii="Malgun Gothic" w:hAnsi="Malgun Gothic" w:eastAsia="맑은 고딕"/>
        </w:rPr>
        <w:t>단일 처리 사이클 내 ENCORE에서 Ovation으로의 전환 계획 [목표: 2025년 중반; 2026년 4월 기준 완료 여부 미확인]</w:t>
      </w:r>
    </w:p>
    <w:p>
      <w:pPr>
        <w:pStyle w:val="ListBullet"/>
      </w:pPr>
      <w:r>
        <w:rPr>
          <w:rFonts w:ascii="Malgun Gothic" w:hAnsi="Malgun Gothic" w:eastAsia="맑은 고딕"/>
        </w:rPr>
        <w:t>2022년 10월 SEC 클라우드 인프라 이의 없음 통지 수령</w:t>
      </w:r>
    </w:p>
    <w:p>
      <w:pPr>
        <w:pStyle w:val="Heading3"/>
      </w:pPr>
      <w:r>
        <w:rPr>
          <w:rFonts w:ascii="Malgun Gothic" w:hAnsi="Malgun Gothic" w:eastAsia="맑은 고딕"/>
        </w:rPr>
        <w:t>9.2 거래시간 연장 (Extended Trading Hours)</w:t>
      </w:r>
    </w:p>
    <w:p>
      <w:pPr>
        <w:pStyle w:val="ListBullet"/>
      </w:pPr>
      <w:r>
        <w:rPr>
          <w:rFonts w:ascii="Malgun Gothic" w:hAnsi="Malgun Gothic" w:eastAsia="맑은 고딕"/>
        </w:rPr>
        <w:t>Cboe 및 기타 거래소가 주식 옵션에 대한 거래시간 연장(프리마켓 및 애프터마켓) 세션을 확대하거나 제안</w:t>
      </w:r>
    </w:p>
    <w:p>
      <w:pPr>
        <w:pStyle w:val="ListBullet"/>
      </w:pPr>
      <w:r>
        <w:rPr>
          <w:rFonts w:ascii="Malgun Gothic" w:hAnsi="Malgun Gothic" w:eastAsia="맑은 고딕"/>
        </w:rPr>
        <w:t>Cboe 연장 거래: 일부 옵션 종목에 대해 7:30~9:25 a.m. ET 및 4:00~4:15 p.m. ET 세션</w:t>
      </w:r>
    </w:p>
    <w:p>
      <w:pPr>
        <w:pStyle w:val="ListBullet"/>
      </w:pPr>
      <w:r>
        <w:rPr>
          <w:rFonts w:ascii="Malgun Gothic" w:hAnsi="Malgun Gothic" w:eastAsia="맑은 고딕"/>
        </w:rPr>
        <w:t>OCC 인프라는 연장된 시간에 걸쳐 청산 및 리스크 관리를 지원해야 한다</w:t>
      </w:r>
    </w:p>
    <w:p>
      <w:pPr>
        <w:pStyle w:val="ListBullet"/>
      </w:pPr>
      <w:r>
        <w:rPr>
          <w:rFonts w:ascii="Malgun Gothic" w:hAnsi="Malgun Gothic" w:eastAsia="맑은 고딕"/>
        </w:rPr>
        <w:t>증거금 산출 시점, 장중 리스크 익스포저, 결제주기 정합성에 대한 과제 야기</w:t>
      </w:r>
    </w:p>
    <w:p>
      <w:pPr>
        <w:pStyle w:val="Heading3"/>
      </w:pPr>
      <w:r>
        <w:rPr>
          <w:rFonts w:ascii="Malgun Gothic" w:hAnsi="Malgun Gothic" w:eastAsia="맑은 고딕"/>
        </w:rPr>
        <w:t>9.3 당일만기옵션(0DTE) 성장 영향 (0DTE Options Growth Impact)</w:t>
      </w:r>
    </w:p>
    <w:p>
      <w:r>
        <w:rPr>
          <w:rFonts w:ascii="Malgun Gothic" w:hAnsi="Malgun Gothic" w:eastAsia="맑은 고딕"/>
        </w:rPr>
        <w:t>당일만기옵션의 폭발적 성장이 상당한 리스크 관리 적응을 촉발하였다: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장중 리스크 차지:</w:t>
      </w:r>
      <w:r>
        <w:rPr>
          <w:rFonts w:ascii="Malgun Gothic" w:hAnsi="Malgun Gothic" w:eastAsia="맑은 고딕"/>
        </w:rPr>
        <w:t xml:space="preserve"> SEC 승인 (2025년 4월). 장중 및 야간 거래 활동에서 발생하는 리스크를 완화하기 위해 모든 청산회원 계좌에 적용되는 신규 증거금 부가금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STANS 개선:</w:t>
      </w:r>
      <w:r>
        <w:rPr>
          <w:rFonts w:ascii="Malgun Gothic" w:hAnsi="Malgun Gothic" w:eastAsia="맑은 고딕"/>
        </w:rPr>
        <w:t xml:space="preserve"> SEC 승인 (2025년 1월). 단기옵션 리스크를 더 잘 포착하기 위한 STANS 및 CST 방법론 변경; 일평균 증거금 영향 +0.58% 추정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변동성 조정:</w:t>
      </w:r>
      <w:r>
        <w:rPr>
          <w:rFonts w:ascii="Malgun Gothic" w:hAnsi="Malgun Gothic" w:eastAsia="맑은 고딕"/>
        </w:rPr>
        <w:t xml:space="preserve"> OCC 제안 (2024년 10월). 높은 변동성 기간 중 증거금 파라미터를 조정하는 메커니즘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OCC의 0DTE 옵션에 대한 장중 익스포저는 이전에 </w:t>
      </w:r>
      <w:r>
        <w:rPr>
          <w:rFonts w:ascii="Malgun Gothic" w:hAnsi="Malgun Gothic" w:eastAsia="맑은 고딕"/>
          <w:b/>
        </w:rPr>
        <w:t>무담보</w:t>
      </w:r>
      <w:r>
        <w:rPr>
          <w:rFonts w:ascii="Malgun Gothic" w:hAnsi="Malgun Gothic" w:eastAsia="맑은 고딕"/>
        </w:rPr>
        <w:t>였다 -- 신규 장중 리스크 차지가 이 공백을 해소</w:t>
      </w:r>
    </w:p>
    <w:p>
      <w:pPr>
        <w:pStyle w:val="Heading3"/>
      </w:pPr>
      <w:r>
        <w:rPr>
          <w:rFonts w:ascii="Malgun Gothic" w:hAnsi="Malgun Gothic" w:eastAsia="맑은 고딕"/>
        </w:rPr>
        <w:t>9.4 대차 확대 (Securities Lending Expansion)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OCC는 대차 인프라 현대화를 위해 </w:t>
      </w:r>
      <w:r>
        <w:rPr>
          <w:rFonts w:ascii="Malgun Gothic" w:hAnsi="Malgun Gothic" w:eastAsia="맑은 고딕"/>
          <w:b/>
        </w:rPr>
        <w:t>Axoni</w:t>
      </w:r>
      <w:r>
        <w:rPr>
          <w:rFonts w:ascii="Malgun Gothic" w:hAnsi="Malgun Gothic" w:eastAsia="맑은 고딕"/>
        </w:rPr>
        <w:t xml:space="preserve"> (분산원장기술 플랫폼)를 선정</w:t>
      </w:r>
    </w:p>
    <w:p>
      <w:pPr>
        <w:pStyle w:val="ListBullet"/>
      </w:pPr>
      <w:r>
        <w:rPr>
          <w:rFonts w:ascii="Malgun Gothic" w:hAnsi="Malgun Gothic" w:eastAsia="맑은 고딕"/>
        </w:rPr>
        <w:t>2012년 이후 대차 청산 거래량은 연평균 16% 성장</w:t>
      </w:r>
    </w:p>
    <w:p>
      <w:pPr>
        <w:pStyle w:val="ListBullet"/>
      </w:pPr>
      <w:r>
        <w:rPr>
          <w:rFonts w:ascii="Malgun Gothic" w:hAnsi="Malgun Gothic" w:eastAsia="맑은 고딕"/>
        </w:rPr>
        <w:t>OCC는 현재 세계 최대의 미국 주식 대차 CCP</w:t>
      </w:r>
    </w:p>
    <w:p>
      <w:pPr>
        <w:pStyle w:val="ListBullet"/>
      </w:pPr>
      <w:r>
        <w:rPr>
          <w:rFonts w:ascii="Malgun Gothic" w:hAnsi="Malgun Gothic" w:eastAsia="맑은 고딕"/>
        </w:rPr>
        <w:t>보다 폭넓은 시장 참여 및 운영 효율성을 지원하도록 프로그램 확대</w:t>
      </w:r>
    </w:p>
    <w:p>
      <w:pPr>
        <w:pStyle w:val="Heading3"/>
      </w:pPr>
      <w:r>
        <w:rPr>
          <w:rFonts w:ascii="Malgun Gothic" w:hAnsi="Malgun Gothic" w:eastAsia="맑은 고딕"/>
        </w:rPr>
        <w:t>9.5 2021 Capital Plan / 지배구조 위기 및 해결 (Capital Plan / Governance Crisis and Resolution)</w:t>
      </w:r>
    </w:p>
    <w:p>
      <w:r>
        <w:rPr>
          <w:rFonts w:ascii="Malgun Gothic" w:hAnsi="Malgun Gothic" w:eastAsia="맑은 고딕"/>
        </w:rPr>
        <w:t>이 사건은 OCC 역사에서 중요한 장을 차지한다:</w:t>
      </w:r>
    </w:p>
    <w:p>
      <w:r>
        <w:rPr>
          <w:rFonts w:ascii="Malgun Gothic" w:hAnsi="Malgun Gothic" w:eastAsia="맑은 고딕"/>
          <w:b/>
        </w:rPr>
        <w:t>경과: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2015년:</w:t>
      </w:r>
      <w:r>
        <w:rPr>
          <w:rFonts w:ascii="Malgun Gothic" w:hAnsi="Malgun Gothic" w:eastAsia="맑은 고딕"/>
        </w:rPr>
        <w:t xml:space="preserve"> OCC가 주주 거래소에 대한 배당 재원을 청산 수수료 인상으로 충당하는 대규모 자본화 확충을 제안하는 Capital Plan을 SEC에 제출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2017년:</w:t>
      </w:r>
      <w:r>
        <w:rPr>
          <w:rFonts w:ascii="Malgun Gothic" w:hAnsi="Malgun Gothic" w:eastAsia="맑은 고딕"/>
        </w:rPr>
        <w:t xml:space="preserve"> SEC가 Capital Plan을 최초 승인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2017년:</w:t>
      </w:r>
      <w:r>
        <w:rPr>
          <w:rFonts w:ascii="Malgun Gothic" w:hAnsi="Malgun Gothic" w:eastAsia="맑은 고딕"/>
        </w:rPr>
        <w:t xml:space="preserve"> D.C. 연방항소법원이 비주주 거래소(예: MIAX)의 이의 제기를 받아들여 결정을 SEC에 환송. 비주주 거래소들은 공정한 통지 및 의견 제출 기회가 거부되었다고 주장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2019년 (2월):</w:t>
      </w:r>
      <w:r>
        <w:rPr>
          <w:rFonts w:ascii="Malgun Gothic" w:hAnsi="Malgun Gothic" w:eastAsia="맑은 고딕"/>
        </w:rPr>
        <w:t xml:space="preserve"> SEC가 Capital Plan을 </w:t>
      </w:r>
      <w:r>
        <w:rPr>
          <w:rFonts w:ascii="Malgun Gothic" w:hAnsi="Malgun Gothic" w:eastAsia="맑은 고딕"/>
          <w:b/>
        </w:rPr>
        <w:t>불승인</w:t>
      </w:r>
      <w:r>
        <w:rPr>
          <w:rFonts w:ascii="Malgun Gothic" w:hAnsi="Malgun Gothic" w:eastAsia="맑은 고딕"/>
        </w:rPr>
        <w:t>, 다음 사유를 지적:</w:t>
      </w:r>
    </w:p>
    <w:p>
      <w:pPr>
        <w:pStyle w:val="ListBullet"/>
      </w:pPr>
      <w:r>
        <w:rPr>
          <w:rFonts w:ascii="Malgun Gothic" w:hAnsi="Malgun Gothic" w:eastAsia="맑은 고딕"/>
        </w:rPr>
        <w:t>계획이 증권거래소법과 합치한다는 증거 불충분</w:t>
      </w:r>
    </w:p>
    <w:p>
      <w:pPr>
        <w:pStyle w:val="ListBullet"/>
      </w:pPr>
      <w:r>
        <w:rPr>
          <w:rFonts w:ascii="Malgun Gothic" w:hAnsi="Malgun Gothic" w:eastAsia="맑은 고딕"/>
        </w:rPr>
        <w:t>지배구조 우려 -- OCC 경영진/이사회와 주주 거래소 간 이해상충</w:t>
      </w:r>
    </w:p>
    <w:p>
      <w:pPr>
        <w:pStyle w:val="ListBullet"/>
      </w:pPr>
      <w:r>
        <w:rPr>
          <w:rFonts w:ascii="Malgun Gothic" w:hAnsi="Malgun Gothic" w:eastAsia="맑은 고딕"/>
        </w:rPr>
        <w:t>비주주 거래소에 대한 경쟁적 중요성에 관한 통지 실패</w:t>
      </w:r>
    </w:p>
    <w:p>
      <w:pPr>
        <w:pStyle w:val="ListBullet"/>
      </w:pPr>
      <w:r>
        <w:rPr>
          <w:rFonts w:ascii="Malgun Gothic" w:hAnsi="Malgun Gothic" w:eastAsia="맑은 고딕"/>
        </w:rPr>
        <w:t>시장 유틸리티에 대해 수수료 재원의 소유자 거래소 배당이 적절한지에 대한 의문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2019년 (9월):</w:t>
      </w:r>
      <w:r>
        <w:rPr>
          <w:rFonts w:ascii="Malgun Gothic" w:hAnsi="Malgun Gothic" w:eastAsia="맑은 고딕"/>
        </w:rPr>
        <w:t xml:space="preserve"> SEC 및 CFTC가 Capital Plan과 무관하나 같은 기간에 발생한 리스크 관리 정책 실패에 대해 OCC를 별도 고발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2019~2021년:</w:t>
      </w:r>
      <w:r>
        <w:rPr>
          <w:rFonts w:ascii="Malgun Gothic" w:hAnsi="Malgun Gothic" w:eastAsia="맑은 고딕"/>
        </w:rPr>
        <w:t xml:space="preserve"> OCC 청산비용모델(Liquidation Cost Model)의 오류로 청산기금이 </w:t>
      </w:r>
      <w:r>
        <w:rPr>
          <w:rFonts w:ascii="Malgun Gothic" w:hAnsi="Malgun Gothic" w:eastAsia="맑은 고딕"/>
          <w:b/>
        </w:rPr>
        <w:t>2억~5.88억 USD</w:t>
      </w:r>
      <w:r>
        <w:rPr>
          <w:rFonts w:ascii="Malgun Gothic" w:hAnsi="Malgun Gothic" w:eastAsia="맑은 고딕"/>
        </w:rPr>
        <w:t xml:space="preserve"> 부족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 (2월):</w:t>
      </w:r>
      <w:r>
        <w:rPr>
          <w:rFonts w:ascii="Malgun Gothic" w:hAnsi="Malgun Gothic" w:eastAsia="맑은 고딕"/>
        </w:rPr>
        <w:t xml:space="preserve"> OCC가 SEC (1,700만 USD) 및 CFTC (500만 USD)와 화해; 총 과징금 2,200만 USD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 이후:</w:t>
      </w:r>
      <w:r>
        <w:rPr>
          <w:rFonts w:ascii="Malgun Gothic" w:hAnsi="Malgun Gothic" w:eastAsia="맑은 고딕"/>
        </w:rPr>
        <w:t xml:space="preserve"> OCC가 강화된 지배구조, 개선된 내부통제, 규제자본 목표 3.03억 USD의 신규 자본관리정책, 영속적 최소 SITG 6,900만 USD를 포함한 시정 조치 이행</w:t>
      </w:r>
    </w:p>
    <w:p>
      <w:r>
        <w:rPr>
          <w:rFonts w:ascii="Malgun Gothic" w:hAnsi="Malgun Gothic" w:eastAsia="맑은 고딕"/>
          <w:b/>
        </w:rPr>
        <w:t>교훈:</w:t>
      </w:r>
    </w:p>
    <w:p>
      <w:pPr>
        <w:pStyle w:val="ListBullet"/>
      </w:pPr>
      <w:r>
        <w:rPr>
          <w:rFonts w:ascii="Malgun Gothic" w:hAnsi="Malgun Gothic" w:eastAsia="맑은 고딕"/>
        </w:rPr>
        <w:t>OCC 소유구조의 긴장 -- 주주 거래소가 소유자이자 동시에 비주주 거래소의 경쟁자인 구조 -- 을 부각</w:t>
      </w:r>
    </w:p>
    <w:p>
      <w:pPr>
        <w:pStyle w:val="ListBullet"/>
      </w:pPr>
      <w:r>
        <w:rPr>
          <w:rFonts w:ascii="Malgun Gothic" w:hAnsi="Malgun Gothic" w:eastAsia="맑은 고딕"/>
        </w:rPr>
        <w:t>OCC 지배구조에 대한 강화된 규제 감독으로 이어짐</w:t>
      </w:r>
    </w:p>
    <w:p>
      <w:pPr>
        <w:pStyle w:val="ListBullet"/>
      </w:pPr>
      <w:r>
        <w:rPr>
          <w:rFonts w:ascii="Malgun Gothic" w:hAnsi="Malgun Gothic" w:eastAsia="맑은 고딕"/>
        </w:rPr>
        <w:t>OCC가 보다 투명한 자본관리 및 수수료 결정 절차를 채택하도록 촉진</w:t>
      </w:r>
    </w:p>
    <w:p>
      <w:pPr>
        <w:pStyle w:val="ListBullet"/>
      </w:pPr>
      <w:r>
        <w:rPr>
          <w:rFonts w:ascii="Malgun Gothic" w:hAnsi="Malgun Gothic" w:eastAsia="맑은 고딕"/>
        </w:rPr>
        <w:t>SIFMU에서의 견고한 내부통제의 중요성을 재확인</w:t>
      </w:r>
    </w:p>
    <w:p>
      <w:pPr>
        <w:pStyle w:val="Heading3"/>
      </w:pPr>
      <w:r>
        <w:rPr>
          <w:rFonts w:ascii="Malgun Gothic" w:hAnsi="Malgun Gothic" w:eastAsia="맑은 고딕"/>
        </w:rPr>
        <w:t>9.6 청산기금 배분 방법론 개혁 (2025년) (Clearing Fund Methodology Reform)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2025년 10월, OCC가 각 청산회원이 OCC에 부과하는 스트레스 리스크에 더 잘 부합하도록 청산기금 </w:t>
      </w:r>
      <w:r>
        <w:rPr>
          <w:rFonts w:ascii="Malgun Gothic" w:hAnsi="Malgun Gothic" w:eastAsia="맑은 고딕"/>
          <w:b/>
        </w:rPr>
        <w:t>배분 방법론</w:t>
      </w:r>
      <w:r>
        <w:rPr>
          <w:rFonts w:ascii="Malgun Gothic" w:hAnsi="Malgun Gothic" w:eastAsia="맑은 고딕"/>
        </w:rPr>
        <w:t xml:space="preserve"> 개혁을 위한 규칙 변경을 제출</w:t>
      </w:r>
    </w:p>
    <w:p>
      <w:pPr>
        <w:pStyle w:val="ListBullet"/>
      </w:pPr>
      <w:r>
        <w:rPr>
          <w:rFonts w:ascii="Malgun Gothic" w:hAnsi="Malgun Gothic" w:eastAsia="맑은 고딕"/>
        </w:rPr>
        <w:t>2025년 12월, SEC가 개혁된 방법론을 신속 승인</w:t>
      </w:r>
    </w:p>
    <w:p>
      <w:pPr>
        <w:pStyle w:val="ListBullet"/>
      </w:pPr>
      <w:r>
        <w:rPr>
          <w:rFonts w:ascii="Malgun Gothic" w:hAnsi="Malgun Gothic" w:eastAsia="맑은 고딕"/>
        </w:rPr>
        <w:t>새로운 방법론은 스트레스 기반 리스크가 "OCC에 그러한 스트레스 리스크를 부과하는 시장 참가자에게 공정하게 배분"되도록 보장</w:t>
      </w:r>
    </w:p>
    <w:p>
      <w:pPr>
        <w:pStyle w:val="Heading3"/>
      </w:pPr>
      <w:r>
        <w:rPr>
          <w:rFonts w:ascii="Malgun Gothic" w:hAnsi="Malgun Gothic" w:eastAsia="맑은 고딕"/>
        </w:rPr>
        <w:t>9.7 거래량 기록 및 시장 성장 (Volume Records and Market Growth)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2024년:</w:t>
      </w:r>
      <w:r>
        <w:rPr>
          <w:rFonts w:ascii="Malgun Gothic" w:hAnsi="Malgun Gothic" w:eastAsia="맑은 고딕"/>
        </w:rPr>
        <w:t xml:space="preserve"> 122억 옵션 계약 청산 (기록; 전년 대비 +10.6%)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(1월):</w:t>
      </w:r>
      <w:r>
        <w:rPr>
          <w:rFonts w:ascii="Malgun Gothic" w:hAnsi="Malgun Gothic" w:eastAsia="맑은 고딕"/>
        </w:rPr>
        <w:t xml:space="preserve"> 월간 11.6억 계약 (전년 대비 +17.8%)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(4월 4일):</w:t>
      </w:r>
      <w:r>
        <w:rPr>
          <w:rFonts w:ascii="Malgun Gothic" w:hAnsi="Malgun Gothic" w:eastAsia="맑은 고딕"/>
        </w:rPr>
        <w:t xml:space="preserve"> 사상 최초 일일 1억 건 초과 -- 1억 260만 계약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(10월 10일):</w:t>
      </w:r>
      <w:r>
        <w:rPr>
          <w:rFonts w:ascii="Malgun Gothic" w:hAnsi="Malgun Gothic" w:eastAsia="맑은 고딕"/>
        </w:rPr>
        <w:t xml:space="preserve"> 일일 1.1억 계약의 신기록</w:t>
      </w:r>
    </w:p>
    <w:p>
      <w:pPr>
        <w:pStyle w:val="ListBullet"/>
      </w:pPr>
      <w:r>
        <w:rPr>
          <w:rFonts w:ascii="Malgun Gothic" w:hAnsi="Malgun Gothic" w:eastAsia="맑은 고딕"/>
        </w:rPr>
        <w:t>개인투자자 참여, 무수수료 거래 플랫폼, 0DTE 성장, 경제적 불확실성이 주요 동인</w:t>
      </w:r>
    </w:p>
    <w:p>
      <w:r>
        <w:rPr>
          <w:rFonts w:ascii="Malgun Gothic" w:hAnsi="Malgun Gothic" w:eastAsia="맑은 고딕"/>
        </w:rPr>
        <w:t xml:space="preserve">*출처: </w:t>
      </w:r>
      <w:r>
        <w:rPr>
          <w:rFonts w:ascii="Malgun Gothic" w:hAnsi="Malgun Gothic" w:eastAsia="맑은 고딕"/>
          <w:color w:val="0563C1"/>
          <w:u w:val="single"/>
        </w:rPr>
        <w:t>OCC Transformation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Intraday Risk Charge (April 2025)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Approval of STANS/CST Enhancements (January 2025)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Capital Plan Disapproval (2019)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Charges OCC (2023)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Compliance Week -- OCC Penalties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FIA -- OCC Capital Plan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OCC 2024 Volume Release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SEC Clearing Fund Allocation Approval (December 2025)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Cboe Extended Trading Hours FAQ</w:t>
      </w:r>
      <w:r>
        <w:rPr>
          <w:rFonts w:ascii="Malgun Gothic" w:hAnsi="Malgun Gothic" w:eastAsia="맑은 고딕"/>
        </w:rPr>
        <w:t>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KRX 청산과의 비교 (Comparison with KRX Clearing)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OCC (미국)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KRX (한국)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역할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상장 옵션 및 선물의 CCP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 상장 전 상품(주식, 파생상품, 채권)의 CCP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 (NSCC Accord를 통한 별도 기관)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 (한국예탁결제원 -- 별도 기관)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증거금 방법론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STANS (Monte Carlo, 99% ES, 2일 보유기간)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KOSPI 200 옵션: SPAN 유사; 주식: VaR 기반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부도 기준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Cover 2 (최대 두 회원 + 계열사)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Cover 1 [미확인]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SIFMU 상당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 (도드-프랭크법 Title VIII)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금융위원회/금융감독원에 의해 시스템적으로 중요한 기관으로 지정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결제주기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 (옵션 프리미엄, 행사/배정)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 T+2; 파생상품 T+1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소유구조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거래소 소유 (Cboe, NYSE, Nasdaq)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한국거래소의 일부 (정부 지정)</w:t>
            </w:r>
          </w:p>
        </w:tc>
      </w:tr>
    </w:tbl>
    <w:p/>
    <w:p>
      <w:pPr>
        <w:pBdr>
          <w:bottom w:val="single" w:sz="4" w:space="1" w:color="auto"/>
        </w:pBdr>
      </w:pPr>
    </w:p>
    <w:p>
      <w:r>
        <w:rPr>
          <w:rFonts w:ascii="Malgun Gothic" w:hAnsi="Malgun Gothic" w:eastAsia="맑은 고딕"/>
        </w:rPr>
        <w:t>*본 문서는 글로벌 거래소 조사 프로젝트 -- 청산결제 분야의 일부로 작성되었다. 모든 데이터는 인용된 공개 자료에서 수집하였다. [미확인]으로 표시된 항목은 공식 출처의 추가 확인이 필요하다.*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