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[기관 정식 명칭] ([약칭])</w:t>
      </w:r>
    </w:p>
    <w:p>
      <w:pPr>
        <w:ind w:left="720"/>
      </w:pPr>
      <w:r>
        <w:rPr>
          <w:i/>
          <w:sz w:val="18"/>
        </w:rPr>
        <w:t>**최종 수정일:** YYYY-MM-DD</w:t>
      </w:r>
    </w:p>
    <w:p>
      <w:pPr>
        <w:ind w:left="720"/>
      </w:pPr>
      <w:r>
        <w:rPr>
          <w:i/>
          <w:sz w:val="18"/>
        </w:rPr>
        <w:t>**조사 등급:** Tier 1 / Tier 2 / Tier 3</w:t>
      </w:r>
    </w:p>
    <w:p>
      <w:pPr>
        <w:ind w:left="720"/>
      </w:pPr>
      <w:r>
        <w:rPr>
          <w:i/>
          <w:sz w:val="18"/>
        </w:rPr>
        <w:t>**유형:** CCP / CSD / CCP+CSD / Clearing House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정식 명칭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약칭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웹사이트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설립 연도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소재국 / 도시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소유 구조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모회사 / 그룹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감독 기관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CPMI-IOSCO PFMI 준수 여부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QCCP 지위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주요 연혁 (Key Historical Milestones)</w:t>
      </w:r>
    </w:p>
    <w:p>
      <w:pPr>
        <w:pStyle w:val="ListBullet"/>
      </w:pPr>
      <w:r>
        <w:t>YYYY: ...</w:t>
      </w:r>
    </w:p>
    <w:p>
      <w:pPr>
        <w:pStyle w:val="ListBullet"/>
      </w:pPr>
      <w:r>
        <w:t>YYYY: ...</w:t>
      </w:r>
    </w:p>
    <w:p>
      <w:pPr>
        <w:pStyle w:val="Heading2"/>
      </w:pPr>
      <w:r>
        <w:t>2. 청산 모델 (Clearing Model)</w:t>
      </w:r>
    </w:p>
    <w:p>
      <w:pPr>
        <w:pStyle w:val="Heading3"/>
      </w:pPr>
      <w:r>
        <w:t>2.1 CCP 서비스 (CCP Services)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상품군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서비스 설명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미결제약정 / 거래량</w:t>
            </w:r>
          </w:p>
        </w:tc>
      </w:tr>
      <w:tr>
        <w:tc>
          <w:tcPr>
            <w:tcW w:type="dxa" w:w="2880"/>
          </w:tcPr>
          <w:p>
            <w:r>
              <w:t>주식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채권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장내 파생상품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장외 파생상품(OTC Derivatives)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기타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2.2 채무인수 절차 (Novation Process)</w:t>
      </w:r>
    </w:p>
    <w:p>
      <w:r>
        <w:t>-</w:t>
      </w:r>
    </w:p>
    <w:p>
      <w:pPr>
        <w:pStyle w:val="Heading3"/>
      </w:pPr>
      <w:r>
        <w:t>2.3 차감결제 (Netting)</w:t>
      </w:r>
    </w:p>
    <w:p>
      <w:pPr>
        <w:pStyle w:val="ListBullet"/>
      </w:pPr>
      <w:r>
        <w:t>다자간 차감결제 / 쌍무 차감결제</w:t>
      </w:r>
    </w:p>
    <w:p>
      <w:pPr>
        <w:pStyle w:val="ListBullet"/>
      </w:pPr>
      <w:r>
        <w:t>차감 효율성 비율:</w:t>
      </w:r>
    </w:p>
    <w:p>
      <w:pPr>
        <w:pStyle w:val="Heading3"/>
      </w:pPr>
      <w:r>
        <w:t>2.4 청산 회원 구조 (Clearing Membership)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자격 요건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회원 수</w:t>
            </w:r>
          </w:p>
        </w:tc>
      </w:tr>
      <w:tr>
        <w:tc>
          <w:tcPr>
            <w:tcW w:type="dxa" w:w="2880"/>
          </w:tcPr>
          <w:p>
            <w:r>
              <w:t>총괄청산회원 (GCM)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직접청산회원 (DCM)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비청산회원 (NCM)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 리스크 관리 (Risk Management)</w:t>
      </w:r>
    </w:p>
    <w:p>
      <w:pPr>
        <w:pStyle w:val="Heading3"/>
      </w:pPr>
      <w:r>
        <w:t>3.1 증거금 체계 (Margin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구성 요소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산출 방법론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세부 사항</w:t>
            </w:r>
          </w:p>
        </w:tc>
      </w:tr>
      <w:tr>
        <w:tc>
          <w:tcPr>
            <w:tcW w:type="dxa" w:w="2880"/>
          </w:tcPr>
          <w:p>
            <w:r>
              <w:t>개시증거금(Initial Margin)</w:t>
            </w:r>
          </w:p>
        </w:tc>
        <w:tc>
          <w:tcPr>
            <w:tcW w:type="dxa" w:w="2880"/>
          </w:tcPr>
          <w:p>
            <w:r>
              <w:t>SPAN / PRISMA / VaR / Other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변동증거금(Variation Margin)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추가증거금(Additional Margin)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집중위험증거금(Concentration Margin)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3.2 증거금 납부 일정 (Margin Call Schedule)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시점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결제 방법</w:t>
            </w:r>
          </w:p>
        </w:tc>
      </w:tr>
      <w:tr>
        <w:tc>
          <w:tcPr>
            <w:tcW w:type="dxa" w:w="2880"/>
          </w:tcPr>
          <w:p>
            <w:r>
              <w:t>정기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장중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수시 / 긴급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3.3 부도 손실부담 체계 (Default Waterfall)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규모 (대략)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부도 회원 증거금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부도 회원 공동기금 출연금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CCP 자기자본 (Skin-in-the-Game, SITG)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비부도 회원 공동기금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CCP 추가 자본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추가 납부 의무(Assessment powers) / 기타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3.4 공동기금 / 보증기금 (Default Fund / Guarantee Fund)</w:t>
      </w:r>
    </w:p>
    <w:p>
      <w:pPr>
        <w:pStyle w:val="ListBullet"/>
      </w:pPr>
      <w:r>
        <w:t>총 규모:</w:t>
      </w:r>
    </w:p>
    <w:p>
      <w:pPr>
        <w:pStyle w:val="ListBullet"/>
      </w:pPr>
      <w:r>
        <w:t>규모 산정 방법론:</w:t>
      </w:r>
    </w:p>
    <w:p>
      <w:pPr>
        <w:pStyle w:val="ListBullet"/>
      </w:pPr>
      <w:r>
        <w:t>출연금 산정 방법론:</w:t>
      </w:r>
    </w:p>
    <w:p>
      <w:pPr>
        <w:pStyle w:val="ListBullet"/>
      </w:pPr>
      <w:r>
        <w:t>재검토 주기:</w:t>
      </w:r>
    </w:p>
    <w:p>
      <w:pPr>
        <w:pStyle w:val="Heading3"/>
      </w:pPr>
      <w:r>
        <w:t>3.5 스트레스 테스트 및 백테스트 (Stress Testing &amp; Back-testing)</w:t>
      </w:r>
    </w:p>
    <w:p>
      <w:pPr>
        <w:pStyle w:val="ListBullet"/>
      </w:pPr>
      <w:r>
        <w:t>스트레스 테스트 방법론:</w:t>
      </w:r>
    </w:p>
    <w:p>
      <w:pPr>
        <w:pStyle w:val="ListBullet"/>
      </w:pPr>
      <w:r>
        <w:t>사용 시나리오:</w:t>
      </w:r>
    </w:p>
    <w:p>
      <w:pPr>
        <w:pStyle w:val="ListBullet"/>
      </w:pPr>
      <w:r>
        <w:t>백테스트 주기:</w:t>
      </w:r>
    </w:p>
    <w:p>
      <w:pPr>
        <w:pStyle w:val="ListBullet"/>
      </w:pPr>
      <w:r>
        <w:t>Cover 1 / Cover 2 기준:</w:t>
      </w:r>
    </w:p>
    <w:p>
      <w:pPr>
        <w:pStyle w:val="Heading3"/>
      </w:pPr>
      <w:r>
        <w:t>3.6 회복 및 정리 (Recovery &amp; Resolution)</w:t>
      </w:r>
    </w:p>
    <w:p>
      <w:pPr>
        <w:pStyle w:val="ListBullet"/>
      </w:pPr>
      <w:r>
        <w:t>회복 수단:</w:t>
      </w:r>
    </w:p>
    <w:p>
      <w:pPr>
        <w:pStyle w:val="ListBullet"/>
        <w:ind w:left="360"/>
      </w:pPr>
      <w:r>
        <w:t>변동증거금 삭감(Variation Margin Haircutting, VMGH)</w:t>
      </w:r>
    </w:p>
    <w:p>
      <w:pPr>
        <w:pStyle w:val="ListBullet"/>
        <w:ind w:left="360"/>
      </w:pPr>
      <w:r>
        <w:t>부분 강제청산(Partial tear-up)</w:t>
      </w:r>
    </w:p>
    <w:p>
      <w:pPr>
        <w:pStyle w:val="ListBullet"/>
        <w:ind w:left="360"/>
      </w:pPr>
      <w:r>
        <w:t>추가 납부 의무(Assessment powers)</w:t>
      </w:r>
    </w:p>
    <w:p>
      <w:pPr>
        <w:pStyle w:val="ListBullet"/>
        <w:ind w:left="360"/>
      </w:pPr>
      <w:r>
        <w:t>기타</w:t>
      </w:r>
    </w:p>
    <w:p>
      <w:pPr>
        <w:pStyle w:val="ListBullet"/>
      </w:pPr>
      <w:r>
        <w:t>정리 당국:</w:t>
      </w:r>
    </w:p>
    <w:p>
      <w:pPr>
        <w:pStyle w:val="ListBullet"/>
      </w:pPr>
      <w:r>
        <w:t>정리 계획 상태:</w:t>
      </w:r>
    </w:p>
    <w:p>
      <w:pPr>
        <w:pStyle w:val="Heading2"/>
      </w:pPr>
      <w:r>
        <w:t>4. 결제 (Settlement)</w:t>
      </w:r>
    </w:p>
    <w:p>
      <w:pPr>
        <w:pStyle w:val="Heading3"/>
      </w:pPr>
      <w:r>
        <w:t>4.1 결제 주기 (Settlement Cycle)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상품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결제 주기</w:t>
            </w:r>
          </w:p>
        </w:tc>
      </w:tr>
      <w:tr>
        <w:tc>
          <w:tcPr>
            <w:tcW w:type="dxa" w:w="4320"/>
          </w:tcPr>
          <w:p>
            <w:r>
              <w:t>주식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국채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회사채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파생상품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4.2 DVP 모델 (DVP Model)</w:t>
      </w:r>
    </w:p>
    <w:p>
      <w:pPr>
        <w:pStyle w:val="ListBullet"/>
      </w:pPr>
      <w:r>
        <w:t>BIS DVP 모델: 1 / 2 / 3</w:t>
      </w:r>
    </w:p>
    <w:p>
      <w:pPr>
        <w:pStyle w:val="ListBullet"/>
      </w:pPr>
      <w:r>
        <w:t>설명:</w:t>
      </w:r>
    </w:p>
    <w:p>
      <w:pPr>
        <w:pStyle w:val="Heading3"/>
      </w:pPr>
      <w:r>
        <w:t>4.3 결제 완결성 (Settlement Finality)</w:t>
      </w:r>
    </w:p>
    <w:p>
      <w:pPr>
        <w:pStyle w:val="ListBullet"/>
      </w:pPr>
      <w:r>
        <w:t>법적 근거:</w:t>
      </w:r>
    </w:p>
    <w:p>
      <w:pPr>
        <w:pStyle w:val="ListBullet"/>
      </w:pPr>
      <w:r>
        <w:t>완결 시점:</w:t>
      </w:r>
    </w:p>
    <w:p>
      <w:pPr>
        <w:pStyle w:val="ListBullet"/>
      </w:pPr>
      <w:r>
        <w:t>취소불능성:</w:t>
      </w:r>
    </w:p>
    <w:p>
      <w:pPr>
        <w:pStyle w:val="Heading3"/>
      </w:pPr>
      <w:r>
        <w:t>4.4 CSD / 결제 인프라 (CSD / Settlement Infrastructure)</w:t>
      </w:r>
    </w:p>
    <w:p>
      <w:pPr>
        <w:pStyle w:val="ListBullet"/>
      </w:pPr>
      <w:r>
        <w:t>사용 CSD:</w:t>
      </w:r>
    </w:p>
    <w:p>
      <w:pPr>
        <w:pStyle w:val="ListBullet"/>
      </w:pPr>
      <w:r>
        <w:t>증권 계좌:</w:t>
      </w:r>
    </w:p>
    <w:p>
      <w:pPr>
        <w:pStyle w:val="ListBullet"/>
      </w:pPr>
      <w:r>
        <w:t>대금 결제: (중앙은행 자금 / 상업은행 자금)</w:t>
      </w:r>
    </w:p>
    <w:p>
      <w:pPr>
        <w:pStyle w:val="Heading3"/>
      </w:pPr>
      <w:r>
        <w:t>4.5 CSD 연계 (CSD Linkages)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연계 CSD/ICSD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연계 유형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대상 상품</w:t>
            </w:r>
          </w:p>
        </w:tc>
      </w:tr>
    </w:tbl>
    <w:p>
      <w:pPr>
        <w:pStyle w:val="Heading3"/>
      </w:pPr>
      <w:r>
        <w:t>4.6 대차거래 (Securities Lending &amp; Borrowing)</w:t>
      </w:r>
    </w:p>
    <w:p>
      <w:pPr>
        <w:pStyle w:val="ListBullet"/>
      </w:pPr>
      <w:r>
        <w:t>서비스 제공 여부: Yes / No</w:t>
      </w:r>
    </w:p>
    <w:p>
      <w:pPr>
        <w:pStyle w:val="ListBullet"/>
      </w:pPr>
      <w:r>
        <w:t>운용 방식:</w:t>
      </w:r>
    </w:p>
    <w:p>
      <w:pPr>
        <w:pStyle w:val="Heading2"/>
      </w:pPr>
      <w:r>
        <w:t>5. 기술 및 인프라 (Technology &amp; Infrastructure)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시스템 명칭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아키텍처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처리 용량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STP 비율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주요 인터페이스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5.1 인터페이스 프로토콜 (Interface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프로토콜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사용 용도</w:t>
            </w:r>
          </w:p>
        </w:tc>
      </w:tr>
      <w:tr>
        <w:tc>
          <w:tcPr>
            <w:tcW w:type="dxa" w:w="4320"/>
          </w:tcPr>
          <w:p>
            <w:r>
              <w:t>SWIFT (FIN/ISO 15022)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ISO 20022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자체 API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5.2 시스템 복원력 (Resilience)</w:t>
      </w:r>
    </w:p>
    <w:p>
      <w:pPr>
        <w:pStyle w:val="ListBullet"/>
      </w:pPr>
      <w:r>
        <w:t>DR 사이트:</w:t>
      </w:r>
    </w:p>
    <w:p>
      <w:pPr>
        <w:pStyle w:val="ListBullet"/>
      </w:pPr>
      <w:r>
        <w:t>RTO / RPO:</w:t>
      </w:r>
    </w:p>
    <w:p>
      <w:pPr>
        <w:pStyle w:val="ListBullet"/>
      </w:pPr>
      <w:r>
        <w:t>가동률 SLA:</w:t>
      </w:r>
    </w:p>
    <w:p>
      <w:pPr>
        <w:pStyle w:val="Heading2"/>
      </w:pPr>
      <w:r>
        <w:t>6. 규제 체계 (Regulatory Framework)</w:t>
      </w:r>
    </w:p>
    <w:p>
      <w:pPr>
        <w:pStyle w:val="Heading3"/>
      </w:pPr>
      <w:r>
        <w:t>6.1 감독 기관 (Supervising Authority)</w:t>
      </w:r>
    </w:p>
    <w:p>
      <w:pPr>
        <w:pStyle w:val="ListBullet"/>
      </w:pPr>
      <w:r>
        <w:t>주관 기관:</w:t>
      </w:r>
    </w:p>
    <w:p>
      <w:pPr>
        <w:pStyle w:val="ListBullet"/>
      </w:pPr>
      <w:r>
        <w:t>부관 기관 (해당 시):</w:t>
      </w:r>
    </w:p>
    <w:p>
      <w:pPr>
        <w:pStyle w:val="Heading3"/>
      </w:pPr>
      <w:r>
        <w:t>6.2 주요 규정 (Key Regulations)</w:t>
      </w:r>
    </w:p>
    <w:p>
      <w:r>
        <w:t>-</w:t>
      </w:r>
    </w:p>
    <w:p>
      <w:pPr>
        <w:pStyle w:val="Heading3"/>
      </w:pPr>
      <w:r>
        <w:t>6.3 PFMI 준수 현황 (PFMI Compliance)</w:t>
      </w:r>
    </w:p>
    <w:p>
      <w:pPr>
        <w:pStyle w:val="ListBullet"/>
      </w:pPr>
      <w:r>
        <w:t>최종 PFMI 평가일:</w:t>
      </w:r>
    </w:p>
    <w:p>
      <w:pPr>
        <w:pStyle w:val="ListBullet"/>
      </w:pPr>
      <w:r>
        <w:t>주요 평가 결과:</w:t>
      </w:r>
    </w:p>
    <w:p>
      <w:pPr>
        <w:pStyle w:val="Heading3"/>
      </w:pPr>
      <w:r>
        <w:t>6.4 보고 의무 (Reporting Requirements)</w:t>
      </w:r>
    </w:p>
    <w:p>
      <w:pPr>
        <w:pStyle w:val="ListBullet"/>
      </w:pPr>
      <w:r>
        <w:t>거래 보고:</w:t>
      </w:r>
    </w:p>
    <w:p>
      <w:pPr>
        <w:pStyle w:val="ListBullet"/>
      </w:pPr>
      <w:r>
        <w:t>포지션 보고:</w:t>
      </w:r>
    </w:p>
    <w:p>
      <w:pPr>
        <w:pStyle w:val="ListBullet"/>
      </w:pPr>
      <w:r>
        <w:t>공개 정량 공시 (CPMI-IOSCO):</w:t>
      </w:r>
    </w:p>
    <w:p>
      <w:pPr>
        <w:pStyle w:val="Heading2"/>
      </w:pPr>
      <w:r>
        <w:t>7. 상호운용성 (Interoperability)</w:t>
      </w:r>
    </w:p>
    <w:p>
      <w:pPr>
        <w:pStyle w:val="Heading3"/>
      </w:pPr>
      <w:r>
        <w:t>7.1 CCP 상호운용 협정 (CCP Interoperability Arrangements)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상대 CCP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대상 상품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현황</w:t>
            </w:r>
          </w:p>
        </w:tc>
      </w:tr>
    </w:tbl>
    <w:p>
      <w:pPr>
        <w:pStyle w:val="Heading3"/>
      </w:pPr>
      <w:r>
        <w:t>7.2 국경 간 협력 (Cross-border Arrangements)</w:t>
      </w:r>
    </w:p>
    <w:p>
      <w:r>
        <w:t>-</w:t>
      </w:r>
    </w:p>
    <w:p>
      <w:pPr>
        <w:pStyle w:val="Heading2"/>
      </w:pPr>
      <w:r>
        <w:t>8. 수수료 (Fees)</w:t>
      </w:r>
    </w:p>
    <w:p>
      <w:pPr>
        <w:pStyle w:val="Heading3"/>
      </w:pPr>
      <w:r>
        <w:t>8.1 청산 수수료 (Clearing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상품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수수료 구조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요율</w:t>
            </w:r>
          </w:p>
        </w:tc>
      </w:tr>
    </w:tbl>
    <w:p>
      <w:pPr>
        <w:pStyle w:val="Heading3"/>
      </w:pPr>
      <w:r>
        <w:t>8.2 회원 수수료 (Membership Fees)</w:t>
      </w:r>
    </w:p>
    <w:p>
      <w:r>
        <w:t>-</w:t>
      </w:r>
    </w:p>
    <w:p>
      <w:pPr>
        <w:pStyle w:val="Heading2"/>
      </w:pPr>
      <w:r>
        <w:t>9. 최근 동향 (Recent Developments)</w:t>
      </w:r>
    </w:p>
    <w:p>
      <w:pPr>
        <w:pStyle w:val="Heading3"/>
      </w:pPr>
      <w:r>
        <w:t>시스템 업그레이드 (최근 5년) (System Upgrades — Last 5 Years)</w:t>
      </w:r>
    </w:p>
    <w:p>
      <w:r>
        <w:t>-</w:t>
      </w:r>
    </w:p>
    <w:p>
      <w:pPr>
        <w:pStyle w:val="Heading3"/>
      </w:pPr>
      <w:r>
        <w:t>신규 서비스 (New Services)</w:t>
      </w:r>
    </w:p>
    <w:p>
      <w:r>
        <w:t>-</w:t>
      </w:r>
    </w:p>
    <w:p>
      <w:pPr>
        <w:pStyle w:val="Heading3"/>
      </w:pPr>
      <w:r>
        <w:t>규제 변화 (Regulatory Changes)</w:t>
      </w:r>
    </w:p>
    <w:p>
      <w:r>
        <w:t>-</w:t>
      </w:r>
    </w:p>
    <w:p>
      <w:pPr>
        <w:pStyle w:val="Heading3"/>
      </w:pPr>
      <w:r>
        <w:t>전략적 추진 과제 (Strategic Initiatives)</w:t>
      </w:r>
    </w:p>
    <w:p>
      <w:r>
        <w:t>-</w:t>
      </w:r>
    </w:p>
    <w:p>
      <w:pPr>
        <w:pStyle w:val="Heading2"/>
      </w:pPr>
      <w:r>
        <w:t>출처 (Sources)</w:t>
      </w:r>
    </w:p>
    <w:p>
      <w:r>
        <w:t>1.</w:t>
      </w:r>
    </w:p>
    <w:p>
      <w:r>
        <w:t>2.</w:t>
      </w:r>
    </w:p>
    <w:p>
      <w:r>
        <w:t>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