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BSE Ltd (formerly Bombay Stock Exchange)</w:t>
      </w:r>
    </w:p>
    <w:p>
      <w:r>
        <w:rPr>
          <w:i/>
          <w:sz w:val="18"/>
        </w:rPr>
        <w:t>**Last Updated:** 2026-04-06</w:t>
      </w:r>
    </w:p>
    <w:p>
      <w:r>
        <w:rPr>
          <w:i/>
          <w:sz w:val="18"/>
        </w:rPr>
        <w:t>**Research Tier:** Tier 3</w:t>
      </w:r>
    </w:p>
    <w:p>
      <w:r>
        <w:rPr>
          <w:i/>
          <w:sz w:val="18"/>
        </w:rPr>
        <w:t>**Domain:** Equities</w:t>
      </w:r>
    </w:p>
    <w:p>
      <w:r>
        <w:t>────────────────────────────────────────────────────────────</w:t>
      </w:r>
    </w:p>
    <w:p>
      <w:pPr>
        <w:pStyle w:val="Heading2"/>
      </w:pPr>
      <w:r>
        <w:t>1. Overview &amp; Profile</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Official Name</w:t>
            </w:r>
          </w:p>
        </w:tc>
        <w:tc>
          <w:tcPr>
            <w:tcW w:type="dxa" w:w="4320"/>
          </w:tcPr>
          <w:p>
            <w:pPr/>
            <w:r>
              <w:rPr>
                <w:sz w:val="18"/>
              </w:rPr>
              <w:t>BSE Ltd (formerly Bombay Stock Exchange)</w:t>
            </w:r>
          </w:p>
        </w:tc>
      </w:tr>
      <w:tr>
        <w:tc>
          <w:tcPr>
            <w:tcW w:type="dxa" w:w="4320"/>
          </w:tcPr>
          <w:p>
            <w:pPr/>
            <w:r>
              <w:rPr>
                <w:sz w:val="18"/>
              </w:rPr>
              <w:t>Abbreviation</w:t>
            </w:r>
          </w:p>
        </w:tc>
        <w:tc>
          <w:tcPr>
            <w:tcW w:type="dxa" w:w="4320"/>
          </w:tcPr>
          <w:p>
            <w:pPr/>
            <w:r>
              <w:rPr>
                <w:sz w:val="18"/>
              </w:rPr>
              <w:t>BSE</w:t>
            </w:r>
          </w:p>
        </w:tc>
      </w:tr>
      <w:tr>
        <w:tc>
          <w:tcPr>
            <w:tcW w:type="dxa" w:w="4320"/>
          </w:tcPr>
          <w:p>
            <w:pPr/>
            <w:r>
              <w:rPr>
                <w:sz w:val="18"/>
              </w:rPr>
              <w:t>Website</w:t>
            </w:r>
          </w:p>
        </w:tc>
        <w:tc>
          <w:tcPr>
            <w:tcW w:type="dxa" w:w="4320"/>
          </w:tcPr>
          <w:p>
            <w:pPr/>
            <w:r>
              <w:rPr>
                <w:sz w:val="18"/>
              </w:rPr>
              <w:t>https://www.bseindia.com</w:t>
            </w:r>
          </w:p>
        </w:tc>
      </w:tr>
      <w:tr>
        <w:tc>
          <w:tcPr>
            <w:tcW w:type="dxa" w:w="4320"/>
          </w:tcPr>
          <w:p>
            <w:pPr/>
            <w:r>
              <w:rPr>
                <w:sz w:val="18"/>
              </w:rPr>
              <w:t>Year Established</w:t>
            </w:r>
          </w:p>
        </w:tc>
        <w:tc>
          <w:tcPr>
            <w:tcW w:type="dxa" w:w="4320"/>
          </w:tcPr>
          <w:p>
            <w:pPr/>
            <w:r>
              <w:rPr>
                <w:sz w:val="18"/>
              </w:rPr>
              <w:t>1875 (Asia's oldest stock exchange)</w:t>
            </w:r>
          </w:p>
        </w:tc>
      </w:tr>
      <w:tr>
        <w:tc>
          <w:tcPr>
            <w:tcW w:type="dxa" w:w="4320"/>
          </w:tcPr>
          <w:p>
            <w:pPr/>
            <w:r>
              <w:rPr>
                <w:sz w:val="18"/>
              </w:rPr>
              <w:t>Country / City</w:t>
            </w:r>
          </w:p>
        </w:tc>
        <w:tc>
          <w:tcPr>
            <w:tcW w:type="dxa" w:w="4320"/>
          </w:tcPr>
          <w:p>
            <w:pPr/>
            <w:r>
              <w:rPr>
                <w:sz w:val="18"/>
              </w:rPr>
              <w:t>India / Mumbai, Maharashtra (Phiroze Jeejeebhoy Towers, Dalal Street)</w:t>
            </w:r>
          </w:p>
        </w:tc>
      </w:tr>
      <w:tr>
        <w:tc>
          <w:tcPr>
            <w:tcW w:type="dxa" w:w="4320"/>
          </w:tcPr>
          <w:p>
            <w:pPr/>
            <w:r>
              <w:rPr>
                <w:sz w:val="18"/>
              </w:rPr>
              <w:t>Ownership Structure</w:t>
            </w:r>
          </w:p>
        </w:tc>
        <w:tc>
          <w:tcPr>
            <w:tcW w:type="dxa" w:w="4320"/>
          </w:tcPr>
          <w:p>
            <w:pPr/>
            <w:r>
              <w:rPr>
                <w:sz w:val="18"/>
              </w:rPr>
              <w:t>Publicly listed on NSE (ticker: BSE); demutualized in 2005 (effective 2007), IPO on NSE in February 2017</w:t>
            </w:r>
          </w:p>
        </w:tc>
      </w:tr>
      <w:tr>
        <w:tc>
          <w:tcPr>
            <w:tcW w:type="dxa" w:w="4320"/>
          </w:tcPr>
          <w:p>
            <w:pPr/>
            <w:r>
              <w:rPr>
                <w:sz w:val="18"/>
              </w:rPr>
              <w:t>Parent Company / Group</w:t>
            </w:r>
          </w:p>
        </w:tc>
        <w:tc>
          <w:tcPr>
            <w:tcW w:type="dxa" w:w="4320"/>
          </w:tcPr>
          <w:p>
            <w:pPr/>
            <w:r>
              <w:rPr>
                <w:sz w:val="18"/>
              </w:rPr>
              <w:t>BSE Ltd (self-listed holding company); key subsidiaries include Indian Clearing Corporation Limited (ICCL), BSE Investments Ltd, and BSE Institute Ltd</w:t>
            </w:r>
          </w:p>
        </w:tc>
      </w:tr>
      <w:tr>
        <w:tc>
          <w:tcPr>
            <w:tcW w:type="dxa" w:w="4320"/>
          </w:tcPr>
          <w:p>
            <w:pPr/>
            <w:r>
              <w:rPr>
                <w:sz w:val="18"/>
              </w:rPr>
              <w:t>Regulatory Authority</w:t>
            </w:r>
          </w:p>
        </w:tc>
        <w:tc>
          <w:tcPr>
            <w:tcW w:type="dxa" w:w="4320"/>
          </w:tcPr>
          <w:p>
            <w:pPr/>
            <w:r>
              <w:rPr>
                <w:sz w:val="18"/>
              </w:rPr>
              <w:t>Securities and Exchange Board of India (SEBI)</w:t>
            </w:r>
          </w:p>
        </w:tc>
      </w:tr>
      <w:tr>
        <w:tc>
          <w:tcPr>
            <w:tcW w:type="dxa" w:w="4320"/>
          </w:tcPr>
          <w:p>
            <w:pPr/>
            <w:r>
              <w:rPr>
                <w:sz w:val="18"/>
              </w:rPr>
              <w:t>Market Capitalization (listed companies)</w:t>
            </w:r>
          </w:p>
        </w:tc>
        <w:tc>
          <w:tcPr>
            <w:tcW w:type="dxa" w:w="4320"/>
          </w:tcPr>
          <w:p>
            <w:pPr/>
            <w:r>
              <w:rPr>
                <w:sz w:val="18"/>
              </w:rPr>
              <w:t>~USD 5+ trillion (approximately INR 46.5 lakh crore, excluding DVRs/REITs/InVITs/ETFs) as of early 2026 â 6th largest globally by market capitalization</w:t>
            </w:r>
          </w:p>
        </w:tc>
      </w:tr>
      <w:tr>
        <w:tc>
          <w:tcPr>
            <w:tcW w:type="dxa" w:w="4320"/>
          </w:tcPr>
          <w:p>
            <w:pPr/>
            <w:r>
              <w:rPr>
                <w:sz w:val="18"/>
              </w:rPr>
              <w:t>Total Listed Instruments</w:t>
            </w:r>
          </w:p>
        </w:tc>
        <w:tc>
          <w:tcPr>
            <w:tcW w:type="dxa" w:w="4320"/>
          </w:tcPr>
          <w:p>
            <w:pPr/>
            <w:r>
              <w:rPr>
                <w:sz w:val="18"/>
              </w:rPr>
              <w:t>5,936 listed companies as of February 2026, spanning banking, IT, energy, pharma, consumer goods, automobiles, and financial services</w:t>
            </w:r>
          </w:p>
        </w:tc>
      </w:tr>
      <w:tr>
        <w:tc>
          <w:tcPr>
            <w:tcW w:type="dxa" w:w="4320"/>
          </w:tcPr>
          <w:p>
            <w:pPr/>
            <w:r>
              <w:rPr>
                <w:sz w:val="18"/>
              </w:rPr>
              <w:t>Average Daily Trading Volume</w:t>
            </w:r>
          </w:p>
        </w:tc>
        <w:tc>
          <w:tcPr>
            <w:tcW w:type="dxa" w:w="4320"/>
          </w:tcPr>
          <w:p>
            <w:pPr/>
            <w:r>
              <w:rPr>
                <w:sz w:val="18"/>
              </w:rPr>
              <w:t>Equity cash segment ADT relatively modest compared to NSE (BSE commands a smaller share of equity cash turnover); derivatives segment has seen significant growth [unverified â specific 2025-26 ADT figures not confirmed]</w:t>
            </w:r>
          </w:p>
        </w:tc>
      </w:tr>
      <w:tr>
        <w:tc>
          <w:tcPr>
            <w:tcW w:type="dxa" w:w="4320"/>
          </w:tcPr>
          <w:p>
            <w:pPr/>
            <w:r>
              <w:rPr>
                <w:sz w:val="18"/>
              </w:rPr>
              <w:t>Average Daily Trading Value</w:t>
            </w:r>
          </w:p>
        </w:tc>
        <w:tc>
          <w:tcPr>
            <w:tcW w:type="dxa" w:w="4320"/>
          </w:tcPr>
          <w:p>
            <w:pPr/>
            <w:r>
              <w:rPr>
                <w:sz w:val="18"/>
              </w:rPr>
              <w:t>Not independently confirmed for equity cash segment in 2025-26; BSE's revenue strength is increasingly driven by equity derivatives, transaction charges, and listing fees [unverified]</w:t>
            </w:r>
          </w:p>
        </w:tc>
      </w:tr>
    </w:tbl>
    <w:p/>
    <w:p>
      <w:pPr>
        <w:pStyle w:val="Heading3"/>
      </w:pPr>
      <w:r>
        <w:t>Key Historical Milestones</w:t>
      </w:r>
    </w:p>
    <w:p>
      <w:pPr>
        <w:pStyle w:val="ListBullet"/>
      </w:pPr>
      <w:r>
        <w:t>1875: "The Native Share &amp; Stock Brokers' Association" established under a banyan tree by Premchand Roychand and other brokers â Asia's first stock exchange</w:t>
      </w:r>
    </w:p>
    <w:p>
      <w:pPr>
        <w:pStyle w:val="ListBullet"/>
      </w:pPr>
      <w:r>
        <w:t>1928: Association moves to its current location on Dalal Street, Mumbai</w:t>
      </w:r>
    </w:p>
    <w:p>
      <w:pPr>
        <w:pStyle w:val="ListBullet"/>
      </w:pPr>
      <w:r>
        <w:t>1957: BSE recognized as a stock exchange under the Securities Contracts (Regulation) Act, 1956 (SCRA) â the first exchange in India to receive permanent recognition from the Government of India</w:t>
      </w:r>
    </w:p>
    <w:p>
      <w:pPr>
        <w:pStyle w:val="ListBullet"/>
      </w:pPr>
      <w:r>
        <w:t>1986: BSE introduces the S&amp;P BSE SENSEX (Sensitive Index), tracking 30 prominent stocks, becoming India's benchmark equity index (base year: 1978-79 = 100)</w:t>
      </w:r>
    </w:p>
    <w:p>
      <w:pPr>
        <w:pStyle w:val="ListBullet"/>
      </w:pPr>
      <w:r>
        <w:t>1995: BSE launches BOLT (BSE On-Line Trading System), transitioning from open-outcry floor trading to screen-based electronic trading</w:t>
      </w:r>
    </w:p>
    <w:p>
      <w:pPr>
        <w:pStyle w:val="ListBullet"/>
      </w:pPr>
      <w:r>
        <w:t>2000: BSE shifts to a T+5 rolling settlement cycle; subsequently shortened over the years</w:t>
      </w:r>
    </w:p>
    <w:p>
      <w:pPr>
        <w:pStyle w:val="ListBullet"/>
      </w:pPr>
      <w:r>
        <w:t>2005: BSE (Corporatisation and Demutualisation) Scheme notified by SEBI</w:t>
      </w:r>
    </w:p>
    <w:p>
      <w:pPr>
        <w:pStyle w:val="ListBullet"/>
      </w:pPr>
      <w:r>
        <w:t>2007 (May 19): BSE officially demutualized and corporatized, transforming from a broker-owned association to a shareholder-owned company</w:t>
      </w:r>
    </w:p>
    <w:p>
      <w:pPr>
        <w:pStyle w:val="ListBullet"/>
      </w:pPr>
      <w:r>
        <w:t>2013 (November): BOLT Plus platform launched for equity derivatives, based on Deutsche Borse's T7 architecture</w:t>
      </w:r>
    </w:p>
    <w:p>
      <w:pPr>
        <w:pStyle w:val="ListBullet"/>
      </w:pPr>
      <w:r>
        <w:t>2014 (April 7): BOLT Plus extended to equity cash segment, replacing the legacy BOLT system</w:t>
      </w:r>
    </w:p>
    <w:p>
      <w:pPr>
        <w:pStyle w:val="ListBullet"/>
      </w:pPr>
      <w:r>
        <w:t>2017 (February 3): BSE lists on the National Stock Exchange (NSE) via IPO at INR 806 per share; debut at INR 1,085 (+33%)</w:t>
      </w:r>
    </w:p>
    <w:p>
      <w:pPr>
        <w:pStyle w:val="ListBullet"/>
      </w:pPr>
      <w:r>
        <w:t>2018 (October): BSE becomes first Indian exchange to launch commodity derivatives (gold and silver)</w:t>
      </w:r>
    </w:p>
    <w:p>
      <w:pPr>
        <w:pStyle w:val="ListBullet"/>
      </w:pPr>
      <w:r>
        <w:t>2022 (October): BSE launches Electronic Gold Receipts (EGR) platform</w:t>
      </w:r>
    </w:p>
    <w:p>
      <w:pPr>
        <w:pStyle w:val="ListBullet"/>
      </w:pPr>
      <w:r>
        <w:t>2023: India transitions to T+1 settlement cycle (completed January 2023), among the first major markets globally</w:t>
      </w:r>
    </w:p>
    <w:p>
      <w:pPr>
        <w:pStyle w:val="ListBullet"/>
      </w:pPr>
      <w:r>
        <w:t>2025: BSE celebrated 150th anniversary; Sensex crossed 80,000 milestone; Securities Markets Code 2025 introduced in Parliament to consolidate SCRA, SEBI Act, and Depositories Act</w:t>
      </w:r>
    </w:p>
    <w:p>
      <w:r>
        <w:t>────────────────────────────────────────────────────────────</w:t>
      </w:r>
    </w:p>
    <w:p>
      <w:pPr>
        <w:pStyle w:val="Heading2"/>
      </w:pPr>
      <w:r>
        <w:t>2. Market Structure</w:t>
      </w:r>
    </w:p>
    <w:p>
      <w:pPr>
        <w:pStyle w:val="Heading3"/>
      </w:pPr>
      <w:r>
        <w:t>2.1 Market Segments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Segment</w:t>
            </w:r>
          </w:p>
        </w:tc>
        <w:tc>
          <w:tcPr>
            <w:tcW w:type="dxa" w:w="2880"/>
          </w:tcPr>
          <w:p>
            <w:pPr/>
            <w:r>
              <w:rPr>
                <w:b/>
                <w:sz w:val="18"/>
              </w:rPr>
              <w:t>Description</w:t>
            </w:r>
          </w:p>
        </w:tc>
        <w:tc>
          <w:tcPr>
            <w:tcW w:type="dxa" w:w="2880"/>
          </w:tcPr>
          <w:p>
            <w:pPr/>
            <w:r>
              <w:rPr>
                <w:b/>
                <w:sz w:val="18"/>
              </w:rPr>
              <w:t>Listing Requirements (Summary)</w:t>
            </w:r>
          </w:p>
        </w:tc>
      </w:tr>
      <w:tr>
        <w:tc>
          <w:tcPr>
            <w:tcW w:type="dxa" w:w="2880"/>
          </w:tcPr>
          <w:p>
            <w:pPr/>
            <w:r>
              <w:rPr>
                <w:sz w:val="18"/>
              </w:rPr>
              <w:t>**Main Board (Equity)**</w:t>
            </w:r>
          </w:p>
        </w:tc>
        <w:tc>
          <w:tcPr>
            <w:tcW w:type="dxa" w:w="2880"/>
          </w:tcPr>
          <w:p>
            <w:pPr/>
            <w:r>
              <w:rPr>
                <w:sz w:val="18"/>
              </w:rPr>
              <w:t>Primary market for established companies; vast majority of market cap and trading</w:t>
            </w:r>
          </w:p>
        </w:tc>
        <w:tc>
          <w:tcPr>
            <w:tcW w:type="dxa" w:w="2880"/>
          </w:tcPr>
          <w:p>
            <w:pPr/>
            <w:r>
              <w:rPr>
                <w:sz w:val="18"/>
              </w:rPr>
              <w:t>Minimum post-issue paid-up capital INR 10 crore; minimum issue size INR 10 crore; minimum market cap INR 25 crore; average operating profits &gt;= INR 15 crore over 3 years; net tangible assets &gt;= INR 3 crore; net worth &gt;= INR 1 crore; 25% minimum public float</w:t>
            </w:r>
          </w:p>
        </w:tc>
      </w:tr>
      <w:tr>
        <w:tc>
          <w:tcPr>
            <w:tcW w:type="dxa" w:w="2880"/>
          </w:tcPr>
          <w:p>
            <w:pPr/>
            <w:r>
              <w:rPr>
                <w:sz w:val="18"/>
              </w:rPr>
              <w:t>**BSE SME Platform**</w:t>
            </w:r>
          </w:p>
        </w:tc>
        <w:tc>
          <w:tcPr>
            <w:tcW w:type="dxa" w:w="2880"/>
          </w:tcPr>
          <w:p>
            <w:pPr/>
            <w:r>
              <w:rPr>
                <w:sz w:val="18"/>
              </w:rPr>
              <w:t>Dedicated board for small and medium enterprises; lower entry thresholds</w:t>
            </w:r>
          </w:p>
        </w:tc>
        <w:tc>
          <w:tcPr>
            <w:tcW w:type="dxa" w:w="2880"/>
          </w:tcPr>
          <w:p>
            <w:pPr/>
            <w:r>
              <w:rPr>
                <w:sz w:val="18"/>
              </w:rPr>
              <w:t>Post-issue paid-up capital up to INR 25 crore; net worth &gt;= INR 1 crore for 2 preceding years; net tangible assets &gt;= INR 3 crore; 3-year track record; listing fee INR 50,000</w:t>
            </w:r>
          </w:p>
        </w:tc>
      </w:tr>
      <w:tr>
        <w:tc>
          <w:tcPr>
            <w:tcW w:type="dxa" w:w="2880"/>
          </w:tcPr>
          <w:p>
            <w:pPr/>
            <w:r>
              <w:rPr>
                <w:sz w:val="18"/>
              </w:rPr>
              <w:t>**Equity Derivatives**</w:t>
            </w:r>
          </w:p>
        </w:tc>
        <w:tc>
          <w:tcPr>
            <w:tcW w:type="dxa" w:w="2880"/>
          </w:tcPr>
          <w:p>
            <w:pPr/>
            <w:r>
              <w:rPr>
                <w:sz w:val="18"/>
              </w:rPr>
              <w:t>Index and stock futures/options (F&amp;O)</w:t>
            </w:r>
          </w:p>
        </w:tc>
        <w:tc>
          <w:tcPr>
            <w:tcW w:type="dxa" w:w="2880"/>
          </w:tcPr>
          <w:p>
            <w:pPr/>
            <w:r>
              <w:rPr>
                <w:sz w:val="18"/>
              </w:rPr>
              <w:t>SEBI-approved contracts; underlying must meet liquidity and market cap criteria</w:t>
            </w:r>
          </w:p>
        </w:tc>
      </w:tr>
      <w:tr>
        <w:tc>
          <w:tcPr>
            <w:tcW w:type="dxa" w:w="2880"/>
          </w:tcPr>
          <w:p>
            <w:pPr/>
            <w:r>
              <w:rPr>
                <w:sz w:val="18"/>
              </w:rPr>
              <w:t>**Currency Derivatives**</w:t>
            </w:r>
          </w:p>
        </w:tc>
        <w:tc>
          <w:tcPr>
            <w:tcW w:type="dxa" w:w="2880"/>
          </w:tcPr>
          <w:p>
            <w:pPr/>
            <w:r>
              <w:rPr>
                <w:sz w:val="18"/>
              </w:rPr>
              <w:t>Currency futures and options (USD/INR, EUR/INR, GBP/INR, JPY/INR)</w:t>
            </w:r>
          </w:p>
        </w:tc>
        <w:tc>
          <w:tcPr>
            <w:tcW w:type="dxa" w:w="2880"/>
          </w:tcPr>
          <w:p>
            <w:pPr/>
            <w:r>
              <w:rPr>
                <w:sz w:val="18"/>
              </w:rPr>
              <w:t>SEBI/RBI jointly regulated</w:t>
            </w:r>
          </w:p>
        </w:tc>
      </w:tr>
      <w:tr>
        <w:tc>
          <w:tcPr>
            <w:tcW w:type="dxa" w:w="2880"/>
          </w:tcPr>
          <w:p>
            <w:pPr/>
            <w:r>
              <w:rPr>
                <w:sz w:val="18"/>
              </w:rPr>
              <w:t>**Commodity Derivatives**</w:t>
            </w:r>
          </w:p>
        </w:tc>
        <w:tc>
          <w:tcPr>
            <w:tcW w:type="dxa" w:w="2880"/>
          </w:tcPr>
          <w:p>
            <w:pPr/>
            <w:r>
              <w:rPr>
                <w:sz w:val="18"/>
              </w:rPr>
              <w:t>Commodity futures (gold, silver, etc.)</w:t>
            </w:r>
          </w:p>
        </w:tc>
        <w:tc>
          <w:tcPr>
            <w:tcW w:type="dxa" w:w="2880"/>
          </w:tcPr>
          <w:p>
            <w:pPr/>
            <w:r>
              <w:rPr>
                <w:sz w:val="18"/>
              </w:rPr>
              <w:t>Launched October 2018; regulated by SEBI</w:t>
            </w:r>
          </w:p>
        </w:tc>
      </w:tr>
      <w:tr>
        <w:tc>
          <w:tcPr>
            <w:tcW w:type="dxa" w:w="2880"/>
          </w:tcPr>
          <w:p>
            <w:pPr/>
            <w:r>
              <w:rPr>
                <w:sz w:val="18"/>
              </w:rPr>
              <w:t>**Debt Segment**</w:t>
            </w:r>
          </w:p>
        </w:tc>
        <w:tc>
          <w:tcPr>
            <w:tcW w:type="dxa" w:w="2880"/>
          </w:tcPr>
          <w:p>
            <w:pPr/>
            <w:r>
              <w:rPr>
                <w:sz w:val="18"/>
              </w:rPr>
              <w:t>Corporate bonds, government securities, commercial paper</w:t>
            </w:r>
          </w:p>
        </w:tc>
        <w:tc>
          <w:tcPr>
            <w:tcW w:type="dxa" w:w="2880"/>
          </w:tcPr>
          <w:p>
            <w:pPr/>
            <w:r>
              <w:rPr>
                <w:sz w:val="18"/>
              </w:rPr>
              <w:t>Separate listing and trading framework</w:t>
            </w:r>
          </w:p>
        </w:tc>
      </w:tr>
      <w:tr>
        <w:tc>
          <w:tcPr>
            <w:tcW w:type="dxa" w:w="2880"/>
          </w:tcPr>
          <w:p>
            <w:pPr/>
            <w:r>
              <w:rPr>
                <w:sz w:val="18"/>
              </w:rPr>
              <w:t>**Mutual Fund Platform (BSE StAR MF)**</w:t>
            </w:r>
          </w:p>
        </w:tc>
        <w:tc>
          <w:tcPr>
            <w:tcW w:type="dxa" w:w="2880"/>
          </w:tcPr>
          <w:p>
            <w:pPr/>
            <w:r>
              <w:rPr>
                <w:sz w:val="18"/>
              </w:rPr>
              <w:t>Electronic platform for mutual fund transactions</w:t>
            </w:r>
          </w:p>
        </w:tc>
        <w:tc>
          <w:tcPr>
            <w:tcW w:type="dxa" w:w="2880"/>
          </w:tcPr>
          <w:p>
            <w:pPr/>
            <w:r>
              <w:rPr>
                <w:sz w:val="18"/>
              </w:rPr>
              <w:t>Distributors and direct investors; one of India's largest MF distribution platforms</w:t>
            </w:r>
          </w:p>
        </w:tc>
      </w:tr>
    </w:tbl>
    <w:p/>
    <w:p>
      <w:pPr>
        <w:pStyle w:val="Heading3"/>
      </w:pPr>
      <w:r>
        <w:t>Stock Classification Groups</w:t>
      </w:r>
    </w:p>
    <w:p>
      <w:r>
        <w:t>BSE classifies listed securities into groups for trading and settlement purposes: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Group</w:t>
            </w:r>
          </w:p>
        </w:tc>
        <w:tc>
          <w:tcPr>
            <w:tcW w:type="dxa" w:w="4320"/>
          </w:tcPr>
          <w:p>
            <w:pPr/>
            <w:r>
              <w:rPr>
                <w:b/>
                <w:sz w:val="18"/>
              </w:rPr>
              <w:t>Description</w:t>
            </w:r>
          </w:p>
        </w:tc>
      </w:tr>
      <w:tr>
        <w:tc>
          <w:tcPr>
            <w:tcW w:type="dxa" w:w="4320"/>
          </w:tcPr>
          <w:p>
            <w:pPr/>
            <w:r>
              <w:rPr>
                <w:sz w:val="18"/>
              </w:rPr>
              <w:t>**A**</w:t>
            </w:r>
          </w:p>
        </w:tc>
        <w:tc>
          <w:tcPr>
            <w:tcW w:type="dxa" w:w="4320"/>
          </w:tcPr>
          <w:p>
            <w:pPr/>
            <w:r>
              <w:rPr>
                <w:sz w:val="18"/>
              </w:rPr>
              <w:t>Most liquid, actively traded stocks; top ~200 companies by market cap, turnover, and trading frequency; must trade &gt;= 98% of trading days; normal rolling settlement</w:t>
            </w:r>
          </w:p>
        </w:tc>
      </w:tr>
      <w:tr>
        <w:tc>
          <w:tcPr>
            <w:tcW w:type="dxa" w:w="4320"/>
          </w:tcPr>
          <w:p>
            <w:pPr/>
            <w:r>
              <w:rPr>
                <w:sz w:val="18"/>
              </w:rPr>
              <w:t>**B**</w:t>
            </w:r>
          </w:p>
        </w:tc>
        <w:tc>
          <w:tcPr>
            <w:tcW w:type="dxa" w:w="4320"/>
          </w:tcPr>
          <w:p>
            <w:pPr/>
            <w:r>
              <w:rPr>
                <w:sz w:val="18"/>
              </w:rPr>
              <w:t>Stocks not qualifying for Group A; regular rolling settlement with average trading volumes</w:t>
            </w:r>
          </w:p>
        </w:tc>
      </w:tr>
      <w:tr>
        <w:tc>
          <w:tcPr>
            <w:tcW w:type="dxa" w:w="4320"/>
          </w:tcPr>
          <w:p>
            <w:pPr/>
            <w:r>
              <w:rPr>
                <w:sz w:val="18"/>
              </w:rPr>
              <w:t>**T**</w:t>
            </w:r>
          </w:p>
        </w:tc>
        <w:tc>
          <w:tcPr>
            <w:tcW w:type="dxa" w:w="4320"/>
          </w:tcPr>
          <w:p>
            <w:pPr/>
            <w:r>
              <w:rPr>
                <w:sz w:val="18"/>
              </w:rPr>
              <w:t>Trade-to-Trade settlement; intraday trading not permitted; applied to illiquid or surveillance-flagged securities</w:t>
            </w:r>
          </w:p>
        </w:tc>
      </w:tr>
      <w:tr>
        <w:tc>
          <w:tcPr>
            <w:tcW w:type="dxa" w:w="4320"/>
          </w:tcPr>
          <w:p>
            <w:pPr/>
            <w:r>
              <w:rPr>
                <w:sz w:val="18"/>
              </w:rPr>
              <w:t>**Z**</w:t>
            </w:r>
          </w:p>
        </w:tc>
        <w:tc>
          <w:tcPr>
            <w:tcW w:type="dxa" w:w="4320"/>
          </w:tcPr>
          <w:p>
            <w:pPr/>
            <w:r>
              <w:rPr>
                <w:sz w:val="18"/>
              </w:rPr>
              <w:t>Companies failing to comply with listing obligations or investor grievance resolution norms</w:t>
            </w:r>
          </w:p>
        </w:tc>
      </w:tr>
      <w:tr>
        <w:tc>
          <w:tcPr>
            <w:tcW w:type="dxa" w:w="4320"/>
          </w:tcPr>
          <w:p>
            <w:pPr/>
            <w:r>
              <w:rPr>
                <w:sz w:val="18"/>
              </w:rPr>
              <w:t>**F**</w:t>
            </w:r>
          </w:p>
        </w:tc>
        <w:tc>
          <w:tcPr>
            <w:tcW w:type="dxa" w:w="4320"/>
          </w:tcPr>
          <w:p>
            <w:pPr/>
            <w:r>
              <w:rPr>
                <w:sz w:val="18"/>
              </w:rPr>
              <w:t>Debt securities (fixed income instruments)</w:t>
            </w:r>
          </w:p>
        </w:tc>
      </w:tr>
      <w:tr>
        <w:tc>
          <w:tcPr>
            <w:tcW w:type="dxa" w:w="4320"/>
          </w:tcPr>
          <w:p>
            <w:pPr/>
            <w:r>
              <w:rPr>
                <w:sz w:val="18"/>
              </w:rPr>
              <w:t>**M**</w:t>
            </w:r>
          </w:p>
        </w:tc>
        <w:tc>
          <w:tcPr>
            <w:tcW w:type="dxa" w:w="4320"/>
          </w:tcPr>
          <w:p>
            <w:pPr/>
            <w:r>
              <w:rPr>
                <w:sz w:val="18"/>
              </w:rPr>
              <w:t>Mutual fund units</w:t>
            </w:r>
          </w:p>
        </w:tc>
      </w:tr>
    </w:tbl>
    <w:p/>
    <w:p>
      <w:pPr>
        <w:pStyle w:val="Heading3"/>
      </w:pPr>
      <w:r>
        <w:t>2.2 Trading Sessions</w:t>
      </w:r>
    </w:p>
    <w:p>
      <w:r>
        <w:t>Note: India Standard Time (IST) is UTC+5:30 year-round (no daylight saving time).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Session</w:t>
            </w:r>
          </w:p>
        </w:tc>
        <w:tc>
          <w:tcPr>
            <w:tcW w:type="dxa" w:w="2160"/>
          </w:tcPr>
          <w:p>
            <w:pPr/>
            <w:r>
              <w:rPr>
                <w:b/>
                <w:sz w:val="18"/>
              </w:rPr>
              <w:t>Local Time (IST)</w:t>
            </w:r>
          </w:p>
        </w:tc>
        <w:tc>
          <w:tcPr>
            <w:tcW w:type="dxa" w:w="2160"/>
          </w:tcPr>
          <w:p>
            <w:pPr/>
            <w:r>
              <w:rPr>
                <w:b/>
                <w:sz w:val="18"/>
              </w:rPr>
              <w:t>UTC</w:t>
            </w:r>
          </w:p>
        </w:tc>
        <w:tc>
          <w:tcPr>
            <w:tcW w:type="dxa" w:w="2160"/>
          </w:tcPr>
          <w:p>
            <w:pPr/>
            <w:r>
              <w:rPr>
                <w:b/>
                <w:sz w:val="18"/>
              </w:rPr>
              <w:t>Description</w:t>
            </w:r>
          </w:p>
        </w:tc>
      </w:tr>
      <w:tr>
        <w:tc>
          <w:tcPr>
            <w:tcW w:type="dxa" w:w="2160"/>
          </w:tcPr>
          <w:p>
            <w:pPr/>
            <w:r>
              <w:rPr>
                <w:sz w:val="18"/>
              </w:rPr>
              <w:t>Pre-Open Session</w:t>
            </w:r>
          </w:p>
        </w:tc>
        <w:tc>
          <w:tcPr>
            <w:tcW w:type="dxa" w:w="2160"/>
          </w:tcPr>
          <w:p>
            <w:pPr/>
            <w:r>
              <w:rPr>
                <w:sz w:val="18"/>
              </w:rPr>
              <w:t>9:00 AM â 9:15 AM</w:t>
            </w:r>
          </w:p>
        </w:tc>
        <w:tc>
          <w:tcPr>
            <w:tcW w:type="dxa" w:w="2160"/>
          </w:tcPr>
          <w:p>
            <w:pPr/>
            <w:r>
              <w:rPr>
                <w:sz w:val="18"/>
              </w:rPr>
              <w:t>03:30 â 03:45</w:t>
            </w:r>
          </w:p>
        </w:tc>
        <w:tc>
          <w:tcPr>
            <w:tcW w:type="dxa" w:w="2160"/>
          </w:tcPr>
          <w:p>
            <w:pPr/>
            <w:r>
              <w:rPr>
                <w:sz w:val="18"/>
              </w:rPr>
              <w:t>Order entry (9:00â9:08), order matching &amp; trade confirmation (9:08â9:12), buffer period (9:12â9:15); call auction determines opening price</w:t>
            </w:r>
          </w:p>
        </w:tc>
      </w:tr>
      <w:tr>
        <w:tc>
          <w:tcPr>
            <w:tcW w:type="dxa" w:w="2160"/>
          </w:tcPr>
          <w:p>
            <w:pPr/>
            <w:r>
              <w:rPr>
                <w:sz w:val="18"/>
              </w:rPr>
              <w:t>Continuous Trading</w:t>
            </w:r>
          </w:p>
        </w:tc>
        <w:tc>
          <w:tcPr>
            <w:tcW w:type="dxa" w:w="2160"/>
          </w:tcPr>
          <w:p>
            <w:pPr/>
            <w:r>
              <w:rPr>
                <w:sz w:val="18"/>
              </w:rPr>
              <w:t>9:15 AM â 3:30 PM</w:t>
            </w:r>
          </w:p>
        </w:tc>
        <w:tc>
          <w:tcPr>
            <w:tcW w:type="dxa" w:w="2160"/>
          </w:tcPr>
          <w:p>
            <w:pPr/>
            <w:r>
              <w:rPr>
                <w:sz w:val="18"/>
              </w:rPr>
              <w:t>03:45 â 10:00</w:t>
            </w:r>
          </w:p>
        </w:tc>
        <w:tc>
          <w:tcPr>
            <w:tcW w:type="dxa" w:w="2160"/>
          </w:tcPr>
          <w:p>
            <w:pPr/>
            <w:r>
              <w:rPr>
                <w:sz w:val="18"/>
              </w:rPr>
              <w:t>Continuous order matching on price-time priority; all standard order types accepted</w:t>
            </w:r>
          </w:p>
        </w:tc>
      </w:tr>
      <w:tr>
        <w:tc>
          <w:tcPr>
            <w:tcW w:type="dxa" w:w="2160"/>
          </w:tcPr>
          <w:p>
            <w:pPr/>
            <w:r>
              <w:rPr>
                <w:sz w:val="18"/>
              </w:rPr>
              <w:t>Closing Session</w:t>
            </w:r>
          </w:p>
        </w:tc>
        <w:tc>
          <w:tcPr>
            <w:tcW w:type="dxa" w:w="2160"/>
          </w:tcPr>
          <w:p>
            <w:pPr/>
            <w:r>
              <w:rPr>
                <w:sz w:val="18"/>
              </w:rPr>
              <w:t>3:30 PM â 3:40 PM</w:t>
            </w:r>
          </w:p>
        </w:tc>
        <w:tc>
          <w:tcPr>
            <w:tcW w:type="dxa" w:w="2160"/>
          </w:tcPr>
          <w:p>
            <w:pPr/>
            <w:r>
              <w:rPr>
                <w:sz w:val="18"/>
              </w:rPr>
              <w:t>10:00 â 10:10</w:t>
            </w:r>
          </w:p>
        </w:tc>
        <w:tc>
          <w:tcPr>
            <w:tcW w:type="dxa" w:w="2160"/>
          </w:tcPr>
          <w:p>
            <w:pPr/>
            <w:r>
              <w:rPr>
                <w:sz w:val="18"/>
              </w:rPr>
              <w:t>Closing price calculated as volume-weighted average price (VWAP) of last 30 minutes of continuous trading; post-close order entry at closing price</w:t>
            </w:r>
          </w:p>
        </w:tc>
      </w:tr>
      <w:tr>
        <w:tc>
          <w:tcPr>
            <w:tcW w:type="dxa" w:w="2160"/>
          </w:tcPr>
          <w:p>
            <w:pPr/>
            <w:r>
              <w:rPr>
                <w:sz w:val="18"/>
              </w:rPr>
              <w:t>Block Deal Window 1</w:t>
            </w:r>
          </w:p>
        </w:tc>
        <w:tc>
          <w:tcPr>
            <w:tcW w:type="dxa" w:w="2160"/>
          </w:tcPr>
          <w:p>
            <w:pPr/>
            <w:r>
              <w:rPr>
                <w:sz w:val="18"/>
              </w:rPr>
              <w:t>8:45 AM â 9:00 AM</w:t>
            </w:r>
          </w:p>
        </w:tc>
        <w:tc>
          <w:tcPr>
            <w:tcW w:type="dxa" w:w="2160"/>
          </w:tcPr>
          <w:p>
            <w:pPr/>
            <w:r>
              <w:rPr>
                <w:sz w:val="18"/>
              </w:rPr>
              <w:t>03:15 â 03:30</w:t>
            </w:r>
          </w:p>
        </w:tc>
        <w:tc>
          <w:tcPr>
            <w:tcW w:type="dxa" w:w="2160"/>
          </w:tcPr>
          <w:p>
            <w:pPr/>
            <w:r>
              <w:rPr>
                <w:sz w:val="18"/>
              </w:rPr>
              <w:t>Block deals (minimum order size INR 10 crore) executed at +/- 1% of previous day's close or applicable reference price</w:t>
            </w:r>
          </w:p>
        </w:tc>
      </w:tr>
      <w:tr>
        <w:tc>
          <w:tcPr>
            <w:tcW w:type="dxa" w:w="2160"/>
          </w:tcPr>
          <w:p>
            <w:pPr/>
            <w:r>
              <w:rPr>
                <w:sz w:val="18"/>
              </w:rPr>
              <w:t>Block Deal Window 2</w:t>
            </w:r>
          </w:p>
        </w:tc>
        <w:tc>
          <w:tcPr>
            <w:tcW w:type="dxa" w:w="2160"/>
          </w:tcPr>
          <w:p>
            <w:pPr/>
            <w:r>
              <w:rPr>
                <w:sz w:val="18"/>
              </w:rPr>
              <w:t>2:05 PM â 2:20 PM</w:t>
            </w:r>
          </w:p>
        </w:tc>
        <w:tc>
          <w:tcPr>
            <w:tcW w:type="dxa" w:w="2160"/>
          </w:tcPr>
          <w:p>
            <w:pPr/>
            <w:r>
              <w:rPr>
                <w:sz w:val="18"/>
              </w:rPr>
              <w:t>08:35 â 08:50</w:t>
            </w:r>
          </w:p>
        </w:tc>
        <w:tc>
          <w:tcPr>
            <w:tcW w:type="dxa" w:w="2160"/>
          </w:tcPr>
          <w:p>
            <w:pPr/>
            <w:r>
              <w:rPr>
                <w:sz w:val="18"/>
              </w:rPr>
              <w:t>Second window for block deals</w:t>
            </w:r>
          </w:p>
        </w:tc>
      </w:tr>
    </w:tbl>
    <w:p/>
    <w:p>
      <w:r>
        <w:t>Notes:</w:t>
      </w:r>
    </w:p>
    <w:p>
      <w:pPr>
        <w:pStyle w:val="ListBullet"/>
      </w:pPr>
      <w:r>
        <w:t>Total continuous trading hours: 6 hours 15 minutes (9:15 AM â 3:30 PM)</w:t>
      </w:r>
    </w:p>
    <w:p>
      <w:pPr>
        <w:pStyle w:val="ListBullet"/>
      </w:pPr>
      <w:r>
        <w:t>No lunch break â continuous trading throughout the session</w:t>
      </w:r>
    </w:p>
    <w:p>
      <w:pPr>
        <w:pStyle w:val="ListBullet"/>
      </w:pPr>
      <w:r>
        <w:t>Half-day sessions (e.g., Muhurat Trading on Diwali) have abbreviated hours as determined by the exchange</w:t>
      </w:r>
    </w:p>
    <w:p>
      <w:pPr>
        <w:pStyle w:val="ListBullet"/>
      </w:pPr>
      <w:r>
        <w:t>BSE and NSE operate identical trading hours as coordinated by SEBI</w:t>
      </w:r>
    </w:p>
    <w:p>
      <w:pPr>
        <w:pStyle w:val="Heading3"/>
      </w:pPr>
      <w:r>
        <w:t>2.3 Tick Sizes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Security Type</w:t>
            </w:r>
          </w:p>
        </w:tc>
        <w:tc>
          <w:tcPr>
            <w:tcW w:type="dxa" w:w="4320"/>
          </w:tcPr>
          <w:p>
            <w:pPr/>
            <w:r>
              <w:rPr>
                <w:b/>
                <w:sz w:val="18"/>
              </w:rPr>
              <w:t>Tick Size</w:t>
            </w:r>
          </w:p>
        </w:tc>
      </w:tr>
      <w:tr>
        <w:tc>
          <w:tcPr>
            <w:tcW w:type="dxa" w:w="4320"/>
          </w:tcPr>
          <w:p>
            <w:pPr/>
            <w:r>
              <w:rPr>
                <w:sz w:val="18"/>
              </w:rPr>
              <w:t>Equity shares (standard)</w:t>
            </w:r>
          </w:p>
        </w:tc>
        <w:tc>
          <w:tcPr>
            <w:tcW w:type="dxa" w:w="4320"/>
          </w:tcPr>
          <w:p>
            <w:pPr/>
            <w:r>
              <w:rPr>
                <w:sz w:val="18"/>
              </w:rPr>
              <w:t>INR 0.05 (5 paise)</w:t>
            </w:r>
          </w:p>
        </w:tc>
      </w:tr>
      <w:tr>
        <w:tc>
          <w:tcPr>
            <w:tcW w:type="dxa" w:w="4320"/>
          </w:tcPr>
          <w:p>
            <w:pPr/>
            <w:r>
              <w:rPr>
                <w:sz w:val="18"/>
              </w:rPr>
              <w:t>Mutual fund units (F group)</w:t>
            </w:r>
          </w:p>
        </w:tc>
        <w:tc>
          <w:tcPr>
            <w:tcW w:type="dxa" w:w="4320"/>
          </w:tcPr>
          <w:p>
            <w:pPr/>
            <w:r>
              <w:rPr>
                <w:sz w:val="18"/>
              </w:rPr>
              <w:t>INR 0.01 (1 paisa)</w:t>
            </w:r>
          </w:p>
        </w:tc>
      </w:tr>
      <w:tr>
        <w:tc>
          <w:tcPr>
            <w:tcW w:type="dxa" w:w="4320"/>
          </w:tcPr>
          <w:p>
            <w:pPr/>
            <w:r>
              <w:rPr>
                <w:sz w:val="18"/>
              </w:rPr>
              <w:t>Securities in F group (debt)</w:t>
            </w:r>
          </w:p>
        </w:tc>
        <w:tc>
          <w:tcPr>
            <w:tcW w:type="dxa" w:w="4320"/>
          </w:tcPr>
          <w:p>
            <w:pPr/>
            <w:r>
              <w:rPr>
                <w:sz w:val="18"/>
              </w:rPr>
              <w:t>INR 0.01 (1 paisa)</w:t>
            </w:r>
          </w:p>
        </w:tc>
      </w:tr>
      <w:tr>
        <w:tc>
          <w:tcPr>
            <w:tcW w:type="dxa" w:w="4320"/>
          </w:tcPr>
          <w:p>
            <w:pPr/>
            <w:r>
              <w:rPr>
                <w:sz w:val="18"/>
              </w:rPr>
              <w:t>Equity derivatives</w:t>
            </w:r>
          </w:p>
        </w:tc>
        <w:tc>
          <w:tcPr>
            <w:tcW w:type="dxa" w:w="4320"/>
          </w:tcPr>
          <w:p>
            <w:pPr/>
            <w:r>
              <w:rPr>
                <w:sz w:val="18"/>
              </w:rPr>
              <w:t>INR 0.05 (5 paise)</w:t>
            </w:r>
          </w:p>
        </w:tc>
      </w:tr>
    </w:tbl>
    <w:p/>
    <w:p>
      <w:pPr>
        <w:pStyle w:val="Heading3"/>
      </w:pPr>
      <w:r>
        <w:t>2.4 Lot Sizes</w:t>
      </w:r>
    </w:p>
    <w:p>
      <w:pPr>
        <w:pStyle w:val="ListBullet"/>
      </w:pPr>
      <w:r>
        <w:t>Standard lot (dematerialized shares): 1 share (market lot of 1 for all demat securities)</w:t>
      </w:r>
    </w:p>
    <w:p>
      <w:pPr>
        <w:pStyle w:val="ListBullet"/>
      </w:pPr>
      <w:r>
        <w:t>Physical shares: Market lot of 50 or 100 shares (for securities still in physical form â increasingly rare)</w:t>
      </w:r>
    </w:p>
    <w:p>
      <w:pPr>
        <w:pStyle w:val="ListBullet"/>
      </w:pPr>
      <w:r>
        <w:t>Derivatives: Lot sizes vary by underlying; set by SEBI/exchange based on contract value (e.g., SENSEX futures lot size is determined to keep notional value within prescribed range)</w:t>
      </w:r>
    </w:p>
    <w:p>
      <w:pPr>
        <w:pStyle w:val="ListBullet"/>
      </w:pPr>
      <w:r>
        <w:t>Odd lot trading: Available through the odd-lot segment for quantities below market lot</w:t>
      </w:r>
    </w:p>
    <w:p>
      <w:pPr>
        <w:pStyle w:val="Heading3"/>
      </w:pPr>
      <w:r>
        <w:t>2.5 Market Maker / Liquidity Provider Programs</w:t>
      </w:r>
    </w:p>
    <w:p>
      <w:pPr>
        <w:pStyle w:val="ListBullet"/>
      </w:pPr>
      <w:r>
        <w:t>BSE operates market-making schemes for select securities, particularly on the SME platform where market makers are mandatory for listed companies</w:t>
      </w:r>
    </w:p>
    <w:p>
      <w:pPr>
        <w:pStyle w:val="ListBullet"/>
      </w:pPr>
      <w:r>
        <w:t>Market makers on BSE SME are required to provide two-way quotes for a minimum percentage of trading time</w:t>
      </w:r>
    </w:p>
    <w:p>
      <w:pPr>
        <w:pStyle w:val="ListBullet"/>
      </w:pPr>
      <w:r>
        <w:t>Incentive programs for liquidity providers exist in the equity derivatives segment to improve bid-ask spreads [unverified â specific current scheme details not confirmed]</w:t>
      </w:r>
    </w:p>
    <w:p>
      <w:r>
        <w:t>────────────────────────────────────────────────────────────</w:t>
      </w:r>
    </w:p>
    <w:p>
      <w:pPr>
        <w:pStyle w:val="Heading2"/>
      </w:pPr>
      <w:r>
        <w:t>3. Trading Mechanism</w:t>
      </w:r>
    </w:p>
    <w:p>
      <w:pPr>
        <w:pStyle w:val="Heading3"/>
      </w:pPr>
      <w:r>
        <w:t>3.1 Auction Mechanisms</w:t>
      </w:r>
    </w:p>
    <w:p>
      <w:pPr>
        <w:pStyle w:val="ListBullet"/>
      </w:pPr>
      <w:r>
        <w:t>Pre-Open Call Auction (Opening): During the pre-open session (9:00â9:15 AM), orders are accumulated and matched at a single equilibrium price via multilateral matching. Buy orders are aggregated into a downward-sloping demand curve and sell orders into an upward-sloping supply curve; the intersection determines the opening price. Limit orders receive priority over market orders. Orders at or better than the equilibrium price are executed; remaining orders carry forward to continuous trading.</w:t>
      </w:r>
    </w:p>
    <w:p>
      <w:pPr>
        <w:pStyle w:val="ListBullet"/>
      </w:pPr>
      <w:r>
        <w:t>Closing Price Determination: The closing price is determined as the volume-weighted average price (VWAP) of the last 30 minutes of continuous trading. This is not an auction mechanism but a calculation-based approach. After 3:30 PM, a post-close session allows order entry at the determined closing price.</w:t>
      </w:r>
    </w:p>
    <w:p>
      <w:pPr>
        <w:pStyle w:val="ListBullet"/>
      </w:pPr>
      <w:r>
        <w:t>Periodic Call Auction (PCA): Applied to illiquid securities (identified by BSE/SEBI based on trading frequency). PCA sessions run every hour during market hours (9:30 AM â 3:30 PM). Orders accumulate over a set period and are matched at a single price, improving price discovery for thinly traded stocks.</w:t>
      </w:r>
    </w:p>
    <w:p>
      <w:pPr>
        <w:pStyle w:val="ListBullet"/>
      </w:pPr>
      <w:r>
        <w:t>Special Call Auction: Used for re-listing events, corporate actions, or when SEBI/exchange determines that a call auction is needed for fair price discovery.</w:t>
      </w:r>
    </w:p>
    <w:p>
      <w:pPr>
        <w:pStyle w:val="Heading3"/>
      </w:pPr>
      <w:r>
        <w:t>3.2 Continuous Trading</w:t>
      </w:r>
    </w:p>
    <w:p>
      <w:pPr>
        <w:pStyle w:val="ListBullet"/>
      </w:pPr>
      <w:r>
        <w:t>Order-driven market with continuous matching during 9:15 AM â 3:30 PM</w:t>
      </w:r>
    </w:p>
    <w:p>
      <w:pPr>
        <w:pStyle w:val="ListBullet"/>
      </w:pPr>
      <w:r>
        <w:t>Price-time priority: Orders are matched first by best price, then by earliest time of entry at the same price level</w:t>
      </w:r>
    </w:p>
    <w:p>
      <w:pPr>
        <w:pStyle w:val="ListBullet"/>
      </w:pPr>
      <w:r>
        <w:t>Anonymous trading: Counterparty identity is not revealed during order matching</w:t>
      </w:r>
    </w:p>
    <w:p>
      <w:pPr>
        <w:pStyle w:val="ListBullet"/>
      </w:pPr>
      <w:r>
        <w:t>The matching engine processes orders on a strict FIFO (first-in, first-out) basis within each price level</w:t>
      </w:r>
    </w:p>
    <w:p>
      <w:pPr>
        <w:pStyle w:val="Heading3"/>
      </w:pPr>
      <w:r>
        <w:t>3.3 Price Discovery</w:t>
      </w:r>
    </w:p>
    <w:p>
      <w:pPr>
        <w:pStyle w:val="ListBullet"/>
      </w:pPr>
      <w:r>
        <w:t>Opening price discovered through pre-open call auction (multilateral matching)</w:t>
      </w:r>
    </w:p>
    <w:p>
      <w:pPr>
        <w:pStyle w:val="ListBullet"/>
      </w:pPr>
      <w:r>
        <w:t>Intraday prices discovered through continuous order matching (price-time priority)</w:t>
      </w:r>
    </w:p>
    <w:p>
      <w:pPr>
        <w:pStyle w:val="ListBullet"/>
      </w:pPr>
      <w:r>
        <w:t>Closing price derived from VWAP of last 30 minutes of continuous trading</w:t>
      </w:r>
    </w:p>
    <w:p>
      <w:pPr>
        <w:pStyle w:val="ListBullet"/>
      </w:pPr>
      <w:r>
        <w:t>For illiquid securities, periodic call auctions enhance price discovery by concentrating order flow into discrete intervals</w:t>
      </w:r>
    </w:p>
    <w:p>
      <w:pPr>
        <w:pStyle w:val="ListBullet"/>
      </w:pPr>
      <w:r>
        <w:t>Block deals (&gt;= INR 10 crore) negotiate prices within permitted bands (+/- 1% of reference price)</w:t>
      </w:r>
    </w:p>
    <w:p>
      <w:r>
        <w:t>────────────────────────────────────────────────────────────</w:t>
      </w:r>
    </w:p>
    <w:p>
      <w:pPr>
        <w:pStyle w:val="Heading2"/>
      </w:pPr>
      <w:r>
        <w:t>4. Order Types</w:t>
      </w:r>
    </w:p>
    <w:p>
      <w:pPr>
        <w:pStyle w:val="Heading3"/>
      </w:pPr>
      <w:r>
        <w:t>4.1 Standard Order Types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Order Type</w:t>
            </w:r>
          </w:p>
        </w:tc>
        <w:tc>
          <w:tcPr>
            <w:tcW w:type="dxa" w:w="4320"/>
          </w:tcPr>
          <w:p>
            <w:pPr/>
            <w:r>
              <w:rPr>
                <w:b/>
                <w:sz w:val="18"/>
              </w:rPr>
              <w:t>Description</w:t>
            </w:r>
          </w:p>
        </w:tc>
      </w:tr>
      <w:tr>
        <w:tc>
          <w:tcPr>
            <w:tcW w:type="dxa" w:w="4320"/>
          </w:tcPr>
          <w:p>
            <w:pPr/>
            <w:r>
              <w:rPr>
                <w:sz w:val="18"/>
              </w:rPr>
              <w:t>Limit Order</w:t>
            </w:r>
          </w:p>
        </w:tc>
        <w:tc>
          <w:tcPr>
            <w:tcW w:type="dxa" w:w="4320"/>
          </w:tcPr>
          <w:p>
            <w:pPr/>
            <w:r>
              <w:rPr>
                <w:sz w:val="18"/>
              </w:rPr>
              <w:t>Specifies the maximum buy price or minimum sell price; executed at specified price or better</w:t>
            </w:r>
          </w:p>
        </w:tc>
      </w:tr>
      <w:tr>
        <w:tc>
          <w:tcPr>
            <w:tcW w:type="dxa" w:w="4320"/>
          </w:tcPr>
          <w:p>
            <w:pPr/>
            <w:r>
              <w:rPr>
                <w:sz w:val="18"/>
              </w:rPr>
              <w:t>Market Order</w:t>
            </w:r>
          </w:p>
        </w:tc>
        <w:tc>
          <w:tcPr>
            <w:tcW w:type="dxa" w:w="4320"/>
          </w:tcPr>
          <w:p>
            <w:pPr/>
            <w:r>
              <w:rPr>
                <w:sz w:val="18"/>
              </w:rPr>
              <w:t>Executed at the best available price in the order book; immediate execution at prevailing market price</w:t>
            </w:r>
          </w:p>
        </w:tc>
      </w:tr>
      <w:tr>
        <w:tc>
          <w:tcPr>
            <w:tcW w:type="dxa" w:w="4320"/>
          </w:tcPr>
          <w:p>
            <w:pPr/>
            <w:r>
              <w:rPr>
                <w:sz w:val="18"/>
              </w:rPr>
              <w:t>Stop-Loss Order</w:t>
            </w:r>
          </w:p>
        </w:tc>
        <w:tc>
          <w:tcPr>
            <w:tcW w:type="dxa" w:w="4320"/>
          </w:tcPr>
          <w:p>
            <w:pPr/>
            <w:r>
              <w:rPr>
                <w:sz w:val="18"/>
              </w:rPr>
              <w:t>Activated when the market price reaches a specified trigger price; becomes a limit order upon triggering</w:t>
            </w:r>
          </w:p>
        </w:tc>
      </w:tr>
    </w:tbl>
    <w:p/>
    <w:p>
      <w:pPr>
        <w:pStyle w:val="Heading3"/>
      </w:pPr>
      <w:r>
        <w:t>4.2 Advanced Order Types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Order Type</w:t>
            </w:r>
          </w:p>
        </w:tc>
        <w:tc>
          <w:tcPr>
            <w:tcW w:type="dxa" w:w="4320"/>
          </w:tcPr>
          <w:p>
            <w:pPr/>
            <w:r>
              <w:rPr>
                <w:b/>
                <w:sz w:val="18"/>
              </w:rPr>
              <w:t>Description</w:t>
            </w:r>
          </w:p>
        </w:tc>
      </w:tr>
      <w:tr>
        <w:tc>
          <w:tcPr>
            <w:tcW w:type="dxa" w:w="4320"/>
          </w:tcPr>
          <w:p>
            <w:pPr/>
            <w:r>
              <w:rPr>
                <w:sz w:val="18"/>
              </w:rPr>
              <w:t>Stop-Loss Market</w:t>
            </w:r>
          </w:p>
        </w:tc>
        <w:tc>
          <w:tcPr>
            <w:tcW w:type="dxa" w:w="4320"/>
          </w:tcPr>
          <w:p>
            <w:pPr/>
            <w:r>
              <w:rPr>
                <w:sz w:val="18"/>
              </w:rPr>
              <w:t>Triggered at specified price, then executed as a market order</w:t>
            </w:r>
          </w:p>
        </w:tc>
      </w:tr>
      <w:tr>
        <w:tc>
          <w:tcPr>
            <w:tcW w:type="dxa" w:w="4320"/>
          </w:tcPr>
          <w:p>
            <w:pPr/>
            <w:r>
              <w:rPr>
                <w:sz w:val="18"/>
              </w:rPr>
              <w:t>After Market Order (AMO)</w:t>
            </w:r>
          </w:p>
        </w:tc>
        <w:tc>
          <w:tcPr>
            <w:tcW w:type="dxa" w:w="4320"/>
          </w:tcPr>
          <w:p>
            <w:pPr/>
            <w:r>
              <w:rPr>
                <w:sz w:val="18"/>
              </w:rPr>
              <w:t>Orders placed outside market hours for execution during the next trading session</w:t>
            </w:r>
          </w:p>
        </w:tc>
      </w:tr>
      <w:tr>
        <w:tc>
          <w:tcPr>
            <w:tcW w:type="dxa" w:w="4320"/>
          </w:tcPr>
          <w:p>
            <w:pPr/>
            <w:r>
              <w:rPr>
                <w:sz w:val="18"/>
              </w:rPr>
              <w:t>Iceberg Order</w:t>
            </w:r>
          </w:p>
        </w:tc>
        <w:tc>
          <w:tcPr>
            <w:tcW w:type="dxa" w:w="4320"/>
          </w:tcPr>
          <w:p>
            <w:pPr/>
            <w:r>
              <w:rPr>
                <w:sz w:val="18"/>
              </w:rPr>
              <w:t>Large orders disclosed partially; only a disclosed quantity is visible in the order book at any time [unverified â availability may vary by broker interface]</w:t>
            </w:r>
          </w:p>
        </w:tc>
      </w:tr>
    </w:tbl>
    <w:p/>
    <w:p>
      <w:pPr>
        <w:pStyle w:val="Heading3"/>
      </w:pPr>
      <w:r>
        <w:t>4.3 Time-in-Force Options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TIF</w:t>
            </w:r>
          </w:p>
        </w:tc>
        <w:tc>
          <w:tcPr>
            <w:tcW w:type="dxa" w:w="4320"/>
          </w:tcPr>
          <w:p>
            <w:pPr/>
            <w:r>
              <w:rPr>
                <w:b/>
                <w:sz w:val="18"/>
              </w:rPr>
              <w:t>Description</w:t>
            </w:r>
          </w:p>
        </w:tc>
      </w:tr>
      <w:tr>
        <w:tc>
          <w:tcPr>
            <w:tcW w:type="dxa" w:w="4320"/>
          </w:tcPr>
          <w:p>
            <w:pPr/>
            <w:r>
              <w:rPr>
                <w:sz w:val="18"/>
              </w:rPr>
              <w:t>DAY</w:t>
            </w:r>
          </w:p>
        </w:tc>
        <w:tc>
          <w:tcPr>
            <w:tcW w:type="dxa" w:w="4320"/>
          </w:tcPr>
          <w:p>
            <w:pPr/>
            <w:r>
              <w:rPr>
                <w:sz w:val="18"/>
              </w:rPr>
              <w:t>Valid only for the trading day; cancelled at end of session if unexecuted</w:t>
            </w:r>
          </w:p>
        </w:tc>
      </w:tr>
      <w:tr>
        <w:tc>
          <w:tcPr>
            <w:tcW w:type="dxa" w:w="4320"/>
          </w:tcPr>
          <w:p>
            <w:pPr/>
            <w:r>
              <w:rPr>
                <w:sz w:val="18"/>
              </w:rPr>
              <w:t>IOC (Immediate or Cancel)</w:t>
            </w:r>
          </w:p>
        </w:tc>
        <w:tc>
          <w:tcPr>
            <w:tcW w:type="dxa" w:w="4320"/>
          </w:tcPr>
          <w:p>
            <w:pPr/>
            <w:r>
              <w:rPr>
                <w:sz w:val="18"/>
              </w:rPr>
              <w:t>Must be filled immediately (fully or partially); unfilled portion is cancelled instantly</w:t>
            </w:r>
          </w:p>
        </w:tc>
      </w:tr>
      <w:tr>
        <w:tc>
          <w:tcPr>
            <w:tcW w:type="dxa" w:w="4320"/>
          </w:tcPr>
          <w:p>
            <w:pPr/>
            <w:r>
              <w:rPr>
                <w:sz w:val="18"/>
              </w:rPr>
              <w:t>GTC (Good Till Cancelled)</w:t>
            </w:r>
          </w:p>
        </w:tc>
        <w:tc>
          <w:tcPr>
            <w:tcW w:type="dxa" w:w="4320"/>
          </w:tcPr>
          <w:p>
            <w:pPr/>
            <w:r>
              <w:rPr>
                <w:sz w:val="18"/>
              </w:rPr>
              <w:t>Not natively supported on BSE; brokers may simulate through daily re-entry [unverified]</w:t>
            </w:r>
          </w:p>
        </w:tc>
      </w:tr>
    </w:tbl>
    <w:p/>
    <w:p>
      <w:pPr>
        <w:pStyle w:val="Heading3"/>
      </w:pPr>
      <w:r>
        <w:t>4.4 Order Modification / Cancellation</w:t>
      </w:r>
    </w:p>
    <w:p>
      <w:pPr>
        <w:pStyle w:val="ListBullet"/>
      </w:pPr>
      <w:r>
        <w:t>Orders can be modified (price, quantity) or cancelled during continuous trading hours</w:t>
      </w:r>
    </w:p>
    <w:p>
      <w:pPr>
        <w:pStyle w:val="ListBullet"/>
      </w:pPr>
      <w:r>
        <w:t>During the pre-open session, cancellation is permitted only during the order entry period (9:00â9:08)</w:t>
      </w:r>
    </w:p>
    <w:p>
      <w:pPr>
        <w:pStyle w:val="ListBullet"/>
      </w:pPr>
      <w:r>
        <w:t>Modified orders lose time priority and are treated as new orders</w:t>
      </w:r>
    </w:p>
    <w:p>
      <w:r>
        <w:t>────────────────────────────────────────────────────────────</w:t>
      </w:r>
    </w:p>
    <w:p>
      <w:pPr>
        <w:pStyle w:val="Heading2"/>
      </w:pPr>
      <w:r>
        <w:t>5. Trading System (Technology)</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Item</w:t>
            </w:r>
          </w:p>
        </w:tc>
        <w:tc>
          <w:tcPr>
            <w:tcW w:type="dxa" w:w="4320"/>
          </w:tcPr>
          <w:p>
            <w:pPr/>
            <w:r>
              <w:rPr>
                <w:b/>
                <w:sz w:val="18"/>
              </w:rPr>
              <w:t>Details</w:t>
            </w:r>
          </w:p>
        </w:tc>
      </w:tr>
      <w:tr>
        <w:tc>
          <w:tcPr>
            <w:tcW w:type="dxa" w:w="4320"/>
          </w:tcPr>
          <w:p>
            <w:pPr/>
            <w:r>
              <w:rPr>
                <w:sz w:val="18"/>
              </w:rPr>
              <w:t>System Name</w:t>
            </w:r>
          </w:p>
        </w:tc>
        <w:tc>
          <w:tcPr>
            <w:tcW w:type="dxa" w:w="4320"/>
          </w:tcPr>
          <w:p>
            <w:pPr/>
            <w:r>
              <w:rPr>
                <w:sz w:val="18"/>
              </w:rPr>
              <w:t>BOLT Plus (BSE On-Line Trading Plus)</w:t>
            </w:r>
          </w:p>
        </w:tc>
      </w:tr>
      <w:tr>
        <w:tc>
          <w:tcPr>
            <w:tcW w:type="dxa" w:w="4320"/>
          </w:tcPr>
          <w:p>
            <w:pPr/>
            <w:r>
              <w:rPr>
                <w:sz w:val="18"/>
              </w:rPr>
              <w:t>Vendor / In-house</w:t>
            </w:r>
          </w:p>
        </w:tc>
        <w:tc>
          <w:tcPr>
            <w:tcW w:type="dxa" w:w="4320"/>
          </w:tcPr>
          <w:p>
            <w:pPr/>
            <w:r>
              <w:rPr>
                <w:sz w:val="18"/>
              </w:rPr>
              <w:t>Based on Deutsche Borse's T7 trading architecture; adapted for BSE</w:t>
            </w:r>
          </w:p>
        </w:tc>
      </w:tr>
      <w:tr>
        <w:tc>
          <w:tcPr>
            <w:tcW w:type="dxa" w:w="4320"/>
          </w:tcPr>
          <w:p>
            <w:pPr/>
            <w:r>
              <w:rPr>
                <w:sz w:val="18"/>
              </w:rPr>
              <w:t>Architecture</w:t>
            </w:r>
          </w:p>
        </w:tc>
        <w:tc>
          <w:tcPr>
            <w:tcW w:type="dxa" w:w="4320"/>
          </w:tcPr>
          <w:p>
            <w:pPr/>
            <w:r>
              <w:rPr>
                <w:sz w:val="18"/>
              </w:rPr>
              <w:t>Multi-tier architecture with horizontal scalability; robust backend OMS (Order Management System) and RMS (Risk Management System) engines</w:t>
            </w:r>
          </w:p>
        </w:tc>
      </w:tr>
      <w:tr>
        <w:tc>
          <w:tcPr>
            <w:tcW w:type="dxa" w:w="4320"/>
          </w:tcPr>
          <w:p>
            <w:pPr/>
            <w:r>
              <w:rPr>
                <w:sz w:val="18"/>
              </w:rPr>
              <w:t>Matching Engine</w:t>
            </w:r>
          </w:p>
        </w:tc>
        <w:tc>
          <w:tcPr>
            <w:tcW w:type="dxa" w:w="4320"/>
          </w:tcPr>
          <w:p>
            <w:pPr/>
            <w:r>
              <w:rPr>
                <w:sz w:val="18"/>
              </w:rPr>
              <w:t>Centralized matching engine derived from T7; price-time priority</w:t>
            </w:r>
          </w:p>
        </w:tc>
      </w:tr>
      <w:tr>
        <w:tc>
          <w:tcPr>
            <w:tcW w:type="dxa" w:w="4320"/>
          </w:tcPr>
          <w:p>
            <w:pPr/>
            <w:r>
              <w:rPr>
                <w:sz w:val="18"/>
              </w:rPr>
              <w:t>Round-trip Latency</w:t>
            </w:r>
          </w:p>
        </w:tc>
        <w:tc>
          <w:tcPr>
            <w:tcW w:type="dxa" w:w="4320"/>
          </w:tcPr>
          <w:p>
            <w:pPr/>
            <w:r>
              <w:rPr>
                <w:sz w:val="18"/>
              </w:rPr>
              <w:t>~200 microseconds (at launch in 2013-2014); target of 20 microseconds announced for subsequent upgrades [unverified â current production latency not confirmed]</w:t>
            </w:r>
          </w:p>
        </w:tc>
      </w:tr>
      <w:tr>
        <w:tc>
          <w:tcPr>
            <w:tcW w:type="dxa" w:w="4320"/>
          </w:tcPr>
          <w:p>
            <w:pPr/>
            <w:r>
              <w:rPr>
                <w:sz w:val="18"/>
              </w:rPr>
              <w:t>Order Processing Capacity</w:t>
            </w:r>
          </w:p>
        </w:tc>
        <w:tc>
          <w:tcPr>
            <w:tcW w:type="dxa" w:w="4320"/>
          </w:tcPr>
          <w:p>
            <w:pPr/>
            <w:r>
              <w:rPr>
                <w:sz w:val="18"/>
              </w:rPr>
              <w:t>500,000 (5 lakh) orders per second at launch; target of 5,000,000 (50 lakh) orders per second for enhanced capacity [unverified â current capacity not confirmed]</w:t>
            </w:r>
          </w:p>
        </w:tc>
      </w:tr>
      <w:tr>
        <w:tc>
          <w:tcPr>
            <w:tcW w:type="dxa" w:w="4320"/>
          </w:tcPr>
          <w:p>
            <w:pPr/>
            <w:r>
              <w:rPr>
                <w:sz w:val="18"/>
              </w:rPr>
              <w:t>Messages Per Second</w:t>
            </w:r>
          </w:p>
        </w:tc>
        <w:tc>
          <w:tcPr>
            <w:tcW w:type="dxa" w:w="4320"/>
          </w:tcPr>
          <w:p>
            <w:pPr/>
            <w:r>
              <w:rPr>
                <w:sz w:val="18"/>
              </w:rPr>
              <w:t>Not independently confirmed [unverified]</w:t>
            </w:r>
          </w:p>
        </w:tc>
      </w:tr>
      <w:tr>
        <w:tc>
          <w:tcPr>
            <w:tcW w:type="dxa" w:w="4320"/>
          </w:tcPr>
          <w:p>
            <w:pPr/>
            <w:r>
              <w:rPr>
                <w:sz w:val="18"/>
              </w:rPr>
              <w:t>Launch Year</w:t>
            </w:r>
          </w:p>
        </w:tc>
        <w:tc>
          <w:tcPr>
            <w:tcW w:type="dxa" w:w="4320"/>
          </w:tcPr>
          <w:p>
            <w:pPr/>
            <w:r>
              <w:rPr>
                <w:sz w:val="18"/>
              </w:rPr>
              <w:t>November 2013 (equity derivatives); April 2014 (equity cash)</w:t>
            </w:r>
          </w:p>
        </w:tc>
      </w:tr>
    </w:tbl>
    <w:p/>
    <w:p>
      <w:pPr>
        <w:pStyle w:val="Heading3"/>
      </w:pPr>
      <w:r>
        <w:t>System History</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Period</w:t>
            </w:r>
          </w:p>
        </w:tc>
        <w:tc>
          <w:tcPr>
            <w:tcW w:type="dxa" w:w="2880"/>
          </w:tcPr>
          <w:p>
            <w:pPr/>
            <w:r>
              <w:rPr>
                <w:b/>
                <w:sz w:val="18"/>
              </w:rPr>
              <w:t>System</w:t>
            </w:r>
          </w:p>
        </w:tc>
        <w:tc>
          <w:tcPr>
            <w:tcW w:type="dxa" w:w="2880"/>
          </w:tcPr>
          <w:p>
            <w:pPr/>
            <w:r>
              <w:rPr>
                <w:b/>
                <w:sz w:val="18"/>
              </w:rPr>
              <w:t>Notes</w:t>
            </w:r>
          </w:p>
        </w:tc>
      </w:tr>
      <w:tr>
        <w:tc>
          <w:tcPr>
            <w:tcW w:type="dxa" w:w="2880"/>
          </w:tcPr>
          <w:p>
            <w:pPr/>
            <w:r>
              <w:rPr>
                <w:sz w:val="18"/>
              </w:rPr>
              <w:t>Pre-1995</w:t>
            </w:r>
          </w:p>
        </w:tc>
        <w:tc>
          <w:tcPr>
            <w:tcW w:type="dxa" w:w="2880"/>
          </w:tcPr>
          <w:p>
            <w:pPr/>
            <w:r>
              <w:rPr>
                <w:sz w:val="18"/>
              </w:rPr>
              <w:t>Open outcry floor trading</w:t>
            </w:r>
          </w:p>
        </w:tc>
        <w:tc>
          <w:tcPr>
            <w:tcW w:type="dxa" w:w="2880"/>
          </w:tcPr>
          <w:p>
            <w:pPr/>
            <w:r>
              <w:rPr>
                <w:sz w:val="18"/>
              </w:rPr>
              <w:t>Dalal Street trading floor</w:t>
            </w:r>
          </w:p>
        </w:tc>
      </w:tr>
      <w:tr>
        <w:tc>
          <w:tcPr>
            <w:tcW w:type="dxa" w:w="2880"/>
          </w:tcPr>
          <w:p>
            <w:pPr/>
            <w:r>
              <w:rPr>
                <w:sz w:val="18"/>
              </w:rPr>
              <w:t>1995</w:t>
            </w:r>
          </w:p>
        </w:tc>
        <w:tc>
          <w:tcPr>
            <w:tcW w:type="dxa" w:w="2880"/>
          </w:tcPr>
          <w:p>
            <w:pPr/>
            <w:r>
              <w:rPr>
                <w:sz w:val="18"/>
              </w:rPr>
              <w:t>BOLT (BSE On-Line Trading)</w:t>
            </w:r>
          </w:p>
        </w:tc>
        <w:tc>
          <w:tcPr>
            <w:tcW w:type="dxa" w:w="2880"/>
          </w:tcPr>
          <w:p>
            <w:pPr/>
            <w:r>
              <w:rPr>
                <w:sz w:val="18"/>
              </w:rPr>
              <w:t>BSE's first electronic trading system; screen-based trading</w:t>
            </w:r>
          </w:p>
        </w:tc>
      </w:tr>
      <w:tr>
        <w:tc>
          <w:tcPr>
            <w:tcW w:type="dxa" w:w="2880"/>
          </w:tcPr>
          <w:p>
            <w:pPr/>
            <w:r>
              <w:rPr>
                <w:sz w:val="18"/>
              </w:rPr>
              <w:t>1997â2012</w:t>
            </w:r>
          </w:p>
        </w:tc>
        <w:tc>
          <w:tcPr>
            <w:tcW w:type="dxa" w:w="2880"/>
          </w:tcPr>
          <w:p>
            <w:pPr/>
            <w:r>
              <w:rPr>
                <w:sz w:val="18"/>
              </w:rPr>
              <w:t>BOLT (progressive upgrades)</w:t>
            </w:r>
          </w:p>
        </w:tc>
        <w:tc>
          <w:tcPr>
            <w:tcW w:type="dxa" w:w="2880"/>
          </w:tcPr>
          <w:p>
            <w:pPr/>
            <w:r>
              <w:rPr>
                <w:sz w:val="18"/>
              </w:rPr>
              <w:t>Capacity and feature enhancements over multiple versions</w:t>
            </w:r>
          </w:p>
        </w:tc>
      </w:tr>
      <w:tr>
        <w:tc>
          <w:tcPr>
            <w:tcW w:type="dxa" w:w="2880"/>
          </w:tcPr>
          <w:p>
            <w:pPr/>
            <w:r>
              <w:rPr>
                <w:sz w:val="18"/>
              </w:rPr>
              <w:t>2013 (Nov)</w:t>
            </w:r>
          </w:p>
        </w:tc>
        <w:tc>
          <w:tcPr>
            <w:tcW w:type="dxa" w:w="2880"/>
          </w:tcPr>
          <w:p>
            <w:pPr/>
            <w:r>
              <w:rPr>
                <w:sz w:val="18"/>
              </w:rPr>
              <w:t>BOLT Plus (Equity Derivatives)</w:t>
            </w:r>
          </w:p>
        </w:tc>
        <w:tc>
          <w:tcPr>
            <w:tcW w:type="dxa" w:w="2880"/>
          </w:tcPr>
          <w:p>
            <w:pPr/>
            <w:r>
              <w:rPr>
                <w:sz w:val="18"/>
              </w:rPr>
              <w:t>New platform based on Deutsche Borse T7 architecture; 200 microsecond latency</w:t>
            </w:r>
          </w:p>
        </w:tc>
      </w:tr>
      <w:tr>
        <w:tc>
          <w:tcPr>
            <w:tcW w:type="dxa" w:w="2880"/>
          </w:tcPr>
          <w:p>
            <w:pPr/>
            <w:r>
              <w:rPr>
                <w:sz w:val="18"/>
              </w:rPr>
              <w:t>2014 (Apr)</w:t>
            </w:r>
          </w:p>
        </w:tc>
        <w:tc>
          <w:tcPr>
            <w:tcW w:type="dxa" w:w="2880"/>
          </w:tcPr>
          <w:p>
            <w:pPr/>
            <w:r>
              <w:rPr>
                <w:sz w:val="18"/>
              </w:rPr>
              <w:t>BOLT Plus (Equity Cash)</w:t>
            </w:r>
          </w:p>
        </w:tc>
        <w:tc>
          <w:tcPr>
            <w:tcW w:type="dxa" w:w="2880"/>
          </w:tcPr>
          <w:p>
            <w:pPr/>
            <w:r>
              <w:rPr>
                <w:sz w:val="18"/>
              </w:rPr>
              <w:t>Extended to equity cash segment, replacing legacy BOLT</w:t>
            </w:r>
          </w:p>
        </w:tc>
      </w:tr>
      <w:tr>
        <w:tc>
          <w:tcPr>
            <w:tcW w:type="dxa" w:w="2880"/>
          </w:tcPr>
          <w:p>
            <w:pPr/>
            <w:r>
              <w:rPr>
                <w:sz w:val="18"/>
              </w:rPr>
              <w:t>2018+</w:t>
            </w:r>
          </w:p>
        </w:tc>
        <w:tc>
          <w:tcPr>
            <w:tcW w:type="dxa" w:w="2880"/>
          </w:tcPr>
          <w:p>
            <w:pPr/>
            <w:r>
              <w:rPr>
                <w:sz w:val="18"/>
              </w:rPr>
              <w:t>BOLT Plus (Commodity Derivatives, Currency)</w:t>
            </w:r>
          </w:p>
        </w:tc>
        <w:tc>
          <w:tcPr>
            <w:tcW w:type="dxa" w:w="2880"/>
          </w:tcPr>
          <w:p>
            <w:pPr/>
            <w:r>
              <w:rPr>
                <w:sz w:val="18"/>
              </w:rPr>
              <w:t>Platform extended to commodity and currency derivatives</w:t>
            </w:r>
          </w:p>
        </w:tc>
      </w:tr>
    </w:tbl>
    <w:p/>
    <w:p>
      <w:pPr>
        <w:pStyle w:val="Heading3"/>
      </w:pPr>
      <w:r>
        <w:t>Technology Stack</w:t>
      </w:r>
    </w:p>
    <w:p>
      <w:pPr>
        <w:pStyle w:val="ListBullet"/>
      </w:pPr>
      <w:r>
        <w:t>Trading Platform: BOLT Plus â based on Deutsche Borse T7 architecture</w:t>
      </w:r>
    </w:p>
    <w:p>
      <w:pPr>
        <w:pStyle w:val="ListBullet"/>
      </w:pPr>
      <w:r>
        <w:t>Web-Based Access: BOLT Plus on Web (BPoW) â browser-based trading terminal for members</w:t>
      </w:r>
    </w:p>
    <w:p>
      <w:pPr>
        <w:pStyle w:val="ListBullet"/>
      </w:pPr>
      <w:r>
        <w:t>Clearing System: Indian Clearing Corporation Limited (ICCL) â wholly-owned subsidiary handling clearing and settlement</w:t>
      </w:r>
    </w:p>
    <w:p>
      <w:pPr>
        <w:pStyle w:val="ListBullet"/>
      </w:pPr>
      <w:r>
        <w:t>Risk Management: Real-time risk management integrated into BOLT Plus; pre-trade risk checks at exchange level</w:t>
      </w:r>
    </w:p>
    <w:p>
      <w:pPr>
        <w:pStyle w:val="ListBullet"/>
      </w:pPr>
      <w:r>
        <w:t>Market Data: BSE market data disseminated via NFCAST protocol over leased lines and internet; FIX/FAST encoded (FAST 1.1 and 1.2 compatible)</w:t>
      </w:r>
    </w:p>
    <w:p>
      <w:pPr>
        <w:pStyle w:val="ListBullet"/>
      </w:pPr>
      <w:r>
        <w:t>Connectivity: Enhanced Trading Interface (ETI) â API based on FIX protocol for algorithmic and institutional trading</w:t>
      </w:r>
    </w:p>
    <w:p>
      <w:pPr>
        <w:pStyle w:val="Heading3"/>
      </w:pPr>
      <w:r>
        <w:t>Disaster Recovery / Business Continuity</w:t>
      </w:r>
    </w:p>
    <w:p>
      <w:pPr>
        <w:pStyle w:val="ListBullet"/>
      </w:pPr>
      <w:r>
        <w:t>BSE maintains disaster recovery (DR) site for business continuity</w:t>
      </w:r>
    </w:p>
    <w:p>
      <w:pPr>
        <w:pStyle w:val="ListBullet"/>
      </w:pPr>
      <w:r>
        <w:t>Regular DR drills and system rehearsals conducted</w:t>
      </w:r>
    </w:p>
    <w:p>
      <w:pPr>
        <w:pStyle w:val="ListBullet"/>
      </w:pPr>
      <w:r>
        <w:t>Co-location facility operated in partnership with NTT (formerly Netmagic) at a dedicated data center in Mumbai [unverified â current DR site arrangements not confirmed]</w:t>
      </w:r>
    </w:p>
    <w:p>
      <w:r>
        <w:t>────────────────────────────────────────────────────────────</w:t>
      </w:r>
    </w:p>
    <w:p>
      <w:pPr>
        <w:pStyle w:val="Heading2"/>
      </w:pPr>
      <w:r>
        <w:t>6. Market Data</w:t>
      </w:r>
    </w:p>
    <w:p>
      <w:pPr>
        <w:pStyle w:val="Heading3"/>
      </w:pPr>
      <w:r>
        <w:t>6.1 Data Feed Protocols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Protocol</w:t>
            </w:r>
          </w:p>
        </w:tc>
        <w:tc>
          <w:tcPr>
            <w:tcW w:type="dxa" w:w="2880"/>
          </w:tcPr>
          <w:p>
            <w:pPr/>
            <w:r>
              <w:rPr>
                <w:b/>
                <w:sz w:val="18"/>
              </w:rPr>
              <w:t>Description</w:t>
            </w:r>
          </w:p>
        </w:tc>
        <w:tc>
          <w:tcPr>
            <w:tcW w:type="dxa" w:w="2880"/>
          </w:tcPr>
          <w:p>
            <w:pPr/>
            <w:r>
              <w:rPr>
                <w:b/>
                <w:sz w:val="18"/>
              </w:rPr>
              <w:t>Use Case</w:t>
            </w:r>
          </w:p>
        </w:tc>
      </w:tr>
      <w:tr>
        <w:tc>
          <w:tcPr>
            <w:tcW w:type="dxa" w:w="2880"/>
          </w:tcPr>
          <w:p>
            <w:pPr/>
            <w:r>
              <w:rPr>
                <w:sz w:val="18"/>
              </w:rPr>
              <w:t>NFCAST (UDP Multicast)</w:t>
            </w:r>
          </w:p>
        </w:tc>
        <w:tc>
          <w:tcPr>
            <w:tcW w:type="dxa" w:w="2880"/>
          </w:tcPr>
          <w:p>
            <w:pPr/>
            <w:r>
              <w:rPr>
                <w:sz w:val="18"/>
              </w:rPr>
              <w:t>Primary real-time market data feed</w:t>
            </w:r>
          </w:p>
        </w:tc>
        <w:tc>
          <w:tcPr>
            <w:tcW w:type="dxa" w:w="2880"/>
          </w:tcPr>
          <w:p>
            <w:pPr/>
            <w:r>
              <w:rPr>
                <w:sz w:val="18"/>
              </w:rPr>
              <w:t>High-speed dissemination to co-located and leased-line participants</w:t>
            </w:r>
          </w:p>
        </w:tc>
      </w:tr>
      <w:tr>
        <w:tc>
          <w:tcPr>
            <w:tcW w:type="dxa" w:w="2880"/>
          </w:tcPr>
          <w:p>
            <w:pPr/>
            <w:r>
              <w:rPr>
                <w:sz w:val="18"/>
              </w:rPr>
              <w:t>FIX/FAST</w:t>
            </w:r>
          </w:p>
        </w:tc>
        <w:tc>
          <w:tcPr>
            <w:tcW w:type="dxa" w:w="2880"/>
          </w:tcPr>
          <w:p>
            <w:pPr/>
            <w:r>
              <w:rPr>
                <w:sz w:val="18"/>
              </w:rPr>
              <w:t>FIX messages in FAST 1.2 encoded format</w:t>
            </w:r>
          </w:p>
        </w:tc>
        <w:tc>
          <w:tcPr>
            <w:tcW w:type="dxa" w:w="2880"/>
          </w:tcPr>
          <w:p>
            <w:pPr/>
            <w:r>
              <w:rPr>
                <w:sz w:val="18"/>
              </w:rPr>
              <w:t>Standardized data for vendor and institutional consumption</w:t>
            </w:r>
          </w:p>
        </w:tc>
      </w:tr>
      <w:tr>
        <w:tc>
          <w:tcPr>
            <w:tcW w:type="dxa" w:w="2880"/>
          </w:tcPr>
          <w:p>
            <w:pPr/>
            <w:r>
              <w:rPr>
                <w:sz w:val="18"/>
              </w:rPr>
              <w:t>HTTP/API</w:t>
            </w:r>
          </w:p>
        </w:tc>
        <w:tc>
          <w:tcPr>
            <w:tcW w:type="dxa" w:w="2880"/>
          </w:tcPr>
          <w:p>
            <w:pPr/>
            <w:r>
              <w:rPr>
                <w:sz w:val="18"/>
              </w:rPr>
              <w:t>Web-based data access</w:t>
            </w:r>
          </w:p>
        </w:tc>
        <w:tc>
          <w:tcPr>
            <w:tcW w:type="dxa" w:w="2880"/>
          </w:tcPr>
          <w:p>
            <w:pPr/>
            <w:r>
              <w:rPr>
                <w:sz w:val="18"/>
              </w:rPr>
              <w:t>BSE website and authorized data vendors</w:t>
            </w:r>
          </w:p>
        </w:tc>
      </w:tr>
    </w:tbl>
    <w:p/>
    <w:p>
      <w:pPr>
        <w:pStyle w:val="Heading3"/>
      </w:pPr>
      <w:r>
        <w:t>6.2 Data Levels</w:t>
      </w:r>
    </w:p>
    <w:p>
      <w:pPr>
        <w:pStyle w:val="ListBullet"/>
      </w:pPr>
      <w:r>
        <w:t>Level 1 (Real-Time): Best bid/ask, last traded price, volume â available for Equity, Equity Derivatives, and Debt segments</w:t>
      </w:r>
    </w:p>
    <w:p>
      <w:pPr>
        <w:pStyle w:val="ListBullet"/>
      </w:pPr>
      <w:r>
        <w:t>Level 2 (Real-Time): Market depth (multiple price levels) â available for Equity and Equity Derivatives</w:t>
      </w:r>
    </w:p>
    <w:p>
      <w:pPr>
        <w:pStyle w:val="ListBullet"/>
      </w:pPr>
      <w:r>
        <w:t>Snapshot/End-of-Day: Bhav Copy (daily trade file), corporate actions data, index data</w:t>
      </w:r>
    </w:p>
    <w:p>
      <w:pPr>
        <w:pStyle w:val="Heading3"/>
      </w:pPr>
      <w:r>
        <w:t>6.3 Distribution Infrastructure</w:t>
      </w:r>
    </w:p>
    <w:p>
      <w:pPr>
        <w:pStyle w:val="ListBullet"/>
      </w:pPr>
      <w:r>
        <w:t>Market data distributed via leased lines (10 Mbps recommended for full NFCAST coverage) and internet</w:t>
      </w:r>
    </w:p>
    <w:p>
      <w:pPr>
        <w:pStyle w:val="ListBullet"/>
      </w:pPr>
      <w:r>
        <w:t>Separate connectivity recommended to both BSE Primary and Secondary sites for redundancy</w:t>
      </w:r>
    </w:p>
    <w:p>
      <w:pPr>
        <w:pStyle w:val="ListBullet"/>
      </w:pPr>
      <w:r>
        <w:t>Data available through authorized vendors (Bloomberg, Refinitiv, etc.) and BSE's own data products portal</w:t>
      </w:r>
    </w:p>
    <w:p>
      <w:pPr>
        <w:pStyle w:val="ListBullet"/>
      </w:pPr>
      <w:r>
        <w:t>Co-located participants receive lowest-latency data feeds</w:t>
      </w:r>
    </w:p>
    <w:p>
      <w:pPr>
        <w:pStyle w:val="Heading3"/>
      </w:pPr>
      <w:r>
        <w:t>6.4 Historical Data</w:t>
      </w:r>
    </w:p>
    <w:p>
      <w:pPr>
        <w:pStyle w:val="ListBullet"/>
      </w:pPr>
      <w:r>
        <w:t>BSE provides historical equity market data (daily, monthly, yearly) via its website</w:t>
      </w:r>
    </w:p>
    <w:p>
      <w:pPr>
        <w:pStyle w:val="ListBullet"/>
      </w:pPr>
      <w:r>
        <w:t>Bhav Copy files available for download (daily closing data for all securities)</w:t>
      </w:r>
    </w:p>
    <w:p>
      <w:pPr>
        <w:pStyle w:val="ListBullet"/>
      </w:pPr>
      <w:r>
        <w:t>Historical index data for SENSEX and other BSE indices available</w:t>
      </w:r>
    </w:p>
    <w:p>
      <w:pPr>
        <w:pStyle w:val="ListBullet"/>
      </w:pPr>
      <w:r>
        <w:t>Third-party vendors also distribute BSE historical data</w:t>
      </w:r>
    </w:p>
    <w:p>
      <w:r>
        <w:t>────────────────────────────────────────────────────────────</w:t>
      </w:r>
    </w:p>
    <w:p>
      <w:pPr>
        <w:pStyle w:val="Heading2"/>
      </w:pPr>
      <w:r>
        <w:t>7. Connectivity &amp; Access</w:t>
      </w:r>
    </w:p>
    <w:p>
      <w:pPr>
        <w:pStyle w:val="Heading3"/>
      </w:pPr>
      <w:r>
        <w:t>7.1 Membership / Participation</w:t>
      </w:r>
    </w:p>
    <w:p>
      <w:pPr>
        <w:pStyle w:val="ListBullet"/>
      </w:pPr>
      <w:r>
        <w:t>BSE trading members must be registered with SEBI as stockbrokers</w:t>
      </w:r>
    </w:p>
    <w:p>
      <w:pPr>
        <w:pStyle w:val="ListBullet"/>
      </w:pPr>
      <w:r>
        <w:t>Members must meet net worth requirements prescribed by SEBI (minimum net worth varies by segment)</w:t>
      </w:r>
    </w:p>
    <w:p>
      <w:pPr>
        <w:pStyle w:val="ListBullet"/>
      </w:pPr>
      <w:r>
        <w:t>Non-member access available through DMA (Direct Market Access) arrangements with registered brokers, subject to SEBI DMA guidelines</w:t>
      </w:r>
    </w:p>
    <w:p>
      <w:pPr>
        <w:pStyle w:val="Heading3"/>
      </w:pPr>
      <w:r>
        <w:t>7.2 Connection Methods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Method</w:t>
            </w:r>
          </w:p>
        </w:tc>
        <w:tc>
          <w:tcPr>
            <w:tcW w:type="dxa" w:w="4320"/>
          </w:tcPr>
          <w:p>
            <w:pPr/>
            <w:r>
              <w:rPr>
                <w:b/>
                <w:sz w:val="18"/>
              </w:rPr>
              <w:t>Description</w:t>
            </w:r>
          </w:p>
        </w:tc>
      </w:tr>
      <w:tr>
        <w:tc>
          <w:tcPr>
            <w:tcW w:type="dxa" w:w="4320"/>
          </w:tcPr>
          <w:p>
            <w:pPr/>
            <w:r>
              <w:rPr>
                <w:sz w:val="18"/>
              </w:rPr>
              <w:t>BOLT Plus Terminal</w:t>
            </w:r>
          </w:p>
        </w:tc>
        <w:tc>
          <w:tcPr>
            <w:tcW w:type="dxa" w:w="4320"/>
          </w:tcPr>
          <w:p>
            <w:pPr/>
            <w:r>
              <w:rPr>
                <w:sz w:val="18"/>
              </w:rPr>
              <w:t>Exchange-provided or approved trading workstation</w:t>
            </w:r>
          </w:p>
        </w:tc>
      </w:tr>
      <w:tr>
        <w:tc>
          <w:tcPr>
            <w:tcW w:type="dxa" w:w="4320"/>
          </w:tcPr>
          <w:p>
            <w:pPr/>
            <w:r>
              <w:rPr>
                <w:sz w:val="18"/>
              </w:rPr>
              <w:t>BOLT Plus on Web (BPoW)</w:t>
            </w:r>
          </w:p>
        </w:tc>
        <w:tc>
          <w:tcPr>
            <w:tcW w:type="dxa" w:w="4320"/>
          </w:tcPr>
          <w:p>
            <w:pPr/>
            <w:r>
              <w:rPr>
                <w:sz w:val="18"/>
              </w:rPr>
              <w:t>Browser-based terminal accessible via internet</w:t>
            </w:r>
          </w:p>
        </w:tc>
      </w:tr>
      <w:tr>
        <w:tc>
          <w:tcPr>
            <w:tcW w:type="dxa" w:w="4320"/>
          </w:tcPr>
          <w:p>
            <w:pPr/>
            <w:r>
              <w:rPr>
                <w:sz w:val="18"/>
              </w:rPr>
              <w:t>ETI (Enhanced Trading Interface)</w:t>
            </w:r>
          </w:p>
        </w:tc>
        <w:tc>
          <w:tcPr>
            <w:tcW w:type="dxa" w:w="4320"/>
          </w:tcPr>
          <w:p>
            <w:pPr/>
            <w:r>
              <w:rPr>
                <w:sz w:val="18"/>
              </w:rPr>
              <w:t>API-based connectivity for algorithmic/program trading; FIX-based protocol</w:t>
            </w:r>
          </w:p>
        </w:tc>
      </w:tr>
      <w:tr>
        <w:tc>
          <w:tcPr>
            <w:tcW w:type="dxa" w:w="4320"/>
          </w:tcPr>
          <w:p>
            <w:pPr/>
            <w:r>
              <w:rPr>
                <w:sz w:val="18"/>
              </w:rPr>
              <w:t>CTCL (Computer-to-Computer Link)</w:t>
            </w:r>
          </w:p>
        </w:tc>
        <w:tc>
          <w:tcPr>
            <w:tcW w:type="dxa" w:w="4320"/>
          </w:tcPr>
          <w:p>
            <w:pPr/>
            <w:r>
              <w:rPr>
                <w:sz w:val="18"/>
              </w:rPr>
              <w:t>Broker front-end systems connected to BSE via approved vendor software</w:t>
            </w:r>
          </w:p>
        </w:tc>
      </w:tr>
      <w:tr>
        <w:tc>
          <w:tcPr>
            <w:tcW w:type="dxa" w:w="4320"/>
          </w:tcPr>
          <w:p>
            <w:pPr/>
            <w:r>
              <w:rPr>
                <w:sz w:val="18"/>
              </w:rPr>
              <w:t>DMA (Direct Market Access)</w:t>
            </w:r>
          </w:p>
        </w:tc>
        <w:tc>
          <w:tcPr>
            <w:tcW w:type="dxa" w:w="4320"/>
          </w:tcPr>
          <w:p>
            <w:pPr/>
            <w:r>
              <w:rPr>
                <w:sz w:val="18"/>
              </w:rPr>
              <w:t>Institutional clients route orders directly through broker infrastructure</w:t>
            </w:r>
          </w:p>
        </w:tc>
      </w:tr>
    </w:tbl>
    <w:p/>
    <w:p>
      <w:pPr>
        <w:pStyle w:val="Heading3"/>
      </w:pPr>
      <w:r>
        <w:t>7.3 Co-location / Proximity Services</w:t>
      </w:r>
    </w:p>
    <w:p>
      <w:pPr>
        <w:pStyle w:val="ListBullet"/>
      </w:pPr>
      <w:r>
        <w:t>Location: BSE co-location facility in Mumbai, operated in partnership with NTT (formerly Netmagic)</w:t>
      </w:r>
    </w:p>
    <w:p>
      <w:pPr>
        <w:pStyle w:val="ListBullet"/>
      </w:pPr>
      <w:r>
        <w:t>Offerings: Rack space, cross-connects to BSE matching engine, low-latency data feeds; access to BSE and other exchanges from co-located servers</w:t>
      </w:r>
    </w:p>
    <w:p>
      <w:pPr>
        <w:pStyle w:val="ListBullet"/>
      </w:pPr>
      <w:r>
        <w:t>Thomson Reuters (now LSEG/Refinitiv) selected BSE co-location as India hub for its Elektron platform</w:t>
      </w:r>
    </w:p>
    <w:p>
      <w:pPr>
        <w:pStyle w:val="Heading3"/>
      </w:pPr>
      <w:r>
        <w:t>7.4 API Protocols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Protocol</w:t>
            </w:r>
          </w:p>
        </w:tc>
        <w:tc>
          <w:tcPr>
            <w:tcW w:type="dxa" w:w="4320"/>
          </w:tcPr>
          <w:p>
            <w:pPr/>
            <w:r>
              <w:rPr>
                <w:b/>
                <w:sz w:val="18"/>
              </w:rPr>
              <w:t>Use Case</w:t>
            </w:r>
          </w:p>
        </w:tc>
      </w:tr>
      <w:tr>
        <w:tc>
          <w:tcPr>
            <w:tcW w:type="dxa" w:w="4320"/>
          </w:tcPr>
          <w:p>
            <w:pPr/>
            <w:r>
              <w:rPr>
                <w:sz w:val="18"/>
              </w:rPr>
              <w:t>FIX (via ETI)</w:t>
            </w:r>
          </w:p>
        </w:tc>
        <w:tc>
          <w:tcPr>
            <w:tcW w:type="dxa" w:w="4320"/>
          </w:tcPr>
          <w:p>
            <w:pPr/>
            <w:r>
              <w:rPr>
                <w:sz w:val="18"/>
              </w:rPr>
              <w:t>Order submission, execution reports, algorithmic trading</w:t>
            </w:r>
          </w:p>
        </w:tc>
      </w:tr>
      <w:tr>
        <w:tc>
          <w:tcPr>
            <w:tcW w:type="dxa" w:w="4320"/>
          </w:tcPr>
          <w:p>
            <w:pPr/>
            <w:r>
              <w:rPr>
                <w:sz w:val="18"/>
              </w:rPr>
              <w:t>FAST 1.2</w:t>
            </w:r>
          </w:p>
        </w:tc>
        <w:tc>
          <w:tcPr>
            <w:tcW w:type="dxa" w:w="4320"/>
          </w:tcPr>
          <w:p>
            <w:pPr/>
            <w:r>
              <w:rPr>
                <w:sz w:val="18"/>
              </w:rPr>
              <w:t>Market data encoding/decoding</w:t>
            </w:r>
          </w:p>
        </w:tc>
      </w:tr>
      <w:tr>
        <w:tc>
          <w:tcPr>
            <w:tcW w:type="dxa" w:w="4320"/>
          </w:tcPr>
          <w:p>
            <w:pPr/>
            <w:r>
              <w:rPr>
                <w:sz w:val="18"/>
              </w:rPr>
              <w:t>REST API</w:t>
            </w:r>
          </w:p>
        </w:tc>
        <w:tc>
          <w:tcPr>
            <w:tcW w:type="dxa" w:w="4320"/>
          </w:tcPr>
          <w:p>
            <w:pPr/>
            <w:r>
              <w:rPr>
                <w:sz w:val="18"/>
              </w:rPr>
              <w:t>BSE StAR MF platform (mutual fund transactions)</w:t>
            </w:r>
          </w:p>
        </w:tc>
      </w:tr>
    </w:tbl>
    <w:p/>
    <w:p>
      <w:pPr>
        <w:pStyle w:val="Heading3"/>
      </w:pPr>
      <w:r>
        <w:t>7.5 Certification / Testing</w:t>
      </w:r>
    </w:p>
    <w:p>
      <w:pPr>
        <w:pStyle w:val="ListBullet"/>
      </w:pPr>
      <w:r>
        <w:t>BSE provides a New Trading Architecture (NTA) test environment for members to test BOLT Plus connectivity</w:t>
      </w:r>
    </w:p>
    <w:p>
      <w:pPr>
        <w:pStyle w:val="ListBullet"/>
      </w:pPr>
      <w:r>
        <w:t>Mandatory certification/mock trading sessions before go-live for new members or system changes</w:t>
      </w:r>
    </w:p>
    <w:p>
      <w:pPr>
        <w:pStyle w:val="ListBullet"/>
      </w:pPr>
      <w:r>
        <w:t>Separate test environments for Equity, Derivatives, and Currency segments</w:t>
      </w:r>
    </w:p>
    <w:p>
      <w:r>
        <w:t>────────────────────────────────────────────────────────────</w:t>
      </w:r>
    </w:p>
    <w:p>
      <w:pPr>
        <w:pStyle w:val="Heading2"/>
      </w:pPr>
      <w:r>
        <w:t>8. Risk Controls &amp; Circuit Breakers</w:t>
      </w:r>
    </w:p>
    <w:p>
      <w:pPr>
        <w:pStyle w:val="Heading3"/>
      </w:pPr>
      <w:r>
        <w:t>8.1 Price Limits (Individual Securities)</w:t>
      </w:r>
    </w:p>
    <w:p>
      <w:r>
        <w:t>Daily price bands are applied to individual securities to curb abnormal volatility. The applicable band depends on the security's classification and surveillance status: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Band</w:t>
            </w:r>
          </w:p>
        </w:tc>
        <w:tc>
          <w:tcPr>
            <w:tcW w:type="dxa" w:w="4320"/>
          </w:tcPr>
          <w:p>
            <w:pPr/>
            <w:r>
              <w:rPr>
                <w:b/>
                <w:sz w:val="18"/>
              </w:rPr>
              <w:t>Applicable Securities</w:t>
            </w:r>
          </w:p>
        </w:tc>
      </w:tr>
      <w:tr>
        <w:tc>
          <w:tcPr>
            <w:tcW w:type="dxa" w:w="4320"/>
          </w:tcPr>
          <w:p>
            <w:pPr/>
            <w:r>
              <w:rPr>
                <w:sz w:val="18"/>
              </w:rPr>
              <w:t>No price band</w:t>
            </w:r>
          </w:p>
        </w:tc>
        <w:tc>
          <w:tcPr>
            <w:tcW w:type="dxa" w:w="4320"/>
          </w:tcPr>
          <w:p>
            <w:pPr/>
            <w:r>
              <w:rPr>
                <w:sz w:val="18"/>
              </w:rPr>
              <w:t>Securities in derivatives segment (F&amp;O stocks)</w:t>
            </w:r>
          </w:p>
        </w:tc>
      </w:tr>
      <w:tr>
        <w:tc>
          <w:tcPr>
            <w:tcW w:type="dxa" w:w="4320"/>
          </w:tcPr>
          <w:p>
            <w:pPr/>
            <w:r>
              <w:rPr>
                <w:sz w:val="18"/>
              </w:rPr>
              <w:t>2%</w:t>
            </w:r>
          </w:p>
        </w:tc>
        <w:tc>
          <w:tcPr>
            <w:tcW w:type="dxa" w:w="4320"/>
          </w:tcPr>
          <w:p>
            <w:pPr/>
            <w:r>
              <w:rPr>
                <w:sz w:val="18"/>
              </w:rPr>
              <w:t>Securities under Enhanced Surveillance Measures (ESM) Stage I</w:t>
            </w:r>
          </w:p>
        </w:tc>
      </w:tr>
      <w:tr>
        <w:tc>
          <w:tcPr>
            <w:tcW w:type="dxa" w:w="4320"/>
          </w:tcPr>
          <w:p>
            <w:pPr/>
            <w:r>
              <w:rPr>
                <w:sz w:val="18"/>
              </w:rPr>
              <w:t>5%</w:t>
            </w:r>
          </w:p>
        </w:tc>
        <w:tc>
          <w:tcPr>
            <w:tcW w:type="dxa" w:w="4320"/>
          </w:tcPr>
          <w:p>
            <w:pPr/>
            <w:r>
              <w:rPr>
                <w:sz w:val="18"/>
              </w:rPr>
              <w:t>Securities under ESM or periodic call auction regime</w:t>
            </w:r>
          </w:p>
        </w:tc>
      </w:tr>
      <w:tr>
        <w:tc>
          <w:tcPr>
            <w:tcW w:type="dxa" w:w="4320"/>
          </w:tcPr>
          <w:p>
            <w:pPr/>
            <w:r>
              <w:rPr>
                <w:sz w:val="18"/>
              </w:rPr>
              <w:t>10%</w:t>
            </w:r>
          </w:p>
        </w:tc>
        <w:tc>
          <w:tcPr>
            <w:tcW w:type="dxa" w:w="4320"/>
          </w:tcPr>
          <w:p>
            <w:pPr/>
            <w:r>
              <w:rPr>
                <w:sz w:val="18"/>
              </w:rPr>
              <w:t>Standard price band for select securities</w:t>
            </w:r>
          </w:p>
        </w:tc>
      </w:tr>
      <w:tr>
        <w:tc>
          <w:tcPr>
            <w:tcW w:type="dxa" w:w="4320"/>
          </w:tcPr>
          <w:p>
            <w:pPr/>
            <w:r>
              <w:rPr>
                <w:sz w:val="18"/>
              </w:rPr>
              <w:t>20%</w:t>
            </w:r>
          </w:p>
        </w:tc>
        <w:tc>
          <w:tcPr>
            <w:tcW w:type="dxa" w:w="4320"/>
          </w:tcPr>
          <w:p>
            <w:pPr/>
            <w:r>
              <w:rPr>
                <w:sz w:val="18"/>
              </w:rPr>
              <w:t>Standard price band for most other securities</w:t>
            </w:r>
          </w:p>
        </w:tc>
      </w:tr>
    </w:tbl>
    <w:p/>
    <w:p>
      <w:r>
        <w:t>Note: Price bands are reviewed periodically by BSE in consultation with SEBI. Securities may be shifted to narrower bands based on surveillance triggers.</w:t>
      </w:r>
    </w:p>
    <w:p>
      <w:pPr>
        <w:pStyle w:val="Heading3"/>
      </w:pPr>
      <w:r>
        <w:t>8.2 Circuit Breakers (Index-Based, Market-Wide)</w:t>
      </w:r>
    </w:p>
    <w:p>
      <w:r>
        <w:t>SEBI mandates index-based market-wide circuit breakers at three levels, triggered by movement in either the BSE SENSEX or NSE NIFTY 50 (whichever breaches first). When triggered, trading halts in all equity and equity derivative markets nationwide (both BSE and NSE halt simultaneously).</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r>
              <w:rPr>
                <w:b/>
                <w:sz w:val="18"/>
              </w:rPr>
              <w:t>Level</w:t>
            </w:r>
          </w:p>
        </w:tc>
        <w:tc>
          <w:tcPr>
            <w:tcW w:type="dxa" w:w="1728"/>
          </w:tcPr>
          <w:p>
            <w:pPr/>
            <w:r>
              <w:rPr>
                <w:b/>
                <w:sz w:val="18"/>
              </w:rPr>
              <w:t>Trigger</w:t>
            </w:r>
          </w:p>
        </w:tc>
        <w:tc>
          <w:tcPr>
            <w:tcW w:type="dxa" w:w="1728"/>
          </w:tcPr>
          <w:p>
            <w:pPr/>
            <w:r>
              <w:rPr>
                <w:b/>
                <w:sz w:val="18"/>
              </w:rPr>
              <w:t>Halt if Before 1:00 PM</w:t>
            </w:r>
          </w:p>
        </w:tc>
        <w:tc>
          <w:tcPr>
            <w:tcW w:type="dxa" w:w="1728"/>
          </w:tcPr>
          <w:p>
            <w:pPr/>
            <w:r>
              <w:rPr>
                <w:b/>
                <w:sz w:val="18"/>
              </w:rPr>
              <w:t>Halt if 1:00â2:30 PM</w:t>
            </w:r>
          </w:p>
        </w:tc>
        <w:tc>
          <w:tcPr>
            <w:tcW w:type="dxa" w:w="1728"/>
          </w:tcPr>
          <w:p>
            <w:pPr/>
            <w:r>
              <w:rPr>
                <w:b/>
                <w:sz w:val="18"/>
              </w:rPr>
              <w:t>Halt if After 2:30 PM</w:t>
            </w:r>
          </w:p>
        </w:tc>
      </w:tr>
      <w:tr>
        <w:tc>
          <w:tcPr>
            <w:tcW w:type="dxa" w:w="1728"/>
          </w:tcPr>
          <w:p>
            <w:pPr/>
            <w:r>
              <w:rPr>
                <w:sz w:val="18"/>
              </w:rPr>
              <w:t>**Level 1**</w:t>
            </w:r>
          </w:p>
        </w:tc>
        <w:tc>
          <w:tcPr>
            <w:tcW w:type="dxa" w:w="1728"/>
          </w:tcPr>
          <w:p>
            <w:pPr/>
            <w:r>
              <w:rPr>
                <w:sz w:val="18"/>
              </w:rPr>
              <w:t>10% movement (either direction)</w:t>
            </w:r>
          </w:p>
        </w:tc>
        <w:tc>
          <w:tcPr>
            <w:tcW w:type="dxa" w:w="1728"/>
          </w:tcPr>
          <w:p>
            <w:pPr/>
            <w:r>
              <w:rPr>
                <w:sz w:val="18"/>
              </w:rPr>
              <w:t>45-minute halt + 15-min pre-open</w:t>
            </w:r>
          </w:p>
        </w:tc>
        <w:tc>
          <w:tcPr>
            <w:tcW w:type="dxa" w:w="1728"/>
          </w:tcPr>
          <w:p>
            <w:pPr/>
            <w:r>
              <w:rPr>
                <w:sz w:val="18"/>
              </w:rPr>
              <w:t>15-minute halt + 15-min pre-open</w:t>
            </w:r>
          </w:p>
        </w:tc>
        <w:tc>
          <w:tcPr>
            <w:tcW w:type="dxa" w:w="1728"/>
          </w:tcPr>
          <w:p>
            <w:pPr/>
            <w:r>
              <w:rPr>
                <w:sz w:val="18"/>
              </w:rPr>
              <w:t>No halt</w:t>
            </w:r>
          </w:p>
        </w:tc>
      </w:tr>
      <w:tr>
        <w:tc>
          <w:tcPr>
            <w:tcW w:type="dxa" w:w="1728"/>
          </w:tcPr>
          <w:p>
            <w:pPr/>
            <w:r>
              <w:rPr>
                <w:sz w:val="18"/>
              </w:rPr>
              <w:t>**Level 2**</w:t>
            </w:r>
          </w:p>
        </w:tc>
        <w:tc>
          <w:tcPr>
            <w:tcW w:type="dxa" w:w="1728"/>
          </w:tcPr>
          <w:p>
            <w:pPr/>
            <w:r>
              <w:rPr>
                <w:sz w:val="18"/>
              </w:rPr>
              <w:t>15% movement (either direction)</w:t>
            </w:r>
          </w:p>
        </w:tc>
        <w:tc>
          <w:tcPr>
            <w:tcW w:type="dxa" w:w="1728"/>
          </w:tcPr>
          <w:p>
            <w:pPr/>
            <w:r>
              <w:rPr>
                <w:sz w:val="18"/>
              </w:rPr>
              <w:t>1 hour 45 minutes halt + 15-min pre-open</w:t>
            </w:r>
          </w:p>
        </w:tc>
        <w:tc>
          <w:tcPr>
            <w:tcW w:type="dxa" w:w="1728"/>
          </w:tcPr>
          <w:p>
            <w:pPr/>
            <w:r>
              <w:rPr>
                <w:sz w:val="18"/>
              </w:rPr>
              <w:t>45-minute halt + 15-min pre-open</w:t>
            </w:r>
          </w:p>
        </w:tc>
        <w:tc>
          <w:tcPr>
            <w:tcW w:type="dxa" w:w="1728"/>
          </w:tcPr>
          <w:p>
            <w:pPr/>
            <w:r>
              <w:rPr>
                <w:sz w:val="18"/>
              </w:rPr>
              <w:t>Remainder of day</w:t>
            </w:r>
          </w:p>
        </w:tc>
      </w:tr>
      <w:tr>
        <w:tc>
          <w:tcPr>
            <w:tcW w:type="dxa" w:w="1728"/>
          </w:tcPr>
          <w:p>
            <w:pPr/>
            <w:r>
              <w:rPr>
                <w:sz w:val="18"/>
              </w:rPr>
              <w:t>**Level 3**</w:t>
            </w:r>
          </w:p>
        </w:tc>
        <w:tc>
          <w:tcPr>
            <w:tcW w:type="dxa" w:w="1728"/>
          </w:tcPr>
          <w:p>
            <w:pPr/>
            <w:r>
              <w:rPr>
                <w:sz w:val="18"/>
              </w:rPr>
              <w:t>20% movement (either direction)</w:t>
            </w:r>
          </w:p>
        </w:tc>
        <w:tc>
          <w:tcPr>
            <w:tcW w:type="dxa" w:w="1728"/>
          </w:tcPr>
          <w:p>
            <w:pPr/>
            <w:r>
              <w:rPr>
                <w:sz w:val="18"/>
              </w:rPr>
              <w:t>Trading halted for remainder of the day</w:t>
            </w:r>
          </w:p>
        </w:tc>
        <w:tc>
          <w:tcPr>
            <w:tcW w:type="dxa" w:w="1728"/>
          </w:tcPr>
          <w:p>
            <w:pPr/>
            <w:r>
              <w:rPr>
                <w:sz w:val="18"/>
              </w:rPr>
              <w:t>Trading halted for remainder of the day</w:t>
            </w:r>
          </w:p>
        </w:tc>
        <w:tc>
          <w:tcPr>
            <w:tcW w:type="dxa" w:w="1728"/>
          </w:tcPr>
          <w:p>
            <w:pPr/>
            <w:r>
              <w:rPr>
                <w:sz w:val="18"/>
              </w:rPr>
              <w:t>Trading halted for remainder of the day</w:t>
            </w:r>
          </w:p>
        </w:tc>
      </w:tr>
    </w:tbl>
    <w:p/>
    <w:p>
      <w:r>
        <w:t>Notes:</w:t>
      </w:r>
    </w:p>
    <w:p>
      <w:pPr>
        <w:pStyle w:val="ListBullet"/>
      </w:pPr>
      <w:r>
        <w:t>Circuit breaker limits are calculated daily based on the previous day's closing level of SENSEX/NIFTY 50</w:t>
      </w:r>
    </w:p>
    <w:p>
      <w:pPr>
        <w:pStyle w:val="ListBullet"/>
      </w:pPr>
      <w:r>
        <w:t>After a halt, markets reopen with a pre-open call auction session (15 minutes) before resuming continuous trading</w:t>
      </w:r>
    </w:p>
    <w:p>
      <w:pPr>
        <w:pStyle w:val="ListBullet"/>
      </w:pPr>
      <w:r>
        <w:t>This system was introduced by SEBI in 2001 and revised in 2013 (thresholds changed from absolute point limits to percentage-based)</w:t>
      </w:r>
    </w:p>
    <w:p>
      <w:pPr>
        <w:pStyle w:val="Heading3"/>
      </w:pPr>
      <w:r>
        <w:t>8.3 Pre-trade Risk Controls</w:t>
      </w:r>
    </w:p>
    <w:p>
      <w:pPr>
        <w:pStyle w:val="ListBullet"/>
      </w:pPr>
      <w:r>
        <w:t>Fat-finger checks: Maximum order value and quantity limits set at member/exchange level to prevent erroneous large orders</w:t>
      </w:r>
    </w:p>
    <w:p>
      <w:pPr>
        <w:pStyle w:val="ListBullet"/>
      </w:pPr>
      <w:r>
        <w:t>Order size limits: Maximum order size controls prescribed by SEBI; brokers must implement pre-trade risk checks under SEBI's December 2012 circular on pre-trade risk controls</w:t>
      </w:r>
    </w:p>
    <w:p>
      <w:pPr>
        <w:pStyle w:val="ListBullet"/>
      </w:pPr>
      <w:r>
        <w:t>Throttling: Order rate limits per connection to prevent system overload</w:t>
      </w:r>
    </w:p>
    <w:p>
      <w:pPr>
        <w:pStyle w:val="ListBullet"/>
      </w:pPr>
      <w:r>
        <w:t>Real-time margin monitoring: ICCL monitors margin adequacy in real-time; positions can be squared off if margins fall below required levels</w:t>
      </w:r>
    </w:p>
    <w:p>
      <w:pPr>
        <w:pStyle w:val="ListBullet"/>
      </w:pPr>
      <w:r>
        <w:t>DMA risk controls: SEBI requires brokers offering DMA to implement pre-trade risk management including order-level and client-level checks</w:t>
      </w:r>
    </w:p>
    <w:p>
      <w:pPr>
        <w:pStyle w:val="Heading3"/>
      </w:pPr>
      <w:r>
        <w:t>8.4 Kill Switch</w:t>
      </w:r>
    </w:p>
    <w:p>
      <w:pPr>
        <w:pStyle w:val="ListBullet"/>
      </w:pPr>
      <w:r>
        <w:t>Brokers are required to have the ability to immediately disable or disconnect client trading in case of malfunctioning algorithms or systems</w:t>
      </w:r>
    </w:p>
    <w:p>
      <w:pPr>
        <w:pStyle w:val="ListBullet"/>
      </w:pPr>
      <w:r>
        <w:t>BSE can disable a member's trading access in extreme situations [unverified â specific kill switch implementation details not confirmed]</w:t>
      </w:r>
    </w:p>
    <w:p>
      <w:pPr>
        <w:pStyle w:val="Heading3"/>
      </w:pPr>
      <w:r>
        <w:t>8.5 Graded Surveillance Measures (GSM) and Additional Surveillance Measures (ASM)</w:t>
      </w:r>
    </w:p>
    <w:p>
      <w:pPr>
        <w:pStyle w:val="ListBullet"/>
      </w:pPr>
      <w:r>
        <w:t>GSM: Applied to securities whose price movement is not commensurate with financial health. Actions include: transfer to Trade-to-Trade segment, additional surveillance deposit requirements, weekly-only trading, and price freeze on upper side</w:t>
      </w:r>
    </w:p>
    <w:p>
      <w:pPr>
        <w:pStyle w:val="ListBullet"/>
      </w:pPr>
      <w:r>
        <w:t>ASM: Applied to securities showing abnormal price/volume movements. Actions include: reduced price bands (5% or 2%), transfer to T2T settlement, 100% margin requirement</w:t>
      </w:r>
    </w:p>
    <w:p>
      <w:r>
        <w:t>────────────────────────────────────────────────────────────</w:t>
      </w:r>
    </w:p>
    <w:p>
      <w:pPr>
        <w:pStyle w:val="Heading2"/>
      </w:pPr>
      <w:r>
        <w:t>9. Regulatory Framework</w:t>
      </w:r>
    </w:p>
    <w:p>
      <w:pPr>
        <w:pStyle w:val="Heading3"/>
      </w:pPr>
      <w:r>
        <w:t>9.1 Supervising Authority</w:t>
      </w:r>
    </w:p>
    <w:p>
      <w:pPr>
        <w:pStyle w:val="ListBullet"/>
      </w:pPr>
      <w:r>
        <w:t>Securities and Exchange Board of India (SEBI) â primary regulator of securities markets in India</w:t>
      </w:r>
    </w:p>
    <w:p>
      <w:pPr>
        <w:pStyle w:val="ListBullet"/>
      </w:pPr>
      <w:r>
        <w:t>SEBI established in 1988 (statutory authority since 1992 under the SEBI Act)</w:t>
      </w:r>
    </w:p>
    <w:p>
      <w:pPr>
        <w:pStyle w:val="ListBullet"/>
      </w:pPr>
      <w:r>
        <w:t>SEBI has jurisdiction over stock exchanges, listed companies, intermediaries (brokers, depositories, clearing corporations), and investor protection</w:t>
      </w:r>
    </w:p>
    <w:p>
      <w:pPr>
        <w:pStyle w:val="ListBullet"/>
      </w:pPr>
      <w:r>
        <w:t>Reserve Bank of India (RBI) jointly regulates currency derivatives with SEBI</w:t>
      </w:r>
    </w:p>
    <w:p>
      <w:pPr>
        <w:pStyle w:val="Heading3"/>
      </w:pPr>
      <w:r>
        <w:t>9.2 Key Regulations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Regulation</w:t>
            </w:r>
          </w:p>
        </w:tc>
        <w:tc>
          <w:tcPr>
            <w:tcW w:type="dxa" w:w="4320"/>
          </w:tcPr>
          <w:p>
            <w:pPr/>
            <w:r>
              <w:rPr>
                <w:b/>
                <w:sz w:val="18"/>
              </w:rPr>
              <w:t>Description</w:t>
            </w:r>
          </w:p>
        </w:tc>
      </w:tr>
      <w:tr>
        <w:tc>
          <w:tcPr>
            <w:tcW w:type="dxa" w:w="4320"/>
          </w:tcPr>
          <w:p>
            <w:pPr/>
            <w:r>
              <w:rPr>
                <w:sz w:val="18"/>
              </w:rPr>
              <w:t>**Securities Contracts (Regulation) Act, 1956 (SCRA)**</w:t>
            </w:r>
          </w:p>
        </w:tc>
        <w:tc>
          <w:tcPr>
            <w:tcW w:type="dxa" w:w="4320"/>
          </w:tcPr>
          <w:p>
            <w:pPr/>
            <w:r>
              <w:rPr>
                <w:sz w:val="18"/>
              </w:rPr>
              <w:t>Primary legislation governing stock exchanges, listing, and trading of securities in India; provides for recognition and regulation of stock exchanges</w:t>
            </w:r>
          </w:p>
        </w:tc>
      </w:tr>
      <w:tr>
        <w:tc>
          <w:tcPr>
            <w:tcW w:type="dxa" w:w="4320"/>
          </w:tcPr>
          <w:p>
            <w:pPr/>
            <w:r>
              <w:rPr>
                <w:sz w:val="18"/>
              </w:rPr>
              <w:t>**Securities and Exchange Board of India Act, 1992**</w:t>
            </w:r>
          </w:p>
        </w:tc>
        <w:tc>
          <w:tcPr>
            <w:tcW w:type="dxa" w:w="4320"/>
          </w:tcPr>
          <w:p>
            <w:pPr/>
            <w:r>
              <w:rPr>
                <w:sz w:val="18"/>
              </w:rPr>
              <w:t>Establishes SEBI and confers powers for regulation of the securities market; investor protection mandate</w:t>
            </w:r>
          </w:p>
        </w:tc>
      </w:tr>
      <w:tr>
        <w:tc>
          <w:tcPr>
            <w:tcW w:type="dxa" w:w="4320"/>
          </w:tcPr>
          <w:p>
            <w:pPr/>
            <w:r>
              <w:rPr>
                <w:sz w:val="18"/>
              </w:rPr>
              <w:t>**Depositories Act, 1996**</w:t>
            </w:r>
          </w:p>
        </w:tc>
        <w:tc>
          <w:tcPr>
            <w:tcW w:type="dxa" w:w="4320"/>
          </w:tcPr>
          <w:p>
            <w:pPr/>
            <w:r>
              <w:rPr>
                <w:sz w:val="18"/>
              </w:rPr>
              <w:t>Governs depositories (NSDL, CDSL) and dematerialization of securities</w:t>
            </w:r>
          </w:p>
        </w:tc>
      </w:tr>
      <w:tr>
        <w:tc>
          <w:tcPr>
            <w:tcW w:type="dxa" w:w="4320"/>
          </w:tcPr>
          <w:p>
            <w:pPr/>
            <w:r>
              <w:rPr>
                <w:sz w:val="18"/>
              </w:rPr>
              <w:t>**SEBI (Stock Exchanges and Clearing Corporations) Regulations, 2018**</w:t>
            </w:r>
          </w:p>
        </w:tc>
        <w:tc>
          <w:tcPr>
            <w:tcW w:type="dxa" w:w="4320"/>
          </w:tcPr>
          <w:p>
            <w:pPr/>
            <w:r>
              <w:rPr>
                <w:sz w:val="18"/>
              </w:rPr>
              <w:t>Governs governance, operations, and risk management of stock exchanges and clearing corporations</w:t>
            </w:r>
          </w:p>
        </w:tc>
      </w:tr>
      <w:tr>
        <w:tc>
          <w:tcPr>
            <w:tcW w:type="dxa" w:w="4320"/>
          </w:tcPr>
          <w:p>
            <w:pPr/>
            <w:r>
              <w:rPr>
                <w:sz w:val="18"/>
              </w:rPr>
              <w:t>**SEBI (Listing Obligations and Disclosure Requirements) Regulations, 2015 (LODR)**</w:t>
            </w:r>
          </w:p>
        </w:tc>
        <w:tc>
          <w:tcPr>
            <w:tcW w:type="dxa" w:w="4320"/>
          </w:tcPr>
          <w:p>
            <w:pPr/>
            <w:r>
              <w:rPr>
                <w:sz w:val="18"/>
              </w:rPr>
              <w:t>Mandates continuous disclosure obligations for listed entities</w:t>
            </w:r>
          </w:p>
        </w:tc>
      </w:tr>
      <w:tr>
        <w:tc>
          <w:tcPr>
            <w:tcW w:type="dxa" w:w="4320"/>
          </w:tcPr>
          <w:p>
            <w:pPr/>
            <w:r>
              <w:rPr>
                <w:sz w:val="18"/>
              </w:rPr>
              <w:t>**SEBI (Prohibition of Insider Trading) Regulations, 2015**</w:t>
            </w:r>
          </w:p>
        </w:tc>
        <w:tc>
          <w:tcPr>
            <w:tcW w:type="dxa" w:w="4320"/>
          </w:tcPr>
          <w:p>
            <w:pPr/>
            <w:r>
              <w:rPr>
                <w:sz w:val="18"/>
              </w:rPr>
              <w:t>Prohibits insider trading and mandates disclosure of trades by designated persons</w:t>
            </w:r>
          </w:p>
        </w:tc>
      </w:tr>
      <w:tr>
        <w:tc>
          <w:tcPr>
            <w:tcW w:type="dxa" w:w="4320"/>
          </w:tcPr>
          <w:p>
            <w:pPr/>
            <w:r>
              <w:rPr>
                <w:sz w:val="18"/>
              </w:rPr>
              <w:t>**SEBI (Prohibition of Fraudulent and Unfair Trade Practices) Regulations, 2003**</w:t>
            </w:r>
          </w:p>
        </w:tc>
        <w:tc>
          <w:tcPr>
            <w:tcW w:type="dxa" w:w="4320"/>
          </w:tcPr>
          <w:p>
            <w:pPr/>
            <w:r>
              <w:rPr>
                <w:sz w:val="18"/>
              </w:rPr>
              <w:t>Prohibits market manipulation, front-running, and other unfair trade practices</w:t>
            </w:r>
          </w:p>
        </w:tc>
      </w:tr>
      <w:tr>
        <w:tc>
          <w:tcPr>
            <w:tcW w:type="dxa" w:w="4320"/>
          </w:tcPr>
          <w:p>
            <w:pPr/>
            <w:r>
              <w:rPr>
                <w:sz w:val="18"/>
              </w:rPr>
              <w:t>**Securities Markets Code, 2025 (Bill)**</w:t>
            </w:r>
          </w:p>
        </w:tc>
        <w:tc>
          <w:tcPr>
            <w:tcW w:type="dxa" w:w="4320"/>
          </w:tcPr>
          <w:p>
            <w:pPr/>
            <w:r>
              <w:rPr>
                <w:sz w:val="18"/>
              </w:rPr>
              <w:t>Introduced in Lok Sabha on December 18, 2025; proposes consolidation of SCRA, SEBI Act, and Depositories Act into a single unified statute; expands SEBI board from 9 to 15 members; decriminalizes minor lapses; introduces 8-year limitation on investigations; pending parliamentary approval as of April 2026</w:t>
            </w:r>
          </w:p>
        </w:tc>
      </w:tr>
    </w:tbl>
    <w:p/>
    <w:p>
      <w:pPr>
        <w:pStyle w:val="Heading3"/>
      </w:pPr>
      <w:r>
        <w:t>9.3 Market Surveillance</w:t>
      </w:r>
    </w:p>
    <w:p>
      <w:pPr>
        <w:pStyle w:val="ListBullet"/>
      </w:pPr>
      <w:r>
        <w:t>BSE Surveillance Department: Established July 1999; conducts on-line surveillance (real-time price/volume monitoring) and off-line surveillance (post-trade investigations and analysis)</w:t>
      </w:r>
    </w:p>
    <w:p>
      <w:pPr>
        <w:pStyle w:val="ListBullet"/>
      </w:pPr>
      <w:r>
        <w:t>SEBI Integrated Market Surveillance System (IMSS): Went live in 2007; collects transaction and master data from exchanges and depositories daily; generates alerts for predefined market manipulation scenarios</w:t>
      </w:r>
    </w:p>
    <w:p>
      <w:pPr>
        <w:pStyle w:val="ListBullet"/>
      </w:pPr>
      <w:r>
        <w:t>Joint Surveillance Meetings: BSE, NSE, and SEBI hold regular joint surveillance meetings to coordinate surveillance actions (e.g., GSM, ASM, price band changes)</w:t>
      </w:r>
    </w:p>
    <w:p>
      <w:pPr>
        <w:pStyle w:val="ListBullet"/>
      </w:pPr>
      <w:r>
        <w:t>Automated Alerts: Systems flag unusual price movements, volume spikes, concentrated positions, and potential front-running</w:t>
      </w:r>
    </w:p>
    <w:p>
      <w:pPr>
        <w:pStyle w:val="Heading3"/>
      </w:pPr>
      <w:r>
        <w:t>9.4 Reporting Requirements</w:t>
      </w:r>
    </w:p>
    <w:p>
      <w:pPr>
        <w:pStyle w:val="ListBullet"/>
      </w:pPr>
      <w:r>
        <w:t>Listed companies must comply with SEBI LODR 2015 â quarterly financial results, corporate governance reports, material event disclosures, shareholding pattern disclosures</w:t>
      </w:r>
    </w:p>
    <w:p>
      <w:pPr>
        <w:pStyle w:val="ListBullet"/>
      </w:pPr>
      <w:r>
        <w:t>Brokers must report daily client-level trading data to exchange and SEBI</w:t>
      </w:r>
    </w:p>
    <w:p>
      <w:pPr>
        <w:pStyle w:val="ListBullet"/>
      </w:pPr>
      <w:r>
        <w:t>Large traders and foreign institutional investors (FIIs) subject to additional position reporting</w:t>
      </w:r>
    </w:p>
    <w:p>
      <w:pPr>
        <w:pStyle w:val="ListBullet"/>
      </w:pPr>
      <w:r>
        <w:t>Suspicious transaction reporting (STR) obligations under PMLA (Prevention of Money Laundering Act)</w:t>
      </w:r>
    </w:p>
    <w:p>
      <w:pPr>
        <w:pStyle w:val="Heading3"/>
      </w:pPr>
      <w:r>
        <w:t>9.5 Cross-border Arrangements</w:t>
      </w:r>
    </w:p>
    <w:p>
      <w:pPr>
        <w:pStyle w:val="ListBullet"/>
      </w:pPr>
      <w:r>
        <w:t>Foreign Portfolio Investors (FPIs) can access BSE through SEBI-registered custodians under SEBI FPI Regulations</w:t>
      </w:r>
    </w:p>
    <w:p>
      <w:pPr>
        <w:pStyle w:val="ListBullet"/>
      </w:pPr>
      <w:r>
        <w:t>India-Singapore connectivity via NSE IX-SGX GIFT Connect (became operational July 2023) â primarily NSE products but represents India's approach to cross-border market access</w:t>
      </w:r>
    </w:p>
    <w:p>
      <w:pPr>
        <w:pStyle w:val="ListBullet"/>
      </w:pPr>
      <w:r>
        <w:t>SEBI maintains MoUs with foreign regulators (IOSCO MMOU signatory) for information sharing and enforcement cooperation</w:t>
      </w:r>
    </w:p>
    <w:p>
      <w:pPr>
        <w:pStyle w:val="ListBullet"/>
      </w:pPr>
      <w:r>
        <w:t>GIFT City (Gujarat International Finance Tec-City) â India's International Financial Services Centre (IFSC) regulated by IFSCA, where BSE has presence through India International Exchange (India INX), a subsidiary</w:t>
      </w:r>
    </w:p>
    <w:p>
      <w:r>
        <w:t>────────────────────────────────────────────────────────────</w:t>
      </w:r>
    </w:p>
    <w:p>
      <w:pPr>
        <w:pStyle w:val="Heading2"/>
      </w:pPr>
      <w:r>
        <w:t>10. Fees &amp; Revenue Model</w:t>
      </w:r>
    </w:p>
    <w:p>
      <w:pPr>
        <w:pStyle w:val="Heading3"/>
      </w:pPr>
      <w:r>
        <w:t>10.1 Trading Fees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Fee Type</w:t>
            </w:r>
          </w:p>
        </w:tc>
        <w:tc>
          <w:tcPr>
            <w:tcW w:type="dxa" w:w="2880"/>
          </w:tcPr>
          <w:p>
            <w:pPr/>
            <w:r>
              <w:rPr>
                <w:b/>
                <w:sz w:val="18"/>
              </w:rPr>
              <w:t>Structure</w:t>
            </w:r>
          </w:p>
        </w:tc>
        <w:tc>
          <w:tcPr>
            <w:tcW w:type="dxa" w:w="2880"/>
          </w:tcPr>
          <w:p>
            <w:pPr/>
            <w:r>
              <w:rPr>
                <w:b/>
                <w:sz w:val="18"/>
              </w:rPr>
              <w:t>Rate</w:t>
            </w:r>
          </w:p>
        </w:tc>
      </w:tr>
      <w:tr>
        <w:tc>
          <w:tcPr>
            <w:tcW w:type="dxa" w:w="2880"/>
          </w:tcPr>
          <w:p>
            <w:pPr/>
            <w:r>
              <w:rPr>
                <w:sz w:val="18"/>
              </w:rPr>
              <w:t>Transaction charges (Equity Cash)</w:t>
            </w:r>
          </w:p>
        </w:tc>
        <w:tc>
          <w:tcPr>
            <w:tcW w:type="dxa" w:w="2880"/>
          </w:tcPr>
          <w:p>
            <w:pPr/>
            <w:r>
              <w:rPr>
                <w:sz w:val="18"/>
              </w:rPr>
              <w:t>Per-trade basis</w:t>
            </w:r>
          </w:p>
        </w:tc>
        <w:tc>
          <w:tcPr>
            <w:tcW w:type="dxa" w:w="2880"/>
          </w:tcPr>
          <w:p>
            <w:pPr/>
            <w:r>
              <w:rPr>
                <w:sz w:val="18"/>
              </w:rPr>
              <w:t>Varies by turnover slab; competitive with NSE [unverified â specific current rates not confirmed]</w:t>
            </w:r>
          </w:p>
        </w:tc>
      </w:tr>
      <w:tr>
        <w:tc>
          <w:tcPr>
            <w:tcW w:type="dxa" w:w="2880"/>
          </w:tcPr>
          <w:p>
            <w:pPr/>
            <w:r>
              <w:rPr>
                <w:sz w:val="18"/>
              </w:rPr>
              <w:t>Transaction charges (Equity Derivatives)</w:t>
            </w:r>
          </w:p>
        </w:tc>
        <w:tc>
          <w:tcPr>
            <w:tcW w:type="dxa" w:w="2880"/>
          </w:tcPr>
          <w:p>
            <w:pPr/>
            <w:r>
              <w:rPr>
                <w:sz w:val="18"/>
              </w:rPr>
              <w:t>Per-trade basis</w:t>
            </w:r>
          </w:p>
        </w:tc>
        <w:tc>
          <w:tcPr>
            <w:tcW w:type="dxa" w:w="2880"/>
          </w:tcPr>
          <w:p>
            <w:pPr/>
            <w:r>
              <w:rPr>
                <w:sz w:val="18"/>
              </w:rPr>
              <w:t>Key revenue driver; rates set by BSE and periodically revised</w:t>
            </w:r>
          </w:p>
        </w:tc>
      </w:tr>
      <w:tr>
        <w:tc>
          <w:tcPr>
            <w:tcW w:type="dxa" w:w="2880"/>
          </w:tcPr>
          <w:p>
            <w:pPr/>
            <w:r>
              <w:rPr>
                <w:sz w:val="18"/>
              </w:rPr>
              <w:t>Transaction charges (Currency Derivatives)</w:t>
            </w:r>
          </w:p>
        </w:tc>
        <w:tc>
          <w:tcPr>
            <w:tcW w:type="dxa" w:w="2880"/>
          </w:tcPr>
          <w:p>
            <w:pPr/>
            <w:r>
              <w:rPr>
                <w:sz w:val="18"/>
              </w:rPr>
              <w:t>Per-trade basis</w:t>
            </w:r>
          </w:p>
        </w:tc>
        <w:tc>
          <w:tcPr>
            <w:tcW w:type="dxa" w:w="2880"/>
          </w:tcPr>
          <w:p>
            <w:pPr/>
            <w:r>
              <w:rPr>
                <w:sz w:val="18"/>
              </w:rPr>
              <w:t>[unverified]</w:t>
            </w:r>
          </w:p>
        </w:tc>
      </w:tr>
      <w:tr>
        <w:tc>
          <w:tcPr>
            <w:tcW w:type="dxa" w:w="2880"/>
          </w:tcPr>
          <w:p>
            <w:pPr/>
            <w:r>
              <w:rPr>
                <w:sz w:val="18"/>
              </w:rPr>
              <w:t>Transaction charges (Commodity Derivatives)</w:t>
            </w:r>
          </w:p>
        </w:tc>
        <w:tc>
          <w:tcPr>
            <w:tcW w:type="dxa" w:w="2880"/>
          </w:tcPr>
          <w:p>
            <w:pPr/>
            <w:r>
              <w:rPr>
                <w:sz w:val="18"/>
              </w:rPr>
              <w:t>Per-trade basis</w:t>
            </w:r>
          </w:p>
        </w:tc>
        <w:tc>
          <w:tcPr>
            <w:tcW w:type="dxa" w:w="2880"/>
          </w:tcPr>
          <w:p>
            <w:pPr/>
            <w:r>
              <w:rPr>
                <w:sz w:val="18"/>
              </w:rPr>
              <w:t>[unverified]</w:t>
            </w:r>
          </w:p>
        </w:tc>
      </w:tr>
    </w:tbl>
    <w:p/>
    <w:p>
      <w:pPr>
        <w:pStyle w:val="Heading3"/>
      </w:pPr>
      <w:r>
        <w:t>10.2 Other Fees</w:t>
      </w:r>
    </w:p>
    <w:p>
      <w:pPr>
        <w:pStyle w:val="ListBullet"/>
      </w:pPr>
      <w:r>
        <w:t>Listing fees: Annual listing fees based on paid-up capital; due by April 30 each year; BSE earned INR 1.57 billion in listing fees in H1 FY2024-25</w:t>
      </w:r>
    </w:p>
    <w:p>
      <w:pPr>
        <w:pStyle w:val="ListBullet"/>
      </w:pPr>
      <w:r>
        <w:t>Market data fees: Charged for real-time and historical data subscriptions via leased line or vendor access</w:t>
      </w:r>
    </w:p>
    <w:p>
      <w:pPr>
        <w:pStyle w:val="ListBullet"/>
      </w:pPr>
      <w:r>
        <w:t>Co-location fees: Rack rental, cross-connect, and related charges at BSE co-location facility</w:t>
      </w:r>
    </w:p>
    <w:p>
      <w:pPr>
        <w:pStyle w:val="ListBullet"/>
      </w:pPr>
      <w:r>
        <w:t>BSE StAR MF platform fees: Transaction charges for mutual fund orders processed through the platform</w:t>
      </w:r>
    </w:p>
    <w:p>
      <w:pPr>
        <w:pStyle w:val="ListBullet"/>
      </w:pPr>
      <w:r>
        <w:t>IPO/FPO processing fees: Charges for companies listing on BSE</w:t>
      </w:r>
    </w:p>
    <w:p>
      <w:r>
        <w:t>────────────────────────────────────────────────────────────</w:t>
      </w:r>
    </w:p>
    <w:p>
      <w:pPr>
        <w:pStyle w:val="Heading2"/>
      </w:pPr>
      <w:r>
        <w:t>11. Recent Developments</w:t>
      </w:r>
    </w:p>
    <w:p>
      <w:pPr>
        <w:pStyle w:val="Heading3"/>
      </w:pPr>
      <w:r>
        <w:t>System Upgrades (Last 5 Years)</w:t>
      </w:r>
    </w:p>
    <w:p>
      <w:pPr>
        <w:pStyle w:val="ListBullet"/>
      </w:pPr>
      <w:r>
        <w:t>Continued enhancements to BOLT Plus platform for capacity and latency improvements</w:t>
      </w:r>
    </w:p>
    <w:p>
      <w:pPr>
        <w:pStyle w:val="ListBullet"/>
      </w:pPr>
      <w:r>
        <w:t>Expansion of BOLT Plus on Web (BPoW) for browser-based trading access</w:t>
      </w:r>
    </w:p>
    <w:p>
      <w:pPr>
        <w:pStyle w:val="ListBullet"/>
      </w:pPr>
      <w:r>
        <w:t>Upgraded market data infrastructure for higher throughput</w:t>
      </w:r>
    </w:p>
    <w:p>
      <w:pPr>
        <w:pStyle w:val="Heading3"/>
      </w:pPr>
      <w:r>
        <w:t>New Products / Segments</w:t>
      </w:r>
    </w:p>
    <w:p>
      <w:pPr>
        <w:pStyle w:val="ListBullet"/>
      </w:pPr>
      <w:r>
        <w:t>Electronic Gold Receipts (EGR): Launched October 2022; trading in 995 and 999 purity gold in multiples of 1 gram; T+1 settlement; market hours 9:00 AM â 9:30 PM</w:t>
      </w:r>
    </w:p>
    <w:p>
      <w:pPr>
        <w:pStyle w:val="ListBullet"/>
      </w:pPr>
      <w:r>
        <w:t>Commodity Derivatives: Continued expansion since 2018 launch; gold, silver, and other commodity contracts</w:t>
      </w:r>
    </w:p>
    <w:p>
      <w:pPr>
        <w:pStyle w:val="ListBullet"/>
      </w:pPr>
      <w:r>
        <w:t>BSE SME Platform: Significant growth in SME IPO listings; BSE SME platform saw record number of listings in 2024-25</w:t>
      </w:r>
    </w:p>
    <w:p>
      <w:pPr>
        <w:pStyle w:val="ListBullet"/>
      </w:pPr>
      <w:r>
        <w:t>Social Stock Exchange (SSE): BSE launched India's first Social Stock Exchange segment for social enterprises and non-profit organizations</w:t>
      </w:r>
    </w:p>
    <w:p>
      <w:pPr>
        <w:pStyle w:val="Heading3"/>
      </w:pPr>
      <w:r>
        <w:t>Regulatory Changes</w:t>
      </w:r>
    </w:p>
    <w:p>
      <w:pPr>
        <w:pStyle w:val="ListBullet"/>
      </w:pPr>
      <w:r>
        <w:t>T+1 Settlement (January 2023): India completed transition to T+1 rolling settlement for all securities â among the first major markets globally to achieve this</w:t>
      </w:r>
    </w:p>
    <w:p>
      <w:pPr>
        <w:pStyle w:val="ListBullet"/>
      </w:pPr>
      <w:r>
        <w:t>SEBI Derivatives Tightening (2024-25): New rules for index derivatives led to a ~40% decline in notional derivatives volume from September 2024; impacted BSE derivatives revenue</w:t>
      </w:r>
    </w:p>
    <w:p>
      <w:pPr>
        <w:pStyle w:val="ListBullet"/>
      </w:pPr>
      <w:r>
        <w:t>Securities Markets Code 2025: Introduced in Parliament December 2025; if enacted, will consolidate SCRA, SEBI Act, and Depositories Act into a single statute</w:t>
      </w:r>
    </w:p>
    <w:p>
      <w:pPr>
        <w:pStyle w:val="ListBullet"/>
      </w:pPr>
      <w:r>
        <w:t>SEBI LODR Amendments: Ongoing amendments to strengthen corporate governance and disclosure for listed entities</w:t>
      </w:r>
    </w:p>
    <w:p>
      <w:pPr>
        <w:pStyle w:val="Heading3"/>
      </w:pPr>
      <w:r>
        <w:t>Strategic Initiatives</w:t>
      </w:r>
    </w:p>
    <w:p>
      <w:pPr>
        <w:pStyle w:val="ListBullet"/>
      </w:pPr>
      <w:r>
        <w:t>India International Exchange (India INX): BSE's international exchange subsidiary at GIFT City IFSC; operates nearly 22 hours per day</w:t>
      </w:r>
    </w:p>
    <w:p>
      <w:pPr>
        <w:pStyle w:val="ListBullet"/>
      </w:pPr>
      <w:r>
        <w:t>BSE StAR MF: One of India's largest electronic mutual fund distribution platforms; processing millions of transactions monthly</w:t>
      </w:r>
    </w:p>
    <w:p>
      <w:pPr>
        <w:pStyle w:val="ListBullet"/>
      </w:pPr>
      <w:r>
        <w:t>150th Anniversary (2025): BSE marked 150 years of operations, consolidating its position as Asia's oldest exchange</w:t>
      </w:r>
    </w:p>
    <w:p>
      <w:r>
        <w:t>────────────────────────────────────────────────────────────</w:t>
      </w:r>
    </w:p>
    <w:p>
      <w:pPr>
        <w:pStyle w:val="Heading2"/>
      </w:pPr>
      <w:r>
        <w:t>Sources</w:t>
      </w:r>
    </w:p>
    <w:p>
      <w:pPr>
        <w:pStyle w:val="ListNumber"/>
      </w:pPr>
      <w:r>
        <w:t>[BSE India Official Website](https://www.bseindia.com) â accessed April 2026</w:t>
      </w:r>
    </w:p>
    <w:p>
      <w:pPr>
        <w:pStyle w:val="ListNumber"/>
      </w:pPr>
      <w:r>
        <w:t>[Bombay Stock Exchange â Wikipedia](https://en.wikipedia.org/wiki/Bombay_Stock_Exchange) â accessed April 2026</w:t>
      </w:r>
    </w:p>
    <w:p>
      <w:pPr>
        <w:pStyle w:val="ListNumber"/>
      </w:pPr>
      <w:r>
        <w:t>[Bombay Stock Exchange â Britannica Money](https://www.britannica.com/money/Bombay-Stock-Exchange) â accessed April 2026</w:t>
      </w:r>
    </w:p>
    <w:p>
      <w:pPr>
        <w:pStyle w:val="ListNumber"/>
      </w:pPr>
      <w:r>
        <w:t>[BSE Pre-Open Session](https://www.bseindia.com/static/markets/equity/preopen_session.html) â BSE official</w:t>
      </w:r>
    </w:p>
    <w:p>
      <w:pPr>
        <w:pStyle w:val="ListNumber"/>
      </w:pPr>
      <w:r>
        <w:t>[BSE Equity Trading](https://www.bseindia.com/static/markets/equity/EQReports/tra_trading.aspx) â BSE official (tick size, lot size, trading rules)</w:t>
      </w:r>
    </w:p>
    <w:p>
      <w:pPr>
        <w:pStyle w:val="ListNumber"/>
      </w:pPr>
      <w:r>
        <w:t>[BSE launches equity trading on BOLT Plus â Business Standard](https://www.business-standard.com/article/markets/bse-to-launch-equity-trading-on-bolt-plus-from-april-7-114032300126_1.html) â March 2014</w:t>
      </w:r>
    </w:p>
    <w:p>
      <w:pPr>
        <w:pStyle w:val="ListNumber"/>
      </w:pPr>
      <w:r>
        <w:t>[Understanding BSE's back-end infrastructure â Business Standard](https://www.business-standard.com/article/markets/understanding-bse-s-back-end-infrastructure-114070301178_1.html) â July 2014</w:t>
      </w:r>
    </w:p>
    <w:p>
      <w:pPr>
        <w:pStyle w:val="ListNumber"/>
      </w:pPr>
      <w:r>
        <w:t>[BSE launches equity trading on BOLT Plus â BusinessToday](https://www.businesstoday.in/markets/stocks/story/bse-launches-equity-trading-on-bolt-plus-platform-47472-2014-04-08) â April 2014</w:t>
      </w:r>
    </w:p>
    <w:p>
      <w:pPr>
        <w:pStyle w:val="ListNumber"/>
      </w:pPr>
      <w:r>
        <w:t>[SEBI â Index based market-wide circuit breaker mechanism](https://www.sebi.gov.in/legal/circulars/jan-2015/index-based-market-wide-circuit-breaker-mechanism_28855.html) â SEBI circular</w:t>
      </w:r>
    </w:p>
    <w:p>
      <w:pPr>
        <w:pStyle w:val="ListNumber"/>
      </w:pPr>
      <w:r>
        <w:t>[NSE India â Circuit Breakers](https://www.nseindia.com/products-services/equity-market-circuit-breakers) â accessed April 2026</w:t>
      </w:r>
    </w:p>
    <w:p>
      <w:pPr>
        <w:pStyle w:val="ListNumber"/>
      </w:pPr>
      <w:r>
        <w:t>[SEBI â Pre-Trade Risk Controls circular (December 2012)](https://www.sebi.gov.in/legal/circulars/dec-2012/pre-trade-risk-controls_23951.html) â SEBI circular</w:t>
      </w:r>
    </w:p>
    <w:p>
      <w:pPr>
        <w:pStyle w:val="ListNumber"/>
      </w:pPr>
      <w:r>
        <w:t>[BSE Surveillance](https://www.bseindia.com/static/markets/equity/EQReports/sur_Surveillance.html) â BSE official</w:t>
      </w:r>
    </w:p>
    <w:p>
      <w:pPr>
        <w:pStyle w:val="ListNumber"/>
      </w:pPr>
      <w:r>
        <w:t>[SEBI â Integrated Surveillance Department](https://www.sebi.gov.in/department/integrated-surveillance-department-10/overview.html) â SEBI official</w:t>
      </w:r>
    </w:p>
    <w:p>
      <w:pPr>
        <w:pStyle w:val="ListNumber"/>
      </w:pPr>
      <w:r>
        <w:t>[The Securities Markets Code, 2025 â PRS India](https://prsindia.org/billtrack/the-securities-markets-code-2025) â legislative tracker</w:t>
      </w:r>
    </w:p>
    <w:p>
      <w:pPr>
        <w:pStyle w:val="ListNumber"/>
      </w:pPr>
      <w:r>
        <w:t>[BSE-Netmagic Co-Location Facility (PDF)](https://www.bseindia.com/downloads/fii/BSENetmagicCoLocationFacility.pdf) â BSE official</w:t>
      </w:r>
    </w:p>
    <w:p>
      <w:pPr>
        <w:pStyle w:val="ListNumber"/>
      </w:pPr>
      <w:r>
        <w:t>[BSE Market Data Interfaces Manual (PDF)](https://www.bseindia.com/downloads1/BSE_market_data_manual_v134.pdf) â BSE official</w:t>
      </w:r>
    </w:p>
    <w:p>
      <w:pPr>
        <w:pStyle w:val="ListNumber"/>
      </w:pPr>
      <w:r>
        <w:t>[BSE ETI API Manual (PDF)](https://www.bseindia.com/downloads1/ETI_API_Manual.pdf) â BSE official</w:t>
      </w:r>
    </w:p>
    <w:p>
      <w:pPr>
        <w:pStyle w:val="ListNumber"/>
      </w:pPr>
      <w:r>
        <w:t>[Mumbai BSE Data Center â NTT](https://services.global.ntt/en-us/services-and-products/global-data-centers/global-locations/india/mumbai-bse-data-center) â NTT</w:t>
      </w:r>
    </w:p>
    <w:p>
      <w:pPr>
        <w:pStyle w:val="ListNumber"/>
      </w:pPr>
      <w:r>
        <w:t>[How Many Companies Are Listed in NSE and BSE in 2026 â Shoonya](https://blog.shoonya.com/how-many-companies-are-listed-in-nse-and-bse/) â February 2026</w:t>
      </w:r>
    </w:p>
    <w:p>
      <w:pPr>
        <w:pStyle w:val="ListNumber"/>
      </w:pPr>
      <w:r>
        <w:t>[BSE Turns 150 â Equentis](https://www.equentis.com/blog/bse-turns-150-a-historic-journey-shaping-indias-capital-markets/) â 2025</w:t>
      </w:r>
    </w:p>
    <w:p>
      <w:pPr>
        <w:pStyle w:val="ListNumber"/>
      </w:pPr>
      <w:r>
        <w:t>[Circuit Breaker Mechanism under SEBI â LawArticle](https://lawarticle.in/circuit-breaker-mechanism-under-sebi-safeguarding-market-stability/) â accessed April 2026</w:t>
      </w:r>
    </w:p>
    <w:p>
      <w:pPr>
        <w:pStyle w:val="ListNumber"/>
      </w:pPr>
      <w:r>
        <w:t>[Stock Market Circuit Breakers â Groww](https://groww.in/p/stock-market-circuit-breakers) â accessed April 2026</w:t>
      </w:r>
    </w:p>
    <w:p>
      <w:pPr>
        <w:pStyle w:val="ListNumber"/>
      </w:pPr>
      <w:r>
        <w:t>[BSE Stock Classification Groups â Goodreturns](https://www.goodreturns.in/classroom/understanding-a-b-z-t-and-s-group-of-stocks-on-bse-1209379.html) â accessed April 2026</w:t>
      </w:r>
    </w:p>
    <w:p>
      <w:pPr>
        <w:pStyle w:val="ListNumber"/>
      </w:pPr>
      <w:r>
        <w:t>[BSE Listing: Eligibility Criteria â Angel One](https://www.angelone.in/knowledge-center/share-market/bse-listing-requirements) â accessed April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