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Japan Exchange Group / Tokyo Stock Exchange (JPX / TSE)</w:t>
      </w:r>
    </w:p>
    <w:p>
      <w:r>
        <w:rPr>
          <w:i/>
          <w:sz w:val="18"/>
        </w:rPr>
        <w:t>**Last Updated:** 2026-04-06</w:t>
      </w:r>
    </w:p>
    <w:p>
      <w:r>
        <w:rPr>
          <w:i/>
          <w:sz w:val="18"/>
        </w:rPr>
        <w:t>**Research Tier:** Tier 1</w:t>
      </w:r>
    </w:p>
    <w:p>
      <w:r>
        <w:rPr>
          <w:i/>
          <w:sz w:val="18"/>
        </w:rPr>
        <w:t>**Domain:** Equities</w:t>
      </w:r>
    </w:p>
    <w:p>
      <w:r>
        <w:t>────────────────────────────────────────────────────────────</w:t>
      </w:r>
    </w:p>
    <w:p>
      <w:pPr>
        <w:pStyle w:val="Heading2"/>
      </w:pPr>
      <w:r>
        <w:t>1. Overview &amp; Profile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Official Name</w:t>
            </w:r>
          </w:p>
        </w:tc>
        <w:tc>
          <w:tcPr>
            <w:tcW w:type="dxa" w:w="4320"/>
          </w:tcPr>
          <w:p>
            <w:pPr/>
            <w:r>
              <w:rPr>
                <w:sz w:val="18"/>
              </w:rPr>
              <w:t>Tokyo Stock Exchange, Inc. (TSE), a subsidiary of Japan Exchange Group, Inc. (JPX)</w:t>
            </w:r>
          </w:p>
        </w:tc>
      </w:tr>
      <w:tr>
        <w:tc>
          <w:tcPr>
            <w:tcW w:type="dxa" w:w="4320"/>
          </w:tcPr>
          <w:p>
            <w:pPr/>
            <w:r>
              <w:rPr>
                <w:sz w:val="18"/>
              </w:rPr>
              <w:t>Abbreviation</w:t>
            </w:r>
          </w:p>
        </w:tc>
        <w:tc>
          <w:tcPr>
            <w:tcW w:type="dxa" w:w="4320"/>
          </w:tcPr>
          <w:p>
            <w:pPr/>
            <w:r>
              <w:rPr>
                <w:sz w:val="18"/>
              </w:rPr>
              <w:t>JPX / TSE</w:t>
            </w:r>
          </w:p>
        </w:tc>
      </w:tr>
      <w:tr>
        <w:tc>
          <w:tcPr>
            <w:tcW w:type="dxa" w:w="4320"/>
          </w:tcPr>
          <w:p>
            <w:pPr/>
            <w:r>
              <w:rPr>
                <w:sz w:val="18"/>
              </w:rPr>
              <w:t>Website</w:t>
            </w:r>
          </w:p>
        </w:tc>
        <w:tc>
          <w:tcPr>
            <w:tcW w:type="dxa" w:w="4320"/>
          </w:tcPr>
          <w:p>
            <w:pPr/>
            <w:r>
              <w:rPr>
                <w:sz w:val="18"/>
              </w:rPr>
              <w:t>https://www.jpx.co.jp/english/</w:t>
            </w:r>
          </w:p>
        </w:tc>
      </w:tr>
      <w:tr>
        <w:tc>
          <w:tcPr>
            <w:tcW w:type="dxa" w:w="4320"/>
          </w:tcPr>
          <w:p>
            <w:pPr/>
            <w:r>
              <w:rPr>
                <w:sz w:val="18"/>
              </w:rPr>
              <w:t>Year Established</w:t>
            </w:r>
          </w:p>
        </w:tc>
        <w:tc>
          <w:tcPr>
            <w:tcW w:type="dxa" w:w="4320"/>
          </w:tcPr>
          <w:p>
            <w:pPr/>
            <w:r>
              <w:rPr>
                <w:sz w:val="18"/>
              </w:rPr>
              <w:t>TSE: 1878 (originally); re-established 1949. JPX: January 1, 2013 (merger of TSE Group and Osaka Securities Exchange)</w:t>
            </w:r>
          </w:p>
        </w:tc>
      </w:tr>
      <w:tr>
        <w:tc>
          <w:tcPr>
            <w:tcW w:type="dxa" w:w="4320"/>
          </w:tcPr>
          <w:p>
            <w:pPr/>
            <w:r>
              <w:rPr>
                <w:sz w:val="18"/>
              </w:rPr>
              <w:t>Country / City</w:t>
            </w:r>
          </w:p>
        </w:tc>
        <w:tc>
          <w:tcPr>
            <w:tcW w:type="dxa" w:w="4320"/>
          </w:tcPr>
          <w:p>
            <w:pPr/>
            <w:r>
              <w:rPr>
                <w:sz w:val="18"/>
              </w:rPr>
              <w:t>Japan / Tokyo (Head office: 2-1 Nihombashi Kabutocho, Chuo-ku, Tokyo)</w:t>
            </w:r>
          </w:p>
        </w:tc>
      </w:tr>
      <w:tr>
        <w:tc>
          <w:tcPr>
            <w:tcW w:type="dxa" w:w="4320"/>
          </w:tcPr>
          <w:p>
            <w:pPr/>
            <w:r>
              <w:rPr>
                <w:sz w:val="18"/>
              </w:rPr>
              <w:t>Ownership Structure</w:t>
            </w:r>
          </w:p>
        </w:tc>
        <w:tc>
          <w:tcPr>
            <w:tcW w:type="dxa" w:w="4320"/>
          </w:tcPr>
          <w:p>
            <w:pPr/>
            <w:r>
              <w:rPr>
                <w:sz w:val="18"/>
              </w:rPr>
              <w:t>Publicly traded holding company; JPX is listed on TSE Prime Market (Ticker: 8697). Widely held by institutional and retail investors</w:t>
            </w:r>
          </w:p>
        </w:tc>
      </w:tr>
      <w:tr>
        <w:tc>
          <w:tcPr>
            <w:tcW w:type="dxa" w:w="4320"/>
          </w:tcPr>
          <w:p>
            <w:pPr/>
            <w:r>
              <w:rPr>
                <w:sz w:val="18"/>
              </w:rPr>
              <w:t>Parent Company / Group</w:t>
            </w:r>
          </w:p>
        </w:tc>
        <w:tc>
          <w:tcPr>
            <w:tcW w:type="dxa" w:w="4320"/>
          </w:tcPr>
          <w:p>
            <w:pPr/>
            <w:r>
              <w:rPr>
                <w:sz w:val="18"/>
              </w:rPr>
              <w:t>Japan Exchange Group, Inc. (JPX) — encompasses TSE (cash equities), Osaka Exchange (derivatives), Tokyo Commodity Exchange (TOCOM), and Japan Securities Clearing Corporation (JSCC)</w:t>
            </w:r>
          </w:p>
        </w:tc>
      </w:tr>
      <w:tr>
        <w:tc>
          <w:tcPr>
            <w:tcW w:type="dxa" w:w="4320"/>
          </w:tcPr>
          <w:p>
            <w:pPr/>
            <w:r>
              <w:rPr>
                <w:sz w:val="18"/>
              </w:rPr>
              <w:t>Regulatory Authority</w:t>
            </w:r>
          </w:p>
        </w:tc>
        <w:tc>
          <w:tcPr>
            <w:tcW w:type="dxa" w:w="4320"/>
          </w:tcPr>
          <w:p>
            <w:pPr/>
            <w:r>
              <w:rPr>
                <w:sz w:val="18"/>
              </w:rPr>
              <w:t>Financial Services Agency of Japan (JFSA); Securities and Exchange Surveillance Commission (SESC); Japan Exchange Regulation (JPX-R) as self-regulatory organization</w:t>
            </w:r>
          </w:p>
        </w:tc>
      </w:tr>
      <w:tr>
        <w:tc>
          <w:tcPr>
            <w:tcW w:type="dxa" w:w="4320"/>
          </w:tcPr>
          <w:p>
            <w:pPr/>
            <w:r>
              <w:rPr>
                <w:sz w:val="18"/>
              </w:rPr>
              <w:t>Market Capitalization (listed companies)</w:t>
            </w:r>
          </w:p>
        </w:tc>
        <w:tc>
          <w:tcPr>
            <w:tcW w:type="dxa" w:w="4320"/>
          </w:tcPr>
          <w:p>
            <w:pPr/>
            <w:r>
              <w:rPr>
                <w:sz w:val="18"/>
              </w:rPr>
              <w:t>~JPY 1,213 trillion (~USD 8.1 trillion) total market cap of all TSE-listed shares (March 2026); reached all-time high of ~USD 8.8 trillion in February 2026</w:t>
            </w:r>
          </w:p>
        </w:tc>
      </w:tr>
      <w:tr>
        <w:tc>
          <w:tcPr>
            <w:tcW w:type="dxa" w:w="4320"/>
          </w:tcPr>
          <w:p>
            <w:pPr/>
            <w:r>
              <w:rPr>
                <w:sz w:val="18"/>
              </w:rPr>
              <w:t>Total Listed Instruments</w:t>
            </w:r>
          </w:p>
        </w:tc>
        <w:tc>
          <w:tcPr>
            <w:tcW w:type="dxa" w:w="4320"/>
          </w:tcPr>
          <w:p>
            <w:pPr/>
            <w:r>
              <w:rPr>
                <w:sz w:val="18"/>
              </w:rPr>
              <w:t>~3,945 companies (as of 2025): Prime Market ~1,599, Standard Market ~1,569, Growth Market ~614, TOKYO PRO Market ~163; plus ~300+ ETFs/ETNs</w:t>
            </w:r>
          </w:p>
        </w:tc>
      </w:tr>
      <w:tr>
        <w:tc>
          <w:tcPr>
            <w:tcW w:type="dxa" w:w="4320"/>
          </w:tcPr>
          <w:p>
            <w:pPr/>
            <w:r>
              <w:rPr>
                <w:sz w:val="18"/>
              </w:rPr>
              <w:t>Average Daily Trading Volume</w:t>
            </w:r>
          </w:p>
        </w:tc>
        <w:tc>
          <w:tcPr>
            <w:tcW w:type="dxa" w:w="4320"/>
          </w:tcPr>
          <w:p>
            <w:pPr/>
            <w:r>
              <w:rPr>
                <w:sz w:val="18"/>
              </w:rPr>
              <w:t>~1.8 billion shares (Prime Market domestic common stocks, FY2025) [estimated]</w:t>
            </w:r>
          </w:p>
        </w:tc>
      </w:tr>
      <w:tr>
        <w:tc>
          <w:tcPr>
            <w:tcW w:type="dxa" w:w="4320"/>
          </w:tcPr>
          <w:p>
            <w:pPr/>
            <w:r>
              <w:rPr>
                <w:sz w:val="18"/>
              </w:rPr>
              <w:t>Average Daily Trading Value</w:t>
            </w:r>
          </w:p>
        </w:tc>
        <w:tc>
          <w:tcPr>
            <w:tcW w:type="dxa" w:w="4320"/>
          </w:tcPr>
          <w:p>
            <w:pPr/>
            <w:r>
              <w:rPr>
                <w:sz w:val="18"/>
              </w:rPr>
              <w:t>JPY 6.70 trillion (~USD 44.7 billion) for Prime Market domestic common stocks (FY2025); JPY 367.5 billion daily average for ETFs</w:t>
            </w:r>
          </w:p>
        </w:tc>
      </w:tr>
    </w:tbl>
    <w:p/>
    <w:p>
      <w:pPr>
        <w:pStyle w:val="Heading3"/>
      </w:pPr>
      <w:r>
        <w:t>Key Historical Milestones</w:t>
      </w:r>
    </w:p>
    <w:p>
      <w:pPr>
        <w:pStyle w:val="ListBullet"/>
      </w:pPr>
      <w:r>
        <w:t>1878: Tokyo Stock Exchange established on May 15 under the Stock Exchange Ordinance, one of the first modern exchanges in Asia</w:t>
      </w:r>
    </w:p>
    <w:p>
      <w:pPr>
        <w:pStyle w:val="ListBullet"/>
      </w:pPr>
      <w:r>
        <w:t>1943: Merged with 10 other Japanese exchanges to form the Japan Securities Exchange during World War II</w:t>
      </w:r>
    </w:p>
    <w:p>
      <w:pPr>
        <w:pStyle w:val="ListBullet"/>
      </w:pPr>
      <w:r>
        <w:t>1947: Japan Securities Exchange dissolved under post-war reforms</w:t>
      </w:r>
    </w:p>
    <w:p>
      <w:pPr>
        <w:pStyle w:val="ListBullet"/>
      </w:pPr>
      <w:r>
        <w:t>1949: Tokyo Stock Exchange re-established on May 16 as a membership organization; trading resumed on April 1</w:t>
      </w:r>
    </w:p>
    <w:p>
      <w:pPr>
        <w:pStyle w:val="ListBullet"/>
      </w:pPr>
      <w:r>
        <w:t>1969: TSE introduces the Tokyo Stock Price Index (TOPIX) as a market-wide capitalization-weighted index</w:t>
      </w:r>
    </w:p>
    <w:p>
      <w:pPr>
        <w:pStyle w:val="ListBullet"/>
      </w:pPr>
      <w:r>
        <w:t>1982: MOTHERS (Market of the High-growth and Emerging Stocks) concept introduced (later launched in 1999)</w:t>
      </w:r>
    </w:p>
    <w:p>
      <w:pPr>
        <w:pStyle w:val="ListBullet"/>
      </w:pPr>
      <w:r>
        <w:t>1999: TSE fully transitions to electronic trading; establishes ToSTNeT off-auction trading system</w:t>
      </w:r>
    </w:p>
    <w:p>
      <w:pPr>
        <w:pStyle w:val="ListBullet"/>
      </w:pPr>
      <w:r>
        <w:t>2000: TSE demutualizes, converting from a membership organization to a stock corporation</w:t>
      </w:r>
    </w:p>
    <w:p>
      <w:pPr>
        <w:pStyle w:val="ListBullet"/>
      </w:pPr>
      <w:r>
        <w:t>2001: TSE Group, Inc. established as holding company</w:t>
      </w:r>
    </w:p>
    <w:p>
      <w:pPr>
        <w:pStyle w:val="ListBullet"/>
      </w:pPr>
      <w:r>
        <w:t>2010: First-generation arrowhead trading system launched on January 4, achieving sub-millisecond order processing</w:t>
      </w:r>
    </w:p>
    <w:p>
      <w:pPr>
        <w:pStyle w:val="ListBullet"/>
      </w:pPr>
      <w:r>
        <w:t>2013: Japan Exchange Group (JPX) formed on January 1 through merger of Tokyo Stock Exchange Group and Osaka Securities Exchange; JPX listed on TSE First Section (8697) on January 4; OSE cash equities market integrated into TSE on July 16</w:t>
      </w:r>
    </w:p>
    <w:p>
      <w:pPr>
        <w:pStyle w:val="ListBullet"/>
      </w:pPr>
      <w:r>
        <w:t>2015: Second-generation arrowhead system launched (September 24)</w:t>
      </w:r>
    </w:p>
    <w:p>
      <w:pPr>
        <w:pStyle w:val="ListBullet"/>
      </w:pPr>
      <w:r>
        <w:t>2018: Trading unit standardized to 100 shares for all listed stocks (October 1); ETF Market Making Incentive Scheme launched (July)</w:t>
      </w:r>
    </w:p>
    <w:p>
      <w:pPr>
        <w:pStyle w:val="ListBullet"/>
      </w:pPr>
      <w:r>
        <w:t>2019: Third-generation arrowhead system launched (November 5)</w:t>
      </w:r>
    </w:p>
    <w:p>
      <w:pPr>
        <w:pStyle w:val="ListBullet"/>
      </w:pPr>
      <w:r>
        <w:t>2020: Full-day trading halt on October 1 due to hardware failure in arrowhead — worst outage since electronic trading began; TSE President Miyahara resigned</w:t>
      </w:r>
    </w:p>
    <w:p>
      <w:pPr>
        <w:pStyle w:val="ListBullet"/>
      </w:pPr>
      <w:r>
        <w:t>2022: Market restructuring on April 4 — TSE reorganized from four sections (1st Section, 2nd Section, Mothers, JASDAQ) into three new segments: Prime Market, Standard Market, and Growth Market</w:t>
      </w:r>
    </w:p>
    <w:p>
      <w:pPr>
        <w:pStyle w:val="ListBullet"/>
      </w:pPr>
      <w:r>
        <w:t>2023: TSE requests all Prime and Standard Market companies to disclose plans for improving cost of capital and stock price (PBR initiative)</w:t>
      </w:r>
    </w:p>
    <w:p>
      <w:pPr>
        <w:pStyle w:val="ListBullet"/>
      </w:pPr>
      <w:r>
        <w:t>2024: arrowhead 4.0 (fourth generation) launched on November 5; trading hours extended by 30 minutes to 3:30 PM; closing auction session introduced</w:t>
      </w:r>
    </w:p>
    <w:p>
      <w:pPr>
        <w:pStyle w:val="ListBullet"/>
      </w:pPr>
      <w:r>
        <w:t>2025: Cloud technology proof of concept conducted with AWS and Fujitsu for future arrowhead migration; Growth Market continued listing criteria tightened (market cap threshold raised to JPY 10 billion after 5 years); Corporate Governance Code revision process initiated</w:t>
      </w:r>
    </w:p>
    <w:p>
      <w:r>
        <w:t>────────────────────────────────────────────────────────────</w:t>
      </w:r>
    </w:p>
    <w:p>
      <w:pPr>
        <w:pStyle w:val="Heading2"/>
      </w:pPr>
      <w:r>
        <w:t>2. Market Structure</w:t>
      </w:r>
    </w:p>
    <w:p>
      <w:pPr>
        <w:pStyle w:val="Heading3"/>
      </w:pPr>
      <w:r>
        <w:t>2.1 Market Segments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Segment</w:t>
            </w:r>
          </w:p>
        </w:tc>
        <w:tc>
          <w:tcPr>
            <w:tcW w:type="dxa" w:w="2880"/>
          </w:tcPr>
          <w:p>
            <w:pPr/>
            <w:r>
              <w:rPr>
                <w:b/>
                <w:sz w:val="18"/>
              </w:rPr>
              <w:t>Description</w:t>
            </w:r>
          </w:p>
        </w:tc>
        <w:tc>
          <w:tcPr>
            <w:tcW w:type="dxa" w:w="2880"/>
          </w:tcPr>
          <w:p>
            <w:pPr/>
            <w:r>
              <w:rPr>
                <w:b/>
                <w:sz w:val="18"/>
              </w:rPr>
              <w:t>Listing Requirements (Summary)</w:t>
            </w:r>
          </w:p>
        </w:tc>
      </w:tr>
      <w:tr>
        <w:tc>
          <w:tcPr>
            <w:tcW w:type="dxa" w:w="2880"/>
          </w:tcPr>
          <w:p>
            <w:pPr/>
            <w:r>
              <w:rPr>
                <w:sz w:val="18"/>
              </w:rPr>
              <w:t>Prime Market</w:t>
            </w:r>
          </w:p>
        </w:tc>
        <w:tc>
          <w:tcPr>
            <w:tcW w:type="dxa" w:w="2880"/>
          </w:tcPr>
          <w:p>
            <w:pPr/>
            <w:r>
              <w:rPr>
                <w:sz w:val="18"/>
              </w:rPr>
              <w:t>Premier segment for large-cap companies with high governance standards, targeting institutional investors; requires constructive dialogue with investors</w:t>
            </w:r>
          </w:p>
        </w:tc>
        <w:tc>
          <w:tcPr>
            <w:tcW w:type="dxa" w:w="2880"/>
          </w:tcPr>
          <w:p>
            <w:pPr/>
            <w:r>
              <w:rPr>
                <w:sz w:val="18"/>
              </w:rPr>
              <w:t>Shareholders &gt;= 800; tradable shares &gt;= 20,000 units with market value &gt;= JPY 10 billion; tradable share ratio &gt;= 35%; total market cap &gt;= JPY 25 billion; net assets &gt;= JPY 5 billion; aggregate profit &gt;= JPY 2.5 billion over 2 years (or sales &gt;= JPY 10 billion + market cap &gt;= JPY 100 billion); 3+ years as stock company</w:t>
            </w:r>
          </w:p>
        </w:tc>
      </w:tr>
      <w:tr>
        <w:tc>
          <w:tcPr>
            <w:tcW w:type="dxa" w:w="2880"/>
          </w:tcPr>
          <w:p>
            <w:pPr/>
            <w:r>
              <w:rPr>
                <w:sz w:val="18"/>
              </w:rPr>
              <w:t>Standard Market</w:t>
            </w:r>
          </w:p>
        </w:tc>
        <w:tc>
          <w:tcPr>
            <w:tcW w:type="dxa" w:w="2880"/>
          </w:tcPr>
          <w:p>
            <w:pPr/>
            <w:r>
              <w:rPr>
                <w:sz w:val="18"/>
              </w:rPr>
              <w:t>Mid-tier segment for companies maintaining basic governance standards with appropriate liquidity for open-market trading</w:t>
            </w:r>
          </w:p>
        </w:tc>
        <w:tc>
          <w:tcPr>
            <w:tcW w:type="dxa" w:w="2880"/>
          </w:tcPr>
          <w:p>
            <w:pPr/>
            <w:r>
              <w:rPr>
                <w:sz w:val="18"/>
              </w:rPr>
              <w:t>Shareholders &gt;= 400; tradable shares &gt;= 2,000 units with market value &gt;= JPY 1 billion; tradable share ratio &gt;= 25%; net assets positive; profit &gt;= JPY 100 million over latest year; 3+ years as stock company</w:t>
            </w:r>
          </w:p>
        </w:tc>
      </w:tr>
      <w:tr>
        <w:tc>
          <w:tcPr>
            <w:tcW w:type="dxa" w:w="2880"/>
          </w:tcPr>
          <w:p>
            <w:pPr/>
            <w:r>
              <w:rPr>
                <w:sz w:val="18"/>
              </w:rPr>
              <w:t>Growth Market</w:t>
            </w:r>
          </w:p>
        </w:tc>
        <w:tc>
          <w:tcPr>
            <w:tcW w:type="dxa" w:w="2880"/>
          </w:tcPr>
          <w:p>
            <w:pPr/>
            <w:r>
              <w:rPr>
                <w:sz w:val="18"/>
              </w:rPr>
              <w:t>Segment for high-growth startups and emerging companies; requires business plan disclosure; considered higher investment risk</w:t>
            </w:r>
          </w:p>
        </w:tc>
        <w:tc>
          <w:tcPr>
            <w:tcW w:type="dxa" w:w="2880"/>
          </w:tcPr>
          <w:p>
            <w:pPr/>
            <w:r>
              <w:rPr>
                <w:sz w:val="18"/>
              </w:rPr>
              <w:t>Shareholders &gt;= 150; tradable shares &gt;= 1,000 units with market value &gt;= JPY 0.5 billion; tradable share ratio &gt;= 25%; 1+ year as stock company; no profit requirement; continued listing requires market cap &gt;= JPY 10 billion after 5 years (revised December 2025)</w:t>
            </w:r>
          </w:p>
        </w:tc>
      </w:tr>
      <w:tr>
        <w:tc>
          <w:tcPr>
            <w:tcW w:type="dxa" w:w="2880"/>
          </w:tcPr>
          <w:p>
            <w:pPr/>
            <w:r>
              <w:rPr>
                <w:sz w:val="18"/>
              </w:rPr>
              <w:t>TOKYO PRO Market</w:t>
            </w:r>
          </w:p>
        </w:tc>
        <w:tc>
          <w:tcPr>
            <w:tcW w:type="dxa" w:w="2880"/>
          </w:tcPr>
          <w:p>
            <w:pPr/>
            <w:r>
              <w:rPr>
                <w:sz w:val="18"/>
              </w:rPr>
              <w:t>Professional investors market (launched 2009); flexible listing criteria targeting qualified institutional investors</w:t>
            </w:r>
          </w:p>
        </w:tc>
        <w:tc>
          <w:tcPr>
            <w:tcW w:type="dxa" w:w="2880"/>
          </w:tcPr>
          <w:p>
            <w:pPr/>
            <w:r>
              <w:rPr>
                <w:sz w:val="18"/>
              </w:rPr>
              <w:t>Simplified criteria; J-Adviser (nominated adviser) required; no minimum shareholder count; aimed at smaller companies seeking gradual transition to main markets</w:t>
            </w:r>
          </w:p>
        </w:tc>
      </w:tr>
    </w:tbl>
    <w:p/>
    <w:p>
      <w:pPr>
        <w:pStyle w:val="Heading3"/>
      </w:pPr>
      <w:r>
        <w:t>2.2 Trading Sessions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Session</w:t>
            </w:r>
          </w:p>
        </w:tc>
        <w:tc>
          <w:tcPr>
            <w:tcW w:type="dxa" w:w="2160"/>
          </w:tcPr>
          <w:p>
            <w:pPr/>
            <w:r>
              <w:rPr>
                <w:b/>
                <w:sz w:val="18"/>
              </w:rPr>
              <w:t>Local Time (JST)</w:t>
            </w:r>
          </w:p>
        </w:tc>
        <w:tc>
          <w:tcPr>
            <w:tcW w:type="dxa" w:w="2160"/>
          </w:tcPr>
          <w:p>
            <w:pPr/>
            <w:r>
              <w:rPr>
                <w:b/>
                <w:sz w:val="18"/>
              </w:rPr>
              <w:t>UTC (JST = UTC+9)</w:t>
            </w:r>
          </w:p>
        </w:tc>
        <w:tc>
          <w:tcPr>
            <w:tcW w:type="dxa" w:w="2160"/>
          </w:tcPr>
          <w:p>
            <w:pPr/>
            <w:r>
              <w:rPr>
                <w:b/>
                <w:sz w:val="18"/>
              </w:rPr>
              <w:t>Description</w:t>
            </w:r>
          </w:p>
        </w:tc>
      </w:tr>
      <w:tr>
        <w:tc>
          <w:tcPr>
            <w:tcW w:type="dxa" w:w="2160"/>
          </w:tcPr>
          <w:p>
            <w:pPr/>
            <w:r>
              <w:rPr>
                <w:sz w:val="18"/>
              </w:rPr>
              <w:t>Pre-open (AM)</w:t>
            </w:r>
          </w:p>
        </w:tc>
        <w:tc>
          <w:tcPr>
            <w:tcW w:type="dxa" w:w="2160"/>
          </w:tcPr>
          <w:p>
            <w:pPr/>
            <w:r>
              <w:rPr>
                <w:sz w:val="18"/>
              </w:rPr>
              <w:t>8:00 – 9:00</w:t>
            </w:r>
          </w:p>
        </w:tc>
        <w:tc>
          <w:tcPr>
            <w:tcW w:type="dxa" w:w="2160"/>
          </w:tcPr>
          <w:p>
            <w:pPr/>
            <w:r>
              <w:rPr>
                <w:sz w:val="18"/>
              </w:rPr>
              <w:t>23:00 – 00:00 (prev. day)</w:t>
            </w:r>
          </w:p>
        </w:tc>
        <w:tc>
          <w:tcPr>
            <w:tcW w:type="dxa" w:w="2160"/>
          </w:tcPr>
          <w:p>
            <w:pPr/>
            <w:r>
              <w:rPr>
                <w:sz w:val="18"/>
              </w:rPr>
              <w:t>Order acceptance period; orders queued but not executed</w:t>
            </w:r>
          </w:p>
        </w:tc>
      </w:tr>
      <w:tr>
        <w:tc>
          <w:tcPr>
            <w:tcW w:type="dxa" w:w="2160"/>
          </w:tcPr>
          <w:p>
            <w:pPr/>
            <w:r>
              <w:rPr>
                <w:sz w:val="18"/>
              </w:rPr>
              <w:t>Opening Auction (Itayose)</w:t>
            </w:r>
          </w:p>
        </w:tc>
        <w:tc>
          <w:tcPr>
            <w:tcW w:type="dxa" w:w="2160"/>
          </w:tcPr>
          <w:p>
            <w:pPr/>
            <w:r>
              <w:rPr>
                <w:sz w:val="18"/>
              </w:rPr>
              <w:t>9:00</w:t>
            </w:r>
          </w:p>
        </w:tc>
        <w:tc>
          <w:tcPr>
            <w:tcW w:type="dxa" w:w="2160"/>
          </w:tcPr>
          <w:p>
            <w:pPr/>
            <w:r>
              <w:rPr>
                <w:sz w:val="18"/>
              </w:rPr>
              <w:t>00:00</w:t>
            </w:r>
          </w:p>
        </w:tc>
        <w:tc>
          <w:tcPr>
            <w:tcW w:type="dxa" w:w="2160"/>
          </w:tcPr>
          <w:p>
            <w:pPr/>
            <w:r>
              <w:rPr>
                <w:sz w:val="18"/>
              </w:rPr>
              <w:t>Opening price determined via Itayose call auction matching</w:t>
            </w:r>
          </w:p>
        </w:tc>
      </w:tr>
      <w:tr>
        <w:tc>
          <w:tcPr>
            <w:tcW w:type="dxa" w:w="2160"/>
          </w:tcPr>
          <w:p>
            <w:pPr/>
            <w:r>
              <w:rPr>
                <w:sz w:val="18"/>
              </w:rPr>
              <w:t>Morning Session (Zenba)</w:t>
            </w:r>
          </w:p>
        </w:tc>
        <w:tc>
          <w:tcPr>
            <w:tcW w:type="dxa" w:w="2160"/>
          </w:tcPr>
          <w:p>
            <w:pPr/>
            <w:r>
              <w:rPr>
                <w:sz w:val="18"/>
              </w:rPr>
              <w:t>9:00 – 11:30</w:t>
            </w:r>
          </w:p>
        </w:tc>
        <w:tc>
          <w:tcPr>
            <w:tcW w:type="dxa" w:w="2160"/>
          </w:tcPr>
          <w:p>
            <w:pPr/>
            <w:r>
              <w:rPr>
                <w:sz w:val="18"/>
              </w:rPr>
              <w:t>00:00 – 02:30</w:t>
            </w:r>
          </w:p>
        </w:tc>
        <w:tc>
          <w:tcPr>
            <w:tcW w:type="dxa" w:w="2160"/>
          </w:tcPr>
          <w:p>
            <w:pPr/>
            <w:r>
              <w:rPr>
                <w:sz w:val="18"/>
              </w:rPr>
              <w:t>Continuous Zaraba trading</w:t>
            </w:r>
          </w:p>
        </w:tc>
      </w:tr>
      <w:tr>
        <w:tc>
          <w:tcPr>
            <w:tcW w:type="dxa" w:w="2160"/>
          </w:tcPr>
          <w:p>
            <w:pPr/>
            <w:r>
              <w:rPr>
                <w:sz w:val="18"/>
              </w:rPr>
              <w:t>Lunch Break</w:t>
            </w:r>
          </w:p>
        </w:tc>
        <w:tc>
          <w:tcPr>
            <w:tcW w:type="dxa" w:w="2160"/>
          </w:tcPr>
          <w:p>
            <w:pPr/>
            <w:r>
              <w:rPr>
                <w:sz w:val="18"/>
              </w:rPr>
              <w:t>11:30 – 12:30</w:t>
            </w:r>
          </w:p>
        </w:tc>
        <w:tc>
          <w:tcPr>
            <w:tcW w:type="dxa" w:w="2160"/>
          </w:tcPr>
          <w:p>
            <w:pPr/>
            <w:r>
              <w:rPr>
                <w:sz w:val="18"/>
              </w:rPr>
              <w:t>02:30 – 03:30</w:t>
            </w:r>
          </w:p>
        </w:tc>
        <w:tc>
          <w:tcPr>
            <w:tcW w:type="dxa" w:w="2160"/>
          </w:tcPr>
          <w:p>
            <w:pPr/>
            <w:r>
              <w:rPr>
                <w:sz w:val="18"/>
              </w:rPr>
              <w:t>**No trading**; market fully closed. Orders accepted from 12:05 PM. Unique Asia-specific feature: provides time for system checks, digest morning news, and aligns with Japanese business culture of midday breaks</w:t>
            </w:r>
          </w:p>
        </w:tc>
      </w:tr>
      <w:tr>
        <w:tc>
          <w:tcPr>
            <w:tcW w:type="dxa" w:w="2160"/>
          </w:tcPr>
          <w:p>
            <w:pPr/>
            <w:r>
              <w:rPr>
                <w:sz w:val="18"/>
              </w:rPr>
              <w:t>Pre-open (PM)</w:t>
            </w:r>
          </w:p>
        </w:tc>
        <w:tc>
          <w:tcPr>
            <w:tcW w:type="dxa" w:w="2160"/>
          </w:tcPr>
          <w:p>
            <w:pPr/>
            <w:r>
              <w:rPr>
                <w:sz w:val="18"/>
              </w:rPr>
              <w:t>12:05 – 12:30</w:t>
            </w:r>
          </w:p>
        </w:tc>
        <w:tc>
          <w:tcPr>
            <w:tcW w:type="dxa" w:w="2160"/>
          </w:tcPr>
          <w:p>
            <w:pPr/>
            <w:r>
              <w:rPr>
                <w:sz w:val="18"/>
              </w:rPr>
              <w:t>03:05 – 03:30</w:t>
            </w:r>
          </w:p>
        </w:tc>
        <w:tc>
          <w:tcPr>
            <w:tcW w:type="dxa" w:w="2160"/>
          </w:tcPr>
          <w:p>
            <w:pPr/>
            <w:r>
              <w:rPr>
                <w:sz w:val="18"/>
              </w:rPr>
              <w:t>Order acceptance for afternoon session</w:t>
            </w:r>
          </w:p>
        </w:tc>
      </w:tr>
      <w:tr>
        <w:tc>
          <w:tcPr>
            <w:tcW w:type="dxa" w:w="2160"/>
          </w:tcPr>
          <w:p>
            <w:pPr/>
            <w:r>
              <w:rPr>
                <w:sz w:val="18"/>
              </w:rPr>
              <w:t>Opening Auction (PM)</w:t>
            </w:r>
          </w:p>
        </w:tc>
        <w:tc>
          <w:tcPr>
            <w:tcW w:type="dxa" w:w="2160"/>
          </w:tcPr>
          <w:p>
            <w:pPr/>
            <w:r>
              <w:rPr>
                <w:sz w:val="18"/>
              </w:rPr>
              <w:t>12:30</w:t>
            </w:r>
          </w:p>
        </w:tc>
        <w:tc>
          <w:tcPr>
            <w:tcW w:type="dxa" w:w="2160"/>
          </w:tcPr>
          <w:p>
            <w:pPr/>
            <w:r>
              <w:rPr>
                <w:sz w:val="18"/>
              </w:rPr>
              <w:t>03:30</w:t>
            </w:r>
          </w:p>
        </w:tc>
        <w:tc>
          <w:tcPr>
            <w:tcW w:type="dxa" w:w="2160"/>
          </w:tcPr>
          <w:p>
            <w:pPr/>
            <w:r>
              <w:rPr>
                <w:sz w:val="18"/>
              </w:rPr>
              <w:t>Afternoon opening price determined via Itayose</w:t>
            </w:r>
          </w:p>
        </w:tc>
      </w:tr>
      <w:tr>
        <w:tc>
          <w:tcPr>
            <w:tcW w:type="dxa" w:w="2160"/>
          </w:tcPr>
          <w:p>
            <w:pPr/>
            <w:r>
              <w:rPr>
                <w:sz w:val="18"/>
              </w:rPr>
              <w:t>Afternoon Session (Goba)</w:t>
            </w:r>
          </w:p>
        </w:tc>
        <w:tc>
          <w:tcPr>
            <w:tcW w:type="dxa" w:w="2160"/>
          </w:tcPr>
          <w:p>
            <w:pPr/>
            <w:r>
              <w:rPr>
                <w:sz w:val="18"/>
              </w:rPr>
              <w:t>12:30 – 15:25</w:t>
            </w:r>
          </w:p>
        </w:tc>
        <w:tc>
          <w:tcPr>
            <w:tcW w:type="dxa" w:w="2160"/>
          </w:tcPr>
          <w:p>
            <w:pPr/>
            <w:r>
              <w:rPr>
                <w:sz w:val="18"/>
              </w:rPr>
              <w:t>03:30 – 06:25</w:t>
            </w:r>
          </w:p>
        </w:tc>
        <w:tc>
          <w:tcPr>
            <w:tcW w:type="dxa" w:w="2160"/>
          </w:tcPr>
          <w:p>
            <w:pPr/>
            <w:r>
              <w:rPr>
                <w:sz w:val="18"/>
              </w:rPr>
              <w:t>Continuous Zaraba trading</w:t>
            </w:r>
          </w:p>
        </w:tc>
      </w:tr>
      <w:tr>
        <w:tc>
          <w:tcPr>
            <w:tcW w:type="dxa" w:w="2160"/>
          </w:tcPr>
          <w:p>
            <w:pPr/>
            <w:r>
              <w:rPr>
                <w:sz w:val="18"/>
              </w:rPr>
              <w:t>Pre-Closing Period</w:t>
            </w:r>
          </w:p>
        </w:tc>
        <w:tc>
          <w:tcPr>
            <w:tcW w:type="dxa" w:w="2160"/>
          </w:tcPr>
          <w:p>
            <w:pPr/>
            <w:r>
              <w:rPr>
                <w:sz w:val="18"/>
              </w:rPr>
              <w:t>15:25 – 15:30</w:t>
            </w:r>
          </w:p>
        </w:tc>
        <w:tc>
          <w:tcPr>
            <w:tcW w:type="dxa" w:w="2160"/>
          </w:tcPr>
          <w:p>
            <w:pPr/>
            <w:r>
              <w:rPr>
                <w:sz w:val="18"/>
              </w:rPr>
              <w:t>06:25 – 06:30</w:t>
            </w:r>
          </w:p>
        </w:tc>
        <w:tc>
          <w:tcPr>
            <w:tcW w:type="dxa" w:w="2160"/>
          </w:tcPr>
          <w:p>
            <w:pPr/>
            <w:r>
              <w:rPr>
                <w:sz w:val="18"/>
              </w:rPr>
              <w:t>Orders accepted but not executed; order book information disseminated for 5 minutes (introduced November 2024)</w:t>
            </w:r>
          </w:p>
        </w:tc>
      </w:tr>
      <w:tr>
        <w:tc>
          <w:tcPr>
            <w:tcW w:type="dxa" w:w="2160"/>
          </w:tcPr>
          <w:p>
            <w:pPr/>
            <w:r>
              <w:rPr>
                <w:sz w:val="18"/>
              </w:rPr>
              <w:t>Closing Auction (Itayose)</w:t>
            </w:r>
          </w:p>
        </w:tc>
        <w:tc>
          <w:tcPr>
            <w:tcW w:type="dxa" w:w="2160"/>
          </w:tcPr>
          <w:p>
            <w:pPr/>
            <w:r>
              <w:rPr>
                <w:sz w:val="18"/>
              </w:rPr>
              <w:t>15:30</w:t>
            </w:r>
          </w:p>
        </w:tc>
        <w:tc>
          <w:tcPr>
            <w:tcW w:type="dxa" w:w="2160"/>
          </w:tcPr>
          <w:p>
            <w:pPr/>
            <w:r>
              <w:rPr>
                <w:sz w:val="18"/>
              </w:rPr>
              <w:t>06:30</w:t>
            </w:r>
          </w:p>
        </w:tc>
        <w:tc>
          <w:tcPr>
            <w:tcW w:type="dxa" w:w="2160"/>
          </w:tcPr>
          <w:p>
            <w:pPr/>
            <w:r>
              <w:rPr>
                <w:sz w:val="18"/>
              </w:rPr>
              <w:t>Official closing prices determined via Itayose call auction</w:t>
            </w:r>
          </w:p>
        </w:tc>
      </w:tr>
    </w:tbl>
    <w:p/>
    <w:p>
      <w:r>
        <w:t>Notes:</w:t>
      </w:r>
    </w:p>
    <w:p>
      <w:pPr>
        <w:pStyle w:val="ListBullet"/>
      </w:pPr>
      <w:r>
        <w:t>Trading hours were extended by 30 minutes on November 5, 2024 (previously closed at 15:00). The 5-minute closing auction session was introduced simultaneously.</w:t>
      </w:r>
    </w:p>
    <w:p>
      <w:pPr>
        <w:pStyle w:val="ListBullet"/>
      </w:pPr>
      <w:r>
        <w:t>The lunch break (11:30 AM – 12:30 PM) is a distinctive feature shared with several other Asian exchanges. Despite full electronic trading, the break persists for operational, cultural, and risk management reasons.</w:t>
      </w:r>
    </w:p>
    <w:p>
      <w:pPr>
        <w:pStyle w:val="ListBullet"/>
      </w:pPr>
      <w:r>
        <w:t>Market closed on Saturdays, Sundays, national holidays, January 1-3, and December 31.</w:t>
      </w:r>
    </w:p>
    <w:p>
      <w:pPr>
        <w:pStyle w:val="ListBullet"/>
      </w:pPr>
      <w:r>
        <w:t>Total trading time: 5 hours and 30 minutes per day (previously 5 hours before November 2024).</w:t>
      </w:r>
    </w:p>
    <w:p>
      <w:pPr>
        <w:pStyle w:val="Heading3"/>
      </w:pPr>
      <w:r>
        <w:t>2.3 Tick Sizes</w:t>
      </w:r>
    </w:p>
    <w:p>
      <w:r>
        <w:t>TOPIX 500 Constituents (TOPIX 100 and TOPIX Mid400) and ETFs/ETNs with trading unit &gt;= 10:</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Price Range (JPY)</w:t>
            </w:r>
          </w:p>
        </w:tc>
        <w:tc>
          <w:tcPr>
            <w:tcW w:type="dxa" w:w="4320"/>
          </w:tcPr>
          <w:p>
            <w:pPr/>
            <w:r>
              <w:rPr>
                <w:b/>
                <w:sz w:val="18"/>
              </w:rPr>
              <w:t>Tick Size (JPY)</w:t>
            </w:r>
          </w:p>
        </w:tc>
      </w:tr>
      <w:tr>
        <w:tc>
          <w:tcPr>
            <w:tcW w:type="dxa" w:w="4320"/>
          </w:tcPr>
          <w:p>
            <w:pPr/>
            <w:r>
              <w:rPr>
                <w:sz w:val="18"/>
              </w:rPr>
              <w:t>&lt;= 1,000</w:t>
            </w:r>
          </w:p>
        </w:tc>
        <w:tc>
          <w:tcPr>
            <w:tcW w:type="dxa" w:w="4320"/>
          </w:tcPr>
          <w:p>
            <w:pPr/>
            <w:r>
              <w:rPr>
                <w:sz w:val="18"/>
              </w:rPr>
              <w:t>0.1</w:t>
            </w:r>
          </w:p>
        </w:tc>
      </w:tr>
      <w:tr>
        <w:tc>
          <w:tcPr>
            <w:tcW w:type="dxa" w:w="4320"/>
          </w:tcPr>
          <w:p>
            <w:pPr/>
            <w:r>
              <w:rPr>
                <w:sz w:val="18"/>
              </w:rPr>
              <w:t>&lt;= 3,000</w:t>
            </w:r>
          </w:p>
        </w:tc>
        <w:tc>
          <w:tcPr>
            <w:tcW w:type="dxa" w:w="4320"/>
          </w:tcPr>
          <w:p>
            <w:pPr/>
            <w:r>
              <w:rPr>
                <w:sz w:val="18"/>
              </w:rPr>
              <w:t>0.5</w:t>
            </w:r>
          </w:p>
        </w:tc>
      </w:tr>
      <w:tr>
        <w:tc>
          <w:tcPr>
            <w:tcW w:type="dxa" w:w="4320"/>
          </w:tcPr>
          <w:p>
            <w:pPr/>
            <w:r>
              <w:rPr>
                <w:sz w:val="18"/>
              </w:rPr>
              <w:t>&lt;= 10,000</w:t>
            </w:r>
          </w:p>
        </w:tc>
        <w:tc>
          <w:tcPr>
            <w:tcW w:type="dxa" w:w="4320"/>
          </w:tcPr>
          <w:p>
            <w:pPr/>
            <w:r>
              <w:rPr>
                <w:sz w:val="18"/>
              </w:rPr>
              <w:t>1</w:t>
            </w:r>
          </w:p>
        </w:tc>
      </w:tr>
      <w:tr>
        <w:tc>
          <w:tcPr>
            <w:tcW w:type="dxa" w:w="4320"/>
          </w:tcPr>
          <w:p>
            <w:pPr/>
            <w:r>
              <w:rPr>
                <w:sz w:val="18"/>
              </w:rPr>
              <w:t>&lt;= 30,000</w:t>
            </w:r>
          </w:p>
        </w:tc>
        <w:tc>
          <w:tcPr>
            <w:tcW w:type="dxa" w:w="4320"/>
          </w:tcPr>
          <w:p>
            <w:pPr/>
            <w:r>
              <w:rPr>
                <w:sz w:val="18"/>
              </w:rPr>
              <w:t>5</w:t>
            </w:r>
          </w:p>
        </w:tc>
      </w:tr>
      <w:tr>
        <w:tc>
          <w:tcPr>
            <w:tcW w:type="dxa" w:w="4320"/>
          </w:tcPr>
          <w:p>
            <w:pPr/>
            <w:r>
              <w:rPr>
                <w:sz w:val="18"/>
              </w:rPr>
              <w:t>&lt;= 100,000</w:t>
            </w:r>
          </w:p>
        </w:tc>
        <w:tc>
          <w:tcPr>
            <w:tcW w:type="dxa" w:w="4320"/>
          </w:tcPr>
          <w:p>
            <w:pPr/>
            <w:r>
              <w:rPr>
                <w:sz w:val="18"/>
              </w:rPr>
              <w:t>10</w:t>
            </w:r>
          </w:p>
        </w:tc>
      </w:tr>
      <w:tr>
        <w:tc>
          <w:tcPr>
            <w:tcW w:type="dxa" w:w="4320"/>
          </w:tcPr>
          <w:p>
            <w:pPr/>
            <w:r>
              <w:rPr>
                <w:sz w:val="18"/>
              </w:rPr>
              <w:t>&lt;= 300,000</w:t>
            </w:r>
          </w:p>
        </w:tc>
        <w:tc>
          <w:tcPr>
            <w:tcW w:type="dxa" w:w="4320"/>
          </w:tcPr>
          <w:p>
            <w:pPr/>
            <w:r>
              <w:rPr>
                <w:sz w:val="18"/>
              </w:rPr>
              <w:t>50</w:t>
            </w:r>
          </w:p>
        </w:tc>
      </w:tr>
      <w:tr>
        <w:tc>
          <w:tcPr>
            <w:tcW w:type="dxa" w:w="4320"/>
          </w:tcPr>
          <w:p>
            <w:pPr/>
            <w:r>
              <w:rPr>
                <w:sz w:val="18"/>
              </w:rPr>
              <w:t>&lt;= 1,000,000</w:t>
            </w:r>
          </w:p>
        </w:tc>
        <w:tc>
          <w:tcPr>
            <w:tcW w:type="dxa" w:w="4320"/>
          </w:tcPr>
          <w:p>
            <w:pPr/>
            <w:r>
              <w:rPr>
                <w:sz w:val="18"/>
              </w:rPr>
              <w:t>100</w:t>
            </w:r>
          </w:p>
        </w:tc>
      </w:tr>
      <w:tr>
        <w:tc>
          <w:tcPr>
            <w:tcW w:type="dxa" w:w="4320"/>
          </w:tcPr>
          <w:p>
            <w:pPr/>
            <w:r>
              <w:rPr>
                <w:sz w:val="18"/>
              </w:rPr>
              <w:t>&lt;= 3,000,000</w:t>
            </w:r>
          </w:p>
        </w:tc>
        <w:tc>
          <w:tcPr>
            <w:tcW w:type="dxa" w:w="4320"/>
          </w:tcPr>
          <w:p>
            <w:pPr/>
            <w:r>
              <w:rPr>
                <w:sz w:val="18"/>
              </w:rPr>
              <w:t>500</w:t>
            </w:r>
          </w:p>
        </w:tc>
      </w:tr>
      <w:tr>
        <w:tc>
          <w:tcPr>
            <w:tcW w:type="dxa" w:w="4320"/>
          </w:tcPr>
          <w:p>
            <w:pPr/>
            <w:r>
              <w:rPr>
                <w:sz w:val="18"/>
              </w:rPr>
              <w:t>&lt;= 10,000,000</w:t>
            </w:r>
          </w:p>
        </w:tc>
        <w:tc>
          <w:tcPr>
            <w:tcW w:type="dxa" w:w="4320"/>
          </w:tcPr>
          <w:p>
            <w:pPr/>
            <w:r>
              <w:rPr>
                <w:sz w:val="18"/>
              </w:rPr>
              <w:t>1,000</w:t>
            </w:r>
          </w:p>
        </w:tc>
      </w:tr>
      <w:tr>
        <w:tc>
          <w:tcPr>
            <w:tcW w:type="dxa" w:w="4320"/>
          </w:tcPr>
          <w:p>
            <w:pPr/>
            <w:r>
              <w:rPr>
                <w:sz w:val="18"/>
              </w:rPr>
              <w:t>&lt;= 30,000,000</w:t>
            </w:r>
          </w:p>
        </w:tc>
        <w:tc>
          <w:tcPr>
            <w:tcW w:type="dxa" w:w="4320"/>
          </w:tcPr>
          <w:p>
            <w:pPr/>
            <w:r>
              <w:rPr>
                <w:sz w:val="18"/>
              </w:rPr>
              <w:t>5,000</w:t>
            </w:r>
          </w:p>
        </w:tc>
      </w:tr>
      <w:tr>
        <w:tc>
          <w:tcPr>
            <w:tcW w:type="dxa" w:w="4320"/>
          </w:tcPr>
          <w:p>
            <w:pPr/>
            <w:r>
              <w:rPr>
                <w:sz w:val="18"/>
              </w:rPr>
              <w:t>&gt; 30,000,000</w:t>
            </w:r>
          </w:p>
        </w:tc>
        <w:tc>
          <w:tcPr>
            <w:tcW w:type="dxa" w:w="4320"/>
          </w:tcPr>
          <w:p>
            <w:pPr/>
            <w:r>
              <w:rPr>
                <w:sz w:val="18"/>
              </w:rPr>
              <w:t>10,000</w:t>
            </w:r>
          </w:p>
        </w:tc>
      </w:tr>
    </w:tbl>
    <w:p/>
    <w:p>
      <w:r>
        <w:t>Other Issues (non-TOPIX 500):</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Price Range (JPY)</w:t>
            </w:r>
          </w:p>
        </w:tc>
        <w:tc>
          <w:tcPr>
            <w:tcW w:type="dxa" w:w="4320"/>
          </w:tcPr>
          <w:p>
            <w:pPr/>
            <w:r>
              <w:rPr>
                <w:b/>
                <w:sz w:val="18"/>
              </w:rPr>
              <w:t>Tick Size (JPY)</w:t>
            </w:r>
          </w:p>
        </w:tc>
      </w:tr>
      <w:tr>
        <w:tc>
          <w:tcPr>
            <w:tcW w:type="dxa" w:w="4320"/>
          </w:tcPr>
          <w:p>
            <w:pPr/>
            <w:r>
              <w:rPr>
                <w:sz w:val="18"/>
              </w:rPr>
              <w:t>&lt;= 3,000</w:t>
            </w:r>
          </w:p>
        </w:tc>
        <w:tc>
          <w:tcPr>
            <w:tcW w:type="dxa" w:w="4320"/>
          </w:tcPr>
          <w:p>
            <w:pPr/>
            <w:r>
              <w:rPr>
                <w:sz w:val="18"/>
              </w:rPr>
              <w:t>1</w:t>
            </w:r>
          </w:p>
        </w:tc>
      </w:tr>
      <w:tr>
        <w:tc>
          <w:tcPr>
            <w:tcW w:type="dxa" w:w="4320"/>
          </w:tcPr>
          <w:p>
            <w:pPr/>
            <w:r>
              <w:rPr>
                <w:sz w:val="18"/>
              </w:rPr>
              <w:t>&lt;= 5,000</w:t>
            </w:r>
          </w:p>
        </w:tc>
        <w:tc>
          <w:tcPr>
            <w:tcW w:type="dxa" w:w="4320"/>
          </w:tcPr>
          <w:p>
            <w:pPr/>
            <w:r>
              <w:rPr>
                <w:sz w:val="18"/>
              </w:rPr>
              <w:t>5</w:t>
            </w:r>
          </w:p>
        </w:tc>
      </w:tr>
      <w:tr>
        <w:tc>
          <w:tcPr>
            <w:tcW w:type="dxa" w:w="4320"/>
          </w:tcPr>
          <w:p>
            <w:pPr/>
            <w:r>
              <w:rPr>
                <w:sz w:val="18"/>
              </w:rPr>
              <w:t>&lt;= 30,000</w:t>
            </w:r>
          </w:p>
        </w:tc>
        <w:tc>
          <w:tcPr>
            <w:tcW w:type="dxa" w:w="4320"/>
          </w:tcPr>
          <w:p>
            <w:pPr/>
            <w:r>
              <w:rPr>
                <w:sz w:val="18"/>
              </w:rPr>
              <w:t>10</w:t>
            </w:r>
          </w:p>
        </w:tc>
      </w:tr>
      <w:tr>
        <w:tc>
          <w:tcPr>
            <w:tcW w:type="dxa" w:w="4320"/>
          </w:tcPr>
          <w:p>
            <w:pPr/>
            <w:r>
              <w:rPr>
                <w:sz w:val="18"/>
              </w:rPr>
              <w:t>&lt;= 50,000</w:t>
            </w:r>
          </w:p>
        </w:tc>
        <w:tc>
          <w:tcPr>
            <w:tcW w:type="dxa" w:w="4320"/>
          </w:tcPr>
          <w:p>
            <w:pPr/>
            <w:r>
              <w:rPr>
                <w:sz w:val="18"/>
              </w:rPr>
              <w:t>50</w:t>
            </w:r>
          </w:p>
        </w:tc>
      </w:tr>
      <w:tr>
        <w:tc>
          <w:tcPr>
            <w:tcW w:type="dxa" w:w="4320"/>
          </w:tcPr>
          <w:p>
            <w:pPr/>
            <w:r>
              <w:rPr>
                <w:sz w:val="18"/>
              </w:rPr>
              <w:t>&lt;= 300,000</w:t>
            </w:r>
          </w:p>
        </w:tc>
        <w:tc>
          <w:tcPr>
            <w:tcW w:type="dxa" w:w="4320"/>
          </w:tcPr>
          <w:p>
            <w:pPr/>
            <w:r>
              <w:rPr>
                <w:sz w:val="18"/>
              </w:rPr>
              <w:t>100</w:t>
            </w:r>
          </w:p>
        </w:tc>
      </w:tr>
      <w:tr>
        <w:tc>
          <w:tcPr>
            <w:tcW w:type="dxa" w:w="4320"/>
          </w:tcPr>
          <w:p>
            <w:pPr/>
            <w:r>
              <w:rPr>
                <w:sz w:val="18"/>
              </w:rPr>
              <w:t>&lt;= 500,000</w:t>
            </w:r>
          </w:p>
        </w:tc>
        <w:tc>
          <w:tcPr>
            <w:tcW w:type="dxa" w:w="4320"/>
          </w:tcPr>
          <w:p>
            <w:pPr/>
            <w:r>
              <w:rPr>
                <w:sz w:val="18"/>
              </w:rPr>
              <w:t>500</w:t>
            </w:r>
          </w:p>
        </w:tc>
      </w:tr>
      <w:tr>
        <w:tc>
          <w:tcPr>
            <w:tcW w:type="dxa" w:w="4320"/>
          </w:tcPr>
          <w:p>
            <w:pPr/>
            <w:r>
              <w:rPr>
                <w:sz w:val="18"/>
              </w:rPr>
              <w:t>&lt;= 3,000,000</w:t>
            </w:r>
          </w:p>
        </w:tc>
        <w:tc>
          <w:tcPr>
            <w:tcW w:type="dxa" w:w="4320"/>
          </w:tcPr>
          <w:p>
            <w:pPr/>
            <w:r>
              <w:rPr>
                <w:sz w:val="18"/>
              </w:rPr>
              <w:t>1,000</w:t>
            </w:r>
          </w:p>
        </w:tc>
      </w:tr>
      <w:tr>
        <w:tc>
          <w:tcPr>
            <w:tcW w:type="dxa" w:w="4320"/>
          </w:tcPr>
          <w:p>
            <w:pPr/>
            <w:r>
              <w:rPr>
                <w:sz w:val="18"/>
              </w:rPr>
              <w:t>&lt;= 5,000,000</w:t>
            </w:r>
          </w:p>
        </w:tc>
        <w:tc>
          <w:tcPr>
            <w:tcW w:type="dxa" w:w="4320"/>
          </w:tcPr>
          <w:p>
            <w:pPr/>
            <w:r>
              <w:rPr>
                <w:sz w:val="18"/>
              </w:rPr>
              <w:t>5,000</w:t>
            </w:r>
          </w:p>
        </w:tc>
      </w:tr>
      <w:tr>
        <w:tc>
          <w:tcPr>
            <w:tcW w:type="dxa" w:w="4320"/>
          </w:tcPr>
          <w:p>
            <w:pPr/>
            <w:r>
              <w:rPr>
                <w:sz w:val="18"/>
              </w:rPr>
              <w:t>&lt;= 30,000,000</w:t>
            </w:r>
          </w:p>
        </w:tc>
        <w:tc>
          <w:tcPr>
            <w:tcW w:type="dxa" w:w="4320"/>
          </w:tcPr>
          <w:p>
            <w:pPr/>
            <w:r>
              <w:rPr>
                <w:sz w:val="18"/>
              </w:rPr>
              <w:t>10,000</w:t>
            </w:r>
          </w:p>
        </w:tc>
      </w:tr>
      <w:tr>
        <w:tc>
          <w:tcPr>
            <w:tcW w:type="dxa" w:w="4320"/>
          </w:tcPr>
          <w:p>
            <w:pPr/>
            <w:r>
              <w:rPr>
                <w:sz w:val="18"/>
              </w:rPr>
              <w:t>&lt;= 50,000,000</w:t>
            </w:r>
          </w:p>
        </w:tc>
        <w:tc>
          <w:tcPr>
            <w:tcW w:type="dxa" w:w="4320"/>
          </w:tcPr>
          <w:p>
            <w:pPr/>
            <w:r>
              <w:rPr>
                <w:sz w:val="18"/>
              </w:rPr>
              <w:t>50,000</w:t>
            </w:r>
          </w:p>
        </w:tc>
      </w:tr>
      <w:tr>
        <w:tc>
          <w:tcPr>
            <w:tcW w:type="dxa" w:w="4320"/>
          </w:tcPr>
          <w:p>
            <w:pPr/>
            <w:r>
              <w:rPr>
                <w:sz w:val="18"/>
              </w:rPr>
              <w:t>&gt; 50,000,000</w:t>
            </w:r>
          </w:p>
        </w:tc>
        <w:tc>
          <w:tcPr>
            <w:tcW w:type="dxa" w:w="4320"/>
          </w:tcPr>
          <w:p>
            <w:pPr/>
            <w:r>
              <w:rPr>
                <w:sz w:val="18"/>
              </w:rPr>
              <w:t>100,000</w:t>
            </w:r>
          </w:p>
        </w:tc>
      </w:tr>
    </w:tbl>
    <w:p/>
    <w:p>
      <w:r>
        <w:t>Note: TOPIX 500 constituents benefit from finer tick sizes (e.g., JPY 0.1 for prices &lt;= JPY 1,000 vs. JPY 1 for other issues), which was introduced to improve liquidity in the most-traded stocks.</w:t>
      </w:r>
    </w:p>
    <w:p>
      <w:pPr>
        <w:pStyle w:val="Heading3"/>
      </w:pPr>
      <w:r>
        <w:t>2.4 Lot Sizes</w:t>
      </w:r>
    </w:p>
    <w:p>
      <w:pPr>
        <w:pStyle w:val="ListBullet"/>
      </w:pPr>
      <w:r>
        <w:t>Standard lot: 100 shares (unified across all TSE-listed stocks since October 1, 2018; previously 8 different lot sizes existed, consolidated to 100/1,000 by 2014, then to 100 only)</w:t>
      </w:r>
    </w:p>
    <w:p>
      <w:pPr>
        <w:pStyle w:val="ListBullet"/>
      </w:pPr>
      <w:r>
        <w:t>Odd lot trading: Quantities less than 100 shares can be traded through certain brokerages as a special service (typically at market price with higher commissions), but are not standard on the exchange's auction market. Single-share purchases are available at select brokerages (e.g., SBI, Monex) to improve retail access.</w:t>
      </w:r>
    </w:p>
    <w:p>
      <w:pPr>
        <w:pStyle w:val="Heading3"/>
      </w:pPr>
      <w:r>
        <w:t>2.5 Market Maker / Liquidity Provider Programs</w:t>
      </w:r>
    </w:p>
    <w:p>
      <w:r>
        <w:t>ETF Market Making Incentive Scheme (since July 2018):</w:t>
      </w:r>
    </w:p>
    <w:p>
      <w:pPr>
        <w:pStyle w:val="ListBullet"/>
      </w:pPr>
      <w:r>
        <w:t>TSE designates market makers for individual ETF issues based on applications</w:t>
      </w:r>
    </w:p>
    <w:p>
      <w:pPr>
        <w:pStyle w:val="ListBullet"/>
      </w:pPr>
      <w:r>
        <w:t>Market makers who fulfill quoting obligations (continuous two-sided quotes at fair prices) receive incentive payments from TSE</w:t>
      </w:r>
    </w:p>
    <w:p>
      <w:pPr>
        <w:pStyle w:val="ListBullet"/>
      </w:pPr>
      <w:r>
        <w:t>Incentive unit price: 0.1 to 0.9 basis points of trading value, calibrated by each ETF's liquidity level</w:t>
      </w:r>
    </w:p>
    <w:p>
      <w:pPr>
        <w:pStyle w:val="ListBullet"/>
      </w:pPr>
      <w:r>
        <w:t>Sponsored ETF Market Making Scheme: Asset managers can sponsor additional incentives for bespoke quoting obligations</w:t>
      </w:r>
    </w:p>
    <w:p>
      <w:pPr>
        <w:pStyle w:val="ListBullet"/>
      </w:pPr>
      <w:r>
        <w:t>Version 2.0: TSE sets limited-time incentives and obligations for market makers to display continuous quotes of ~JPY 100 million per issue, targeting development of ETFs representing each asset class</w:t>
      </w:r>
    </w:p>
    <w:p>
      <w:pPr>
        <w:pStyle w:val="ListBullet"/>
      </w:pPr>
      <w:r>
        <w:t>CONNEQTOR: RFQ (Request for Quote) platform launched by TSE to enhance ETF liquidity by connecting institutional investors with market makers</w:t>
      </w:r>
    </w:p>
    <w:p>
      <w:r>
        <w:t>Note: For cash equities (stocks), TSE operates as a pure order-driven market without designated market makers. Liquidity is provided entirely by public orders from investors and trading participants.</w:t>
      </w:r>
    </w:p>
    <w:p>
      <w:r>
        <w:t>────────────────────────────────────────────────────────────</w:t>
      </w:r>
    </w:p>
    <w:p>
      <w:pPr>
        <w:pStyle w:val="Heading2"/>
      </w:pPr>
      <w:r>
        <w:t>3. Trading Mechanism</w:t>
      </w:r>
    </w:p>
    <w:p>
      <w:pPr>
        <w:pStyle w:val="Heading3"/>
      </w:pPr>
      <w:r>
        <w:t>3.1 Auction Mechanisms</w:t>
      </w:r>
    </w:p>
    <w:p>
      <w:pPr>
        <w:pStyle w:val="ListBullet"/>
      </w:pPr>
      <w:r>
        <w:t>Opening Auction (Itayose): Call auction method used at 9:00 AM and 12:30 PM to determine opening prices. All accumulated orders are matched at a single equilibrium price that maximizes executed volume. Three conditions must be met: (1) all market orders are executed, (2) higher buy limit orders and lower sell limit orders are fully executed, (3) either all buy or all sell orders at the determined price are executed.</w:t>
      </w:r>
    </w:p>
    <w:p>
      <w:pPr>
        <w:pStyle w:val="ListBullet"/>
      </w:pPr>
      <w:r>
        <w:t>Closing Auction (Itayose): Introduced November 5, 2024 as part of arrowhead 4.0 upgrade. A 5-minute pre-closing period (15:25-15:30) freezes order execution while displaying order book information, followed by Itayose matching at 15:30 to determine official closing prices. This mechanism improves closing price transparency and reduces manipulation risk.</w:t>
      </w:r>
    </w:p>
    <w:p>
      <w:pPr>
        <w:pStyle w:val="ListBullet"/>
      </w:pPr>
      <w:r>
        <w:t>Intraday Auction: Not a scheduled event, but Itayose is triggered upon trading resumption after Special Quote halts (see below).</w:t>
      </w:r>
    </w:p>
    <w:p>
      <w:pPr>
        <w:pStyle w:val="ListBullet"/>
      </w:pPr>
      <w:r>
        <w:t>Volatility Auction (Special Quote / Tokubetsu Kehai): When a potential trade price would deviate beyond the "renewal price range" (a predefined price interval), the exchange displays a Special Quote instead of executing the trade. This Special Quote is displayed for a cooling period to attract offsetting orders. If sufficient offsetting orders arrive, an Itayose auction occurs. If not, the Special Quote is updated stepwise in the direction of the imbalance at set intervals (typically every 3-5 minutes, depending on the price level) until balance is achieved or the daily price limit is reached.</w:t>
      </w:r>
    </w:p>
    <w:p>
      <w:pPr>
        <w:pStyle w:val="Heading3"/>
      </w:pPr>
      <w:r>
        <w:t>3.2 Continuous Trading (Zaraba)</w:t>
      </w:r>
    </w:p>
    <w:p>
      <w:pPr>
        <w:pStyle w:val="ListBullet"/>
      </w:pPr>
      <w:r>
        <w:t>Pure order-driven market — no designated market makers for equities</w:t>
      </w:r>
    </w:p>
    <w:p>
      <w:pPr>
        <w:pStyle w:val="ListBullet"/>
      </w:pPr>
      <w:r>
        <w:t>Price-time priority: Orders are matched first by price priority (best price first), then by time priority (earliest order first among same-price orders). Market orders always take priority over limit orders.</w:t>
      </w:r>
    </w:p>
    <w:p>
      <w:pPr>
        <w:pStyle w:val="ListBullet"/>
      </w:pPr>
      <w:r>
        <w:t>Zaraba method is used during continuous trading sessions (morning and afternoon sessions, excluding opening/closing auctions)</w:t>
      </w:r>
    </w:p>
    <w:p>
      <w:pPr>
        <w:pStyle w:val="Heading3"/>
      </w:pPr>
      <w:r>
        <w:t>3.3 Price Discovery</w:t>
      </w:r>
    </w:p>
    <w:p>
      <w:pPr>
        <w:pStyle w:val="ListBullet"/>
      </w:pPr>
      <w:r>
        <w:t>Itayose provides primary price discovery at market open, post-lunch reopen, and market close</w:t>
      </w:r>
    </w:p>
    <w:p>
      <w:pPr>
        <w:pStyle w:val="ListBullet"/>
      </w:pPr>
      <w:r>
        <w:t>Special Quote mechanism provides orderly price discovery during periods of order imbalance by signaling the indicative price direction to the market</w:t>
      </w:r>
    </w:p>
    <w:p>
      <w:pPr>
        <w:pStyle w:val="ListBullet"/>
      </w:pPr>
      <w:r>
        <w:t>Sequential Trade Quotes: When an execution might exceed twice the renewal price interval, a Sequential Trade Quote is displayed for one minute to attract offsetting orders before execution</w:t>
      </w:r>
    </w:p>
    <w:p>
      <w:pPr>
        <w:pStyle w:val="ListBullet"/>
      </w:pPr>
      <w:r>
        <w:t>ToSTNeT (Tokyo Stock Exchange Trading NeTwork System): Off-auction trading system for large-lot, basket, and negotiated transactions. Launched 1998. Types include:</w:t>
      </w:r>
    </w:p>
    <w:p>
      <w:pPr>
        <w:pStyle w:val="ListBullet"/>
      </w:pPr>
      <w:r>
        <w:t>Single Issue Trading (ToSTNeT-1): Negotiated trades within +/- 7% of last auction price</w:t>
      </w:r>
    </w:p>
    <w:p>
      <w:pPr>
        <w:pStyle w:val="ListBullet"/>
      </w:pPr>
      <w:r>
        <w:t>Basket Trading: Portfolio transactions</w:t>
      </w:r>
    </w:p>
    <w:p>
      <w:pPr>
        <w:pStyle w:val="ListBullet"/>
      </w:pPr>
      <w:r>
        <w:t>Closing Price Trading (ToSTNeT-2): Trades at closing price</w:t>
      </w:r>
    </w:p>
    <w:p>
      <w:pPr>
        <w:pStyle w:val="ListBullet"/>
      </w:pPr>
      <w:r>
        <w:t>Off-auction Repurchase: Companies repurchasing own shares</w:t>
      </w:r>
    </w:p>
    <w:p>
      <w:r>
        <w:t>────────────────────────────────────────────────────────────</w:t>
      </w:r>
    </w:p>
    <w:p>
      <w:pPr>
        <w:pStyle w:val="Heading2"/>
      </w:pPr>
      <w:r>
        <w:t>4. Order Types</w:t>
      </w:r>
    </w:p>
    <w:p>
      <w:pPr>
        <w:pStyle w:val="Heading3"/>
      </w:pPr>
      <w:r>
        <w:t>4.1 Standard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Market Order (Nariyuki)</w:t>
            </w:r>
          </w:p>
        </w:tc>
        <w:tc>
          <w:tcPr>
            <w:tcW w:type="dxa" w:w="4320"/>
          </w:tcPr>
          <w:p>
            <w:pPr/>
            <w:r>
              <w:rPr>
                <w:sz w:val="18"/>
              </w:rPr>
              <w:t>Execute at best available price; takes priority over all limit orders. No price specified.</w:t>
            </w:r>
          </w:p>
        </w:tc>
      </w:tr>
      <w:tr>
        <w:tc>
          <w:tcPr>
            <w:tcW w:type="dxa" w:w="4320"/>
          </w:tcPr>
          <w:p>
            <w:pPr/>
            <w:r>
              <w:rPr>
                <w:sz w:val="18"/>
              </w:rPr>
              <w:t>Limit Order (Sashine)</w:t>
            </w:r>
          </w:p>
        </w:tc>
        <w:tc>
          <w:tcPr>
            <w:tcW w:type="dxa" w:w="4320"/>
          </w:tcPr>
          <w:p>
            <w:pPr/>
            <w:r>
              <w:rPr>
                <w:sz w:val="18"/>
              </w:rPr>
              <w:t>Execute at specified price or better. Buy limit = maximum price; sell limit = minimum price.</w:t>
            </w:r>
          </w:p>
        </w:tc>
      </w:tr>
    </w:tbl>
    <w:p/>
    <w:p>
      <w:pPr>
        <w:pStyle w:val="Heading3"/>
      </w:pPr>
      <w:r>
        <w:t>4.2 Advanced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On Open (Yoritsuki)</w:t>
            </w:r>
          </w:p>
        </w:tc>
        <w:tc>
          <w:tcPr>
            <w:tcW w:type="dxa" w:w="4320"/>
          </w:tcPr>
          <w:p>
            <w:pPr/>
            <w:r>
              <w:rPr>
                <w:sz w:val="18"/>
              </w:rPr>
              <w:t>Order valid only for the opening Itayose auction of the designated session (morning or afternoon). If not executed at open, automatically cancelled.</w:t>
            </w:r>
          </w:p>
        </w:tc>
      </w:tr>
      <w:tr>
        <w:tc>
          <w:tcPr>
            <w:tcW w:type="dxa" w:w="4320"/>
          </w:tcPr>
          <w:p>
            <w:pPr/>
            <w:r>
              <w:rPr>
                <w:sz w:val="18"/>
              </w:rPr>
              <w:t>On Close (Hikake)</w:t>
            </w:r>
          </w:p>
        </w:tc>
        <w:tc>
          <w:tcPr>
            <w:tcW w:type="dxa" w:w="4320"/>
          </w:tcPr>
          <w:p>
            <w:pPr/>
            <w:r>
              <w:rPr>
                <w:sz w:val="18"/>
              </w:rPr>
              <w:t>Order valid only for the closing Itayose auction. If not executed at close, automatically cancelled.</w:t>
            </w:r>
          </w:p>
        </w:tc>
      </w:tr>
      <w:tr>
        <w:tc>
          <w:tcPr>
            <w:tcW w:type="dxa" w:w="4320"/>
          </w:tcPr>
          <w:p>
            <w:pPr/>
            <w:r>
              <w:rPr>
                <w:sz w:val="18"/>
              </w:rPr>
              <w:t>Funari</w:t>
            </w:r>
          </w:p>
        </w:tc>
        <w:tc>
          <w:tcPr>
            <w:tcW w:type="dxa" w:w="4320"/>
          </w:tcPr>
          <w:p>
            <w:pPr/>
            <w:r>
              <w:rPr>
                <w:sz w:val="18"/>
              </w:rPr>
              <w:t>Limit order that automatically converts to a market order at the closing auction if not already executed during continuous trading. Provides limit price protection during the session with guaranteed participation in the close.</w:t>
            </w:r>
          </w:p>
        </w:tc>
      </w:tr>
      <w:tr>
        <w:tc>
          <w:tcPr>
            <w:tcW w:type="dxa" w:w="4320"/>
          </w:tcPr>
          <w:p>
            <w:pPr/>
            <w:r>
              <w:rPr>
                <w:sz w:val="18"/>
              </w:rPr>
              <w:t>IOC (Immediate or Cancel)</w:t>
            </w:r>
          </w:p>
        </w:tc>
        <w:tc>
          <w:tcPr>
            <w:tcW w:type="dxa" w:w="4320"/>
          </w:tcPr>
          <w:p>
            <w:pPr/>
            <w:r>
              <w:rPr>
                <w:sz w:val="18"/>
              </w:rPr>
              <w:t>Attempts to execute immediately at the specified price or better; any unfilled portion is immediately cancelled. No partial orders remain on the book.</w:t>
            </w:r>
          </w:p>
        </w:tc>
      </w:tr>
      <w:tr>
        <w:tc>
          <w:tcPr>
            <w:tcW w:type="dxa" w:w="4320"/>
          </w:tcPr>
          <w:p>
            <w:pPr/>
            <w:r>
              <w:rPr>
                <w:sz w:val="18"/>
              </w:rPr>
              <w:t>FOK (Fill or Kill)</w:t>
            </w:r>
          </w:p>
        </w:tc>
        <w:tc>
          <w:tcPr>
            <w:tcW w:type="dxa" w:w="4320"/>
          </w:tcPr>
          <w:p>
            <w:pPr/>
            <w:r>
              <w:rPr>
                <w:sz w:val="18"/>
              </w:rPr>
              <w:t>Must be executed immediately in its entirety or the entire order is cancelled. No partial fills permitted.</w:t>
            </w:r>
          </w:p>
        </w:tc>
      </w:tr>
    </w:tbl>
    <w:p/>
    <w:p>
      <w:pPr>
        <w:pStyle w:val="Heading3"/>
      </w:pPr>
      <w:r>
        <w:t>4.3 Time-in-Force Options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TIF</w:t>
            </w:r>
          </w:p>
        </w:tc>
        <w:tc>
          <w:tcPr>
            <w:tcW w:type="dxa" w:w="4320"/>
          </w:tcPr>
          <w:p>
            <w:pPr/>
            <w:r>
              <w:rPr>
                <w:b/>
                <w:sz w:val="18"/>
              </w:rPr>
              <w:t>Description</w:t>
            </w:r>
          </w:p>
        </w:tc>
      </w:tr>
      <w:tr>
        <w:tc>
          <w:tcPr>
            <w:tcW w:type="dxa" w:w="4320"/>
          </w:tcPr>
          <w:p>
            <w:pPr/>
            <w:r>
              <w:rPr>
                <w:sz w:val="18"/>
              </w:rPr>
              <w:t>Day</w:t>
            </w:r>
          </w:p>
        </w:tc>
        <w:tc>
          <w:tcPr>
            <w:tcW w:type="dxa" w:w="4320"/>
          </w:tcPr>
          <w:p>
            <w:pPr/>
            <w:r>
              <w:rPr>
                <w:sz w:val="18"/>
              </w:rPr>
              <w:t>Order valid for the current trading day (morning and/or afternoon session); expires at end of day</w:t>
            </w:r>
          </w:p>
        </w:tc>
      </w:tr>
      <w:tr>
        <w:tc>
          <w:tcPr>
            <w:tcW w:type="dxa" w:w="4320"/>
          </w:tcPr>
          <w:p>
            <w:pPr/>
            <w:r>
              <w:rPr>
                <w:sz w:val="18"/>
              </w:rPr>
              <w:t>On Open - Morning</w:t>
            </w:r>
          </w:p>
        </w:tc>
        <w:tc>
          <w:tcPr>
            <w:tcW w:type="dxa" w:w="4320"/>
          </w:tcPr>
          <w:p>
            <w:pPr/>
            <w:r>
              <w:rPr>
                <w:sz w:val="18"/>
              </w:rPr>
              <w:t>Valid only for the morning session opening auction</w:t>
            </w:r>
          </w:p>
        </w:tc>
      </w:tr>
      <w:tr>
        <w:tc>
          <w:tcPr>
            <w:tcW w:type="dxa" w:w="4320"/>
          </w:tcPr>
          <w:p>
            <w:pPr/>
            <w:r>
              <w:rPr>
                <w:sz w:val="18"/>
              </w:rPr>
              <w:t>On Open - Afternoon</w:t>
            </w:r>
          </w:p>
        </w:tc>
        <w:tc>
          <w:tcPr>
            <w:tcW w:type="dxa" w:w="4320"/>
          </w:tcPr>
          <w:p>
            <w:pPr/>
            <w:r>
              <w:rPr>
                <w:sz w:val="18"/>
              </w:rPr>
              <w:t>Valid only for the afternoon session opening auction</w:t>
            </w:r>
          </w:p>
        </w:tc>
      </w:tr>
      <w:tr>
        <w:tc>
          <w:tcPr>
            <w:tcW w:type="dxa" w:w="4320"/>
          </w:tcPr>
          <w:p>
            <w:pPr/>
            <w:r>
              <w:rPr>
                <w:sz w:val="18"/>
              </w:rPr>
              <w:t>On Close - Morning</w:t>
            </w:r>
          </w:p>
        </w:tc>
        <w:tc>
          <w:tcPr>
            <w:tcW w:type="dxa" w:w="4320"/>
          </w:tcPr>
          <w:p>
            <w:pPr/>
            <w:r>
              <w:rPr>
                <w:sz w:val="18"/>
              </w:rPr>
              <w:t>Valid only for the morning session close (11:30 AM)</w:t>
            </w:r>
          </w:p>
        </w:tc>
      </w:tr>
      <w:tr>
        <w:tc>
          <w:tcPr>
            <w:tcW w:type="dxa" w:w="4320"/>
          </w:tcPr>
          <w:p>
            <w:pPr/>
            <w:r>
              <w:rPr>
                <w:sz w:val="18"/>
              </w:rPr>
              <w:t>On Close - Afternoon</w:t>
            </w:r>
          </w:p>
        </w:tc>
        <w:tc>
          <w:tcPr>
            <w:tcW w:type="dxa" w:w="4320"/>
          </w:tcPr>
          <w:p>
            <w:pPr/>
            <w:r>
              <w:rPr>
                <w:sz w:val="18"/>
              </w:rPr>
              <w:t>Valid only for the afternoon session closing auction (15:30)</w:t>
            </w:r>
          </w:p>
        </w:tc>
      </w:tr>
      <w:tr>
        <w:tc>
          <w:tcPr>
            <w:tcW w:type="dxa" w:w="4320"/>
          </w:tcPr>
          <w:p>
            <w:pPr/>
            <w:r>
              <w:rPr>
                <w:sz w:val="18"/>
              </w:rPr>
              <w:t>IOC</w:t>
            </w:r>
          </w:p>
        </w:tc>
        <w:tc>
          <w:tcPr>
            <w:tcW w:type="dxa" w:w="4320"/>
          </w:tcPr>
          <w:p>
            <w:pPr/>
            <w:r>
              <w:rPr>
                <w:sz w:val="18"/>
              </w:rPr>
              <w:t>Immediate execution or cancel</w:t>
            </w:r>
          </w:p>
        </w:tc>
      </w:tr>
      <w:tr>
        <w:tc>
          <w:tcPr>
            <w:tcW w:type="dxa" w:w="4320"/>
          </w:tcPr>
          <w:p>
            <w:pPr/>
            <w:r>
              <w:rPr>
                <w:sz w:val="18"/>
              </w:rPr>
              <w:t>FOK</w:t>
            </w:r>
          </w:p>
        </w:tc>
        <w:tc>
          <w:tcPr>
            <w:tcW w:type="dxa" w:w="4320"/>
          </w:tcPr>
          <w:p>
            <w:pPr/>
            <w:r>
              <w:rPr>
                <w:sz w:val="18"/>
              </w:rPr>
              <w:t>Fill entire order or cancel</w:t>
            </w:r>
          </w:p>
        </w:tc>
      </w:tr>
      <w:tr>
        <w:tc>
          <w:tcPr>
            <w:tcW w:type="dxa" w:w="4320"/>
          </w:tcPr>
          <w:p>
            <w:pPr/>
            <w:r>
              <w:rPr>
                <w:sz w:val="18"/>
              </w:rPr>
              <w:t>GTC</w:t>
            </w:r>
          </w:p>
        </w:tc>
        <w:tc>
          <w:tcPr>
            <w:tcW w:type="dxa" w:w="4320"/>
          </w:tcPr>
          <w:p>
            <w:pPr/>
            <w:r>
              <w:rPr>
                <w:sz w:val="18"/>
              </w:rPr>
              <w:t>Good till cancelled (available via some participant systems)</w:t>
            </w:r>
          </w:p>
        </w:tc>
      </w:tr>
      <w:tr>
        <w:tc>
          <w:tcPr>
            <w:tcW w:type="dxa" w:w="4320"/>
          </w:tcPr>
          <w:p>
            <w:pPr/>
            <w:r>
              <w:rPr>
                <w:sz w:val="18"/>
              </w:rPr>
              <w:t>GTDate</w:t>
            </w:r>
          </w:p>
        </w:tc>
        <w:tc>
          <w:tcPr>
            <w:tcW w:type="dxa" w:w="4320"/>
          </w:tcPr>
          <w:p>
            <w:pPr/>
            <w:r>
              <w:rPr>
                <w:sz w:val="18"/>
              </w:rPr>
              <w:t>Good till specified date (available via some participant systems)</w:t>
            </w:r>
          </w:p>
        </w:tc>
      </w:tr>
    </w:tbl>
    <w:p/>
    <w:p>
      <w:pPr>
        <w:pStyle w:val="Heading3"/>
      </w:pPr>
      <w:r>
        <w:t>4.4 Order Modification / Cancellation</w:t>
      </w:r>
    </w:p>
    <w:p>
      <w:pPr>
        <w:pStyle w:val="ListBullet"/>
      </w:pPr>
      <w:r>
        <w:t>Orders can be modified (price and/or quantity changes) or cancelled during order acceptance periods</w:t>
      </w:r>
    </w:p>
    <w:p>
      <w:pPr>
        <w:pStyle w:val="ListBullet"/>
      </w:pPr>
      <w:r>
        <w:t>Mass Cancellation: Introduced with arrowhead 4.0 (November 2024), allowing trading participants to cancel all outstanding orders in a single operation</w:t>
      </w:r>
    </w:p>
    <w:p>
      <w:pPr>
        <w:pStyle w:val="ListBullet"/>
      </w:pPr>
      <w:r>
        <w:t>Cancel on Disconnect: Automatic order suspension feature that triggers when a trading participant's connection to arrowhead is lost</w:t>
      </w:r>
    </w:p>
    <w:p>
      <w:pPr>
        <w:pStyle w:val="ListBullet"/>
      </w:pPr>
      <w:r>
        <w:t>Modified orders with a price change lose time priority (treated as new orders for priority purposes)</w:t>
      </w:r>
    </w:p>
    <w:p>
      <w:r>
        <w:t>────────────────────────────────────────────────────────────</w:t>
      </w:r>
    </w:p>
    <w:p>
      <w:pPr>
        <w:pStyle w:val="Heading2"/>
      </w:pPr>
      <w:r>
        <w:t>5. Trading System (Technology)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System Name</w:t>
            </w:r>
          </w:p>
        </w:tc>
        <w:tc>
          <w:tcPr>
            <w:tcW w:type="dxa" w:w="4320"/>
          </w:tcPr>
          <w:p>
            <w:pPr/>
            <w:r>
              <w:rPr>
                <w:sz w:val="18"/>
              </w:rPr>
              <w:t>arrowhead (current version: arrowhead 4.0)</w:t>
            </w:r>
          </w:p>
        </w:tc>
      </w:tr>
      <w:tr>
        <w:tc>
          <w:tcPr>
            <w:tcW w:type="dxa" w:w="4320"/>
          </w:tcPr>
          <w:p>
            <w:pPr/>
            <w:r>
              <w:rPr>
                <w:sz w:val="18"/>
              </w:rPr>
              <w:t>Vendor / In-house</w:t>
            </w:r>
          </w:p>
        </w:tc>
        <w:tc>
          <w:tcPr>
            <w:tcW w:type="dxa" w:w="4320"/>
          </w:tcPr>
          <w:p>
            <w:pPr/>
            <w:r>
              <w:rPr>
                <w:sz w:val="18"/>
              </w:rPr>
              <w:t>Co-developed by TSE and **Fujitsu Limited**</w:t>
            </w:r>
          </w:p>
        </w:tc>
      </w:tr>
      <w:tr>
        <w:tc>
          <w:tcPr>
            <w:tcW w:type="dxa" w:w="4320"/>
          </w:tcPr>
          <w:p>
            <w:pPr/>
            <w:r>
              <w:rPr>
                <w:sz w:val="18"/>
              </w:rPr>
              <w:t>Architecture</w:t>
            </w:r>
          </w:p>
        </w:tc>
        <w:tc>
          <w:tcPr>
            <w:tcW w:type="dxa" w:w="4320"/>
          </w:tcPr>
          <w:p>
            <w:pPr/>
            <w:r>
              <w:rPr>
                <w:sz w:val="18"/>
              </w:rPr>
              <w:t>Synchronized 3-node data server architecture for high availability; system processes orders, executions, and order book data across redundant nodes</w:t>
            </w:r>
          </w:p>
        </w:tc>
      </w:tr>
      <w:tr>
        <w:tc>
          <w:tcPr>
            <w:tcW w:type="dxa" w:w="4320"/>
          </w:tcPr>
          <w:p>
            <w:pPr/>
            <w:r>
              <w:rPr>
                <w:sz w:val="18"/>
              </w:rPr>
              <w:t>Matching Engine</w:t>
            </w:r>
          </w:p>
        </w:tc>
        <w:tc>
          <w:tcPr>
            <w:tcW w:type="dxa" w:w="4320"/>
          </w:tcPr>
          <w:p>
            <w:pPr/>
            <w:r>
              <w:rPr>
                <w:sz w:val="18"/>
              </w:rPr>
              <w:t>Itayose (call auction) and Zaraba (continuous matching) engines with price-time priority</w:t>
            </w:r>
          </w:p>
        </w:tc>
      </w:tr>
      <w:tr>
        <w:tc>
          <w:tcPr>
            <w:tcW w:type="dxa" w:w="4320"/>
          </w:tcPr>
          <w:p>
            <w:pPr/>
            <w:r>
              <w:rPr>
                <w:sz w:val="18"/>
              </w:rPr>
              <w:t>Round-trip Latency</w:t>
            </w:r>
          </w:p>
        </w:tc>
        <w:tc>
          <w:tcPr>
            <w:tcW w:type="dxa" w:w="4320"/>
          </w:tcPr>
          <w:p>
            <w:pPr/>
            <w:r>
              <w:rPr>
                <w:sz w:val="18"/>
              </w:rPr>
              <w:t>Order response time: ~0.2 milliseconds (200 microseconds); information dissemination time: ~0.5 milliseconds (500 microseconds)</w:t>
            </w:r>
          </w:p>
        </w:tc>
      </w:tr>
      <w:tr>
        <w:tc>
          <w:tcPr>
            <w:tcW w:type="dxa" w:w="4320"/>
          </w:tcPr>
          <w:p>
            <w:pPr/>
            <w:r>
              <w:rPr>
                <w:sz w:val="18"/>
              </w:rPr>
              <w:t>Order Processing Capacity</w:t>
            </w:r>
          </w:p>
        </w:tc>
        <w:tc>
          <w:tcPr>
            <w:tcW w:type="dxa" w:w="4320"/>
          </w:tcPr>
          <w:p>
            <w:pPr/>
            <w:r>
              <w:rPr>
                <w:sz w:val="18"/>
              </w:rPr>
              <w:t>Scalable architecture; capacity flexibly adjustable to accommodate increases in order volume</w:t>
            </w:r>
          </w:p>
        </w:tc>
      </w:tr>
      <w:tr>
        <w:tc>
          <w:tcPr>
            <w:tcW w:type="dxa" w:w="4320"/>
          </w:tcPr>
          <w:p>
            <w:pPr/>
            <w:r>
              <w:rPr>
                <w:sz w:val="18"/>
              </w:rPr>
              <w:t>Messages Per Second</w:t>
            </w:r>
          </w:p>
        </w:tc>
        <w:tc>
          <w:tcPr>
            <w:tcW w:type="dxa" w:w="4320"/>
          </w:tcPr>
          <w:p>
            <w:pPr/>
            <w:r>
              <w:rPr>
                <w:sz w:val="18"/>
              </w:rPr>
              <w:t>Information not publicly available in precise terms; system designed to handle peak loads of major market events</w:t>
            </w:r>
          </w:p>
        </w:tc>
      </w:tr>
      <w:tr>
        <w:tc>
          <w:tcPr>
            <w:tcW w:type="dxa" w:w="4320"/>
          </w:tcPr>
          <w:p>
            <w:pPr/>
            <w:r>
              <w:rPr>
                <w:sz w:val="18"/>
              </w:rPr>
              <w:t>Launch Year</w:t>
            </w:r>
          </w:p>
        </w:tc>
        <w:tc>
          <w:tcPr>
            <w:tcW w:type="dxa" w:w="4320"/>
          </w:tcPr>
          <w:p>
            <w:pPr/>
            <w:r>
              <w:rPr>
                <w:sz w:val="18"/>
              </w:rPr>
              <w:t>2010 (1st generation)</w:t>
            </w:r>
          </w:p>
        </w:tc>
      </w:tr>
    </w:tbl>
    <w:p/>
    <w:p>
      <w:pPr>
        <w:pStyle w:val="Heading3"/>
      </w:pPr>
      <w:r>
        <w:t>System History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Period</w:t>
            </w:r>
          </w:p>
        </w:tc>
        <w:tc>
          <w:tcPr>
            <w:tcW w:type="dxa" w:w="2880"/>
          </w:tcPr>
          <w:p>
            <w:pPr/>
            <w:r>
              <w:rPr>
                <w:b/>
                <w:sz w:val="18"/>
              </w:rPr>
              <w:t>System</w:t>
            </w:r>
          </w:p>
        </w:tc>
        <w:tc>
          <w:tcPr>
            <w:tcW w:type="dxa" w:w="2880"/>
          </w:tcPr>
          <w:p>
            <w:pPr/>
            <w:r>
              <w:rPr>
                <w:b/>
                <w:sz w:val="18"/>
              </w:rPr>
              <w:t>Notes</w:t>
            </w:r>
          </w:p>
        </w:tc>
      </w:tr>
      <w:tr>
        <w:tc>
          <w:tcPr>
            <w:tcW w:type="dxa" w:w="2880"/>
          </w:tcPr>
          <w:p>
            <w:pPr/>
            <w:r>
              <w:rPr>
                <w:sz w:val="18"/>
              </w:rPr>
              <w:t>Pre-1999</w:t>
            </w:r>
          </w:p>
        </w:tc>
        <w:tc>
          <w:tcPr>
            <w:tcW w:type="dxa" w:w="2880"/>
          </w:tcPr>
          <w:p>
            <w:pPr/>
            <w:r>
              <w:rPr>
                <w:sz w:val="18"/>
              </w:rPr>
              <w:t>Floor trading</w:t>
            </w:r>
          </w:p>
        </w:tc>
        <w:tc>
          <w:tcPr>
            <w:tcW w:type="dxa" w:w="2880"/>
          </w:tcPr>
          <w:p>
            <w:pPr/>
            <w:r>
              <w:rPr>
                <w:sz w:val="18"/>
              </w:rPr>
              <w:t>Open outcry; physical trading floor</w:t>
            </w:r>
          </w:p>
        </w:tc>
      </w:tr>
      <w:tr>
        <w:tc>
          <w:tcPr>
            <w:tcW w:type="dxa" w:w="2880"/>
          </w:tcPr>
          <w:p>
            <w:pPr/>
            <w:r>
              <w:rPr>
                <w:sz w:val="18"/>
              </w:rPr>
              <w:t>1999</w:t>
            </w:r>
          </w:p>
        </w:tc>
        <w:tc>
          <w:tcPr>
            <w:tcW w:type="dxa" w:w="2880"/>
          </w:tcPr>
          <w:p>
            <w:pPr/>
            <w:r>
              <w:rPr>
                <w:sz w:val="18"/>
              </w:rPr>
              <w:t>Electronic trading</w:t>
            </w:r>
          </w:p>
        </w:tc>
        <w:tc>
          <w:tcPr>
            <w:tcW w:type="dxa" w:w="2880"/>
          </w:tcPr>
          <w:p>
            <w:pPr/>
            <w:r>
              <w:rPr>
                <w:sz w:val="18"/>
              </w:rPr>
              <w:t>Full transition to electronic order matching</w:t>
            </w:r>
          </w:p>
        </w:tc>
      </w:tr>
      <w:tr>
        <w:tc>
          <w:tcPr>
            <w:tcW w:type="dxa" w:w="2880"/>
          </w:tcPr>
          <w:p>
            <w:pPr/>
            <w:r>
              <w:rPr>
                <w:sz w:val="18"/>
              </w:rPr>
              <w:t>2010 (Jan 4)</w:t>
            </w:r>
          </w:p>
        </w:tc>
        <w:tc>
          <w:tcPr>
            <w:tcW w:type="dxa" w:w="2880"/>
          </w:tcPr>
          <w:p>
            <w:pPr/>
            <w:r>
              <w:rPr>
                <w:sz w:val="18"/>
              </w:rPr>
              <w:t>arrowhead 1.0 (1st gen)</w:t>
            </w:r>
          </w:p>
        </w:tc>
        <w:tc>
          <w:tcPr>
            <w:tcW w:type="dxa" w:w="2880"/>
          </w:tcPr>
          <w:p>
            <w:pPr/>
            <w:r>
              <w:rPr>
                <w:sz w:val="18"/>
              </w:rPr>
              <w:t>First arrowhead launch; sub-millisecond latency achieved; co-developed with Fujitsu</w:t>
            </w:r>
          </w:p>
        </w:tc>
      </w:tr>
      <w:tr>
        <w:tc>
          <w:tcPr>
            <w:tcW w:type="dxa" w:w="2880"/>
          </w:tcPr>
          <w:p>
            <w:pPr/>
            <w:r>
              <w:rPr>
                <w:sz w:val="18"/>
              </w:rPr>
              <w:t>2015 (Sep 24)</w:t>
            </w:r>
          </w:p>
        </w:tc>
        <w:tc>
          <w:tcPr>
            <w:tcW w:type="dxa" w:w="2880"/>
          </w:tcPr>
          <w:p>
            <w:pPr/>
            <w:r>
              <w:rPr>
                <w:sz w:val="18"/>
              </w:rPr>
              <w:t>arrowhead 2.0 (2nd gen)</w:t>
            </w:r>
          </w:p>
        </w:tc>
        <w:tc>
          <w:tcPr>
            <w:tcW w:type="dxa" w:w="2880"/>
          </w:tcPr>
          <w:p>
            <w:pPr/>
            <w:r>
              <w:rPr>
                <w:sz w:val="18"/>
              </w:rPr>
              <w:t>System renewal with improved performance</w:t>
            </w:r>
          </w:p>
        </w:tc>
      </w:tr>
      <w:tr>
        <w:tc>
          <w:tcPr>
            <w:tcW w:type="dxa" w:w="2880"/>
          </w:tcPr>
          <w:p>
            <w:pPr/>
            <w:r>
              <w:rPr>
                <w:sz w:val="18"/>
              </w:rPr>
              <w:t>2019 (Nov 5)</w:t>
            </w:r>
          </w:p>
        </w:tc>
        <w:tc>
          <w:tcPr>
            <w:tcW w:type="dxa" w:w="2880"/>
          </w:tcPr>
          <w:p>
            <w:pPr/>
            <w:r>
              <w:rPr>
                <w:sz w:val="18"/>
              </w:rPr>
              <w:t>arrowhead 3.0 (3rd gen)</w:t>
            </w:r>
          </w:p>
        </w:tc>
        <w:tc>
          <w:tcPr>
            <w:tcW w:type="dxa" w:w="2880"/>
          </w:tcPr>
          <w:p>
            <w:pPr/>
            <w:r>
              <w:rPr>
                <w:sz w:val="18"/>
              </w:rPr>
              <w:t>Further latency reduction and capacity enhancement</w:t>
            </w:r>
          </w:p>
        </w:tc>
      </w:tr>
      <w:tr>
        <w:tc>
          <w:tcPr>
            <w:tcW w:type="dxa" w:w="2880"/>
          </w:tcPr>
          <w:p>
            <w:pPr/>
            <w:r>
              <w:rPr>
                <w:sz w:val="18"/>
              </w:rPr>
              <w:t>2020 (Oct 1)</w:t>
            </w:r>
          </w:p>
        </w:tc>
        <w:tc>
          <w:tcPr>
            <w:tcW w:type="dxa" w:w="2880"/>
          </w:tcPr>
          <w:p>
            <w:pPr/>
            <w:r>
              <w:rPr>
                <w:sz w:val="18"/>
              </w:rPr>
              <w:t>System outage</w:t>
            </w:r>
          </w:p>
        </w:tc>
        <w:tc>
          <w:tcPr>
            <w:tcW w:type="dxa" w:w="2880"/>
          </w:tcPr>
          <w:p>
            <w:pPr/>
            <w:r>
              <w:rPr>
                <w:sz w:val="18"/>
              </w:rPr>
              <w:t>Full-day trading halt due to hardware failure in memory device; automatic failover to backup did not trigger; led to CEO resignation and BCP improvements</w:t>
            </w:r>
          </w:p>
        </w:tc>
      </w:tr>
      <w:tr>
        <w:tc>
          <w:tcPr>
            <w:tcW w:type="dxa" w:w="2880"/>
          </w:tcPr>
          <w:p>
            <w:pPr/>
            <w:r>
              <w:rPr>
                <w:sz w:val="18"/>
              </w:rPr>
              <w:t>2024 (Nov 5)</w:t>
            </w:r>
          </w:p>
        </w:tc>
        <w:tc>
          <w:tcPr>
            <w:tcW w:type="dxa" w:w="2880"/>
          </w:tcPr>
          <w:p>
            <w:pPr/>
            <w:r>
              <w:rPr>
                <w:sz w:val="18"/>
              </w:rPr>
              <w:t>arrowhead 4.0 (4th gen)</w:t>
            </w:r>
          </w:p>
        </w:tc>
        <w:tc>
          <w:tcPr>
            <w:tcW w:type="dxa" w:w="2880"/>
          </w:tcPr>
          <w:p>
            <w:pPr/>
            <w:r>
              <w:rPr>
                <w:sz w:val="18"/>
              </w:rPr>
              <w:t>Current system; trading hours extended to 15:30; closing auction introduced; Market by Order (MBO) data service added; mass cancellation functionality; enhanced kill switch</w:t>
            </w:r>
          </w:p>
        </w:tc>
      </w:tr>
    </w:tbl>
    <w:p/>
    <w:p>
      <w:pPr>
        <w:pStyle w:val="Heading3"/>
      </w:pPr>
      <w:r>
        <w:t>Technology Stack</w:t>
      </w:r>
    </w:p>
    <w:p>
      <w:pPr>
        <w:pStyle w:val="ListBullet"/>
      </w:pPr>
      <w:r>
        <w:t>Hardware: Fujitsu servers with synchronized 3-node redundancy</w:t>
      </w:r>
    </w:p>
    <w:p>
      <w:pPr>
        <w:pStyle w:val="ListBullet"/>
      </w:pPr>
      <w:r>
        <w:t>Network: arrownet — JPX's proprietary high-speed network backbone, offering bandwidth from 512 kbps to 10 Gbps via dedicated lines</w:t>
      </w:r>
    </w:p>
    <w:p>
      <w:pPr>
        <w:pStyle w:val="ListBullet"/>
      </w:pPr>
      <w:r>
        <w:t>Layer 1 Switch: Launched January 2024, providing "L1 Multicast Line" for ultra-low-latency, fair market data distribution (latency as low as 5 nanoseconds for data delivery)</w:t>
      </w:r>
    </w:p>
    <w:p>
      <w:pPr>
        <w:pStyle w:val="ListBullet"/>
      </w:pPr>
      <w:r>
        <w:t>Cloud Exploration: PoC conducted in 2025 with AWS (using AWS Outposts) and Fujitsu to test long-term applicability of cloud technology to the arrowhead trading system. This represents a potential future migration path.</w:t>
      </w:r>
    </w:p>
    <w:p>
      <w:pPr>
        <w:pStyle w:val="ListBullet"/>
      </w:pPr>
      <w:r>
        <w:t>AI/GenAI: JPX uses Amazon Bedrock for enhancing searchability of timely disclosure documents and generating metadata tags</w:t>
      </w:r>
    </w:p>
    <w:p>
      <w:pPr>
        <w:pStyle w:val="Heading3"/>
      </w:pPr>
      <w:r>
        <w:t>Disaster Recovery / Business Continuity</w:t>
      </w:r>
    </w:p>
    <w:p>
      <w:pPr>
        <w:pStyle w:val="ListBullet"/>
      </w:pPr>
      <w:r>
        <w:t>Primary Site: JPX data center in the Tokyo metropolitan area (co-location facility)</w:t>
      </w:r>
    </w:p>
    <w:p>
      <w:pPr>
        <w:pStyle w:val="ListBullet"/>
      </w:pPr>
      <w:r>
        <w:t>Secondary (Backup) Site: Kansai region (western Japan), geographically distant from Tokyo to mitigate wide-area disaster risk (e.g., Tokyo metropolitan earthquake)</w:t>
      </w:r>
    </w:p>
    <w:p>
      <w:pPr>
        <w:pStyle w:val="ListBullet"/>
      </w:pPr>
      <w:r>
        <w:t>AT TOKYO Kansai Chuo Center (KC1) designated as Kansai Proximity Area</w:t>
      </w:r>
    </w:p>
    <w:p>
      <w:pPr>
        <w:pStyle w:val="ListBullet"/>
      </w:pPr>
      <w:r>
        <w:t>Osaka site capable of taking over entire JPX operations in the event of a catastrophic Tokyo-area disaster</w:t>
      </w:r>
    </w:p>
    <w:p>
      <w:pPr>
        <w:pStyle w:val="ListBullet"/>
      </w:pPr>
      <w:r>
        <w:t>arrowhead deployment at Kansai backup site completed after FY2022</w:t>
      </w:r>
    </w:p>
    <w:p>
      <w:pPr>
        <w:pStyle w:val="ListBullet"/>
      </w:pPr>
      <w:r>
        <w:t>Kansai Proximity Service: Network infrastructure in the Kansai region near the AP4 data center, providing participants with access to JPX systems for business continuity</w:t>
      </w:r>
    </w:p>
    <w:p>
      <w:pPr>
        <w:pStyle w:val="ListBullet"/>
      </w:pPr>
      <w:r>
        <w:t>Contingency Plan: Formal BCP established; significantly strengthened after the October 2020 full-day outage. Includes procedures for automatic failover, manual switchover, and market reopening protocols</w:t>
      </w:r>
    </w:p>
    <w:p>
      <w:pPr>
        <w:pStyle w:val="ListBullet"/>
      </w:pPr>
      <w:r>
        <w:t>3-Node Architecture: The synchronized 3-node data server design ensures no single point of failure during normal operations</w:t>
      </w:r>
    </w:p>
    <w:p>
      <w:r>
        <w:t>────────────────────────────────────────────────────────────</w:t>
      </w:r>
    </w:p>
    <w:p>
      <w:pPr>
        <w:pStyle w:val="Heading2"/>
      </w:pPr>
      <w:r>
        <w:t>6. Market Data</w:t>
      </w:r>
    </w:p>
    <w:p>
      <w:pPr>
        <w:pStyle w:val="Heading3"/>
      </w:pPr>
      <w:r>
        <w:t>6.1 Data Feed Protocols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Protocol</w:t>
            </w:r>
          </w:p>
        </w:tc>
        <w:tc>
          <w:tcPr>
            <w:tcW w:type="dxa" w:w="2880"/>
          </w:tcPr>
          <w:p>
            <w:pPr/>
            <w:r>
              <w:rPr>
                <w:b/>
                <w:sz w:val="18"/>
              </w:rPr>
              <w:t>Description</w:t>
            </w:r>
          </w:p>
        </w:tc>
        <w:tc>
          <w:tcPr>
            <w:tcW w:type="dxa" w:w="2880"/>
          </w:tcPr>
          <w:p>
            <w:pPr/>
            <w:r>
              <w:rPr>
                <w:b/>
                <w:sz w:val="18"/>
              </w:rPr>
              <w:t>Use Case</w:t>
            </w:r>
          </w:p>
        </w:tc>
      </w:tr>
      <w:tr>
        <w:tc>
          <w:tcPr>
            <w:tcW w:type="dxa" w:w="2880"/>
          </w:tcPr>
          <w:p>
            <w:pPr/>
            <w:r>
              <w:rPr>
                <w:sz w:val="18"/>
              </w:rPr>
              <w:t>FLEX Standard</w:t>
            </w:r>
          </w:p>
        </w:tc>
        <w:tc>
          <w:tcPr>
            <w:tcW w:type="dxa" w:w="2880"/>
          </w:tcPr>
          <w:p>
            <w:pPr/>
            <w:r>
              <w:rPr>
                <w:sz w:val="18"/>
              </w:rPr>
              <w:t>Primary real-time market data feed providing orders, executions, trading volume, trading value, and indices</w:t>
            </w:r>
          </w:p>
        </w:tc>
        <w:tc>
          <w:tcPr>
            <w:tcW w:type="dxa" w:w="2880"/>
          </w:tcPr>
          <w:p>
            <w:pPr/>
            <w:r>
              <w:rPr>
                <w:sz w:val="18"/>
              </w:rPr>
              <w:t>Standard market data consumption for all participants</w:t>
            </w:r>
          </w:p>
        </w:tc>
      </w:tr>
      <w:tr>
        <w:tc>
          <w:tcPr>
            <w:tcW w:type="dxa" w:w="2880"/>
          </w:tcPr>
          <w:p>
            <w:pPr/>
            <w:r>
              <w:rPr>
                <w:sz w:val="18"/>
              </w:rPr>
              <w:t>FLEX MBO (Market by Order)</w:t>
            </w:r>
          </w:p>
        </w:tc>
        <w:tc>
          <w:tcPr>
            <w:tcW w:type="dxa" w:w="2880"/>
          </w:tcPr>
          <w:p>
            <w:pPr/>
            <w:r>
              <w:rPr>
                <w:sz w:val="18"/>
              </w:rPr>
              <w:t>Granular order-level data providing full order book transparency; introduced with arrowhead 4.0 (2024)</w:t>
            </w:r>
          </w:p>
        </w:tc>
        <w:tc>
          <w:tcPr>
            <w:tcW w:type="dxa" w:w="2880"/>
          </w:tcPr>
          <w:p>
            <w:pPr/>
            <w:r>
              <w:rPr>
                <w:sz w:val="18"/>
              </w:rPr>
              <w:t>High-frequency trading, detailed order book analysis</w:t>
            </w:r>
          </w:p>
        </w:tc>
      </w:tr>
      <w:tr>
        <w:tc>
          <w:tcPr>
            <w:tcW w:type="dxa" w:w="2880"/>
          </w:tcPr>
          <w:p>
            <w:pPr/>
            <w:r>
              <w:rPr>
                <w:sz w:val="18"/>
              </w:rPr>
              <w:t>FLEX MBO BC</w:t>
            </w:r>
          </w:p>
        </w:tc>
        <w:tc>
          <w:tcPr>
            <w:tcW w:type="dxa" w:w="2880"/>
          </w:tcPr>
          <w:p>
            <w:pPr/>
            <w:r>
              <w:rPr>
                <w:sz w:val="18"/>
              </w:rPr>
              <w:t>FLEX MBO with bandwidth control for managed data consumption</w:t>
            </w:r>
          </w:p>
        </w:tc>
        <w:tc>
          <w:tcPr>
            <w:tcW w:type="dxa" w:w="2880"/>
          </w:tcPr>
          <w:p>
            <w:pPr/>
            <w:r>
              <w:rPr>
                <w:sz w:val="18"/>
              </w:rPr>
              <w:t>Participants with bandwidth constraints</w:t>
            </w:r>
          </w:p>
        </w:tc>
      </w:tr>
      <w:tr>
        <w:tc>
          <w:tcPr>
            <w:tcW w:type="dxa" w:w="2880"/>
          </w:tcPr>
          <w:p>
            <w:pPr/>
            <w:r>
              <w:rPr>
                <w:sz w:val="18"/>
              </w:rPr>
              <w:t>FLEX Historical</w:t>
            </w:r>
          </w:p>
        </w:tc>
        <w:tc>
          <w:tcPr>
            <w:tcW w:type="dxa" w:w="2880"/>
          </w:tcPr>
          <w:p>
            <w:pPr/>
            <w:r>
              <w:rPr>
                <w:sz w:val="18"/>
              </w:rPr>
              <w:t>Historical tick data in packet capture format (.pcap) with reception timestamps</w:t>
            </w:r>
          </w:p>
        </w:tc>
        <w:tc>
          <w:tcPr>
            <w:tcW w:type="dxa" w:w="2880"/>
          </w:tcPr>
          <w:p>
            <w:pPr/>
            <w:r>
              <w:rPr>
                <w:sz w:val="18"/>
              </w:rPr>
              <w:t>Backtesting, research, compliance</w:t>
            </w:r>
          </w:p>
        </w:tc>
      </w:tr>
    </w:tbl>
    <w:p/>
    <w:p>
      <w:pPr>
        <w:pStyle w:val="Heading3"/>
      </w:pPr>
      <w:r>
        <w:t>6.2 Data Levels</w:t>
      </w:r>
    </w:p>
    <w:p>
      <w:pPr>
        <w:pStyle w:val="ListBullet"/>
      </w:pPr>
      <w:r>
        <w:t>Level 1: Best bid/offer (BBO), last trade price, volume, and basic market statistics</w:t>
      </w:r>
    </w:p>
    <w:p>
      <w:pPr>
        <w:pStyle w:val="ListBullet"/>
      </w:pPr>
      <w:r>
        <w:t>Level 2: Multiple levels of order book depth (Market by Price aggregated view)</w:t>
      </w:r>
    </w:p>
    <w:p>
      <w:pPr>
        <w:pStyle w:val="ListBullet"/>
      </w:pPr>
      <w:r>
        <w:t>Full Depth (MBO): Complete order-level book showing every individual order at every price level, including new orders, cancellations, modifications, and executions (available since arrowhead 4.0)</w:t>
      </w:r>
    </w:p>
    <w:p>
      <w:pPr>
        <w:pStyle w:val="Heading3"/>
      </w:pPr>
      <w:r>
        <w:t>6.3 Distribution Infrastructure</w:t>
      </w:r>
    </w:p>
    <w:p>
      <w:pPr>
        <w:pStyle w:val="ListBullet"/>
      </w:pPr>
      <w:r>
        <w:t>Direct Connection: Real-time data delivered via dedicated lines (arrownet) in message format protocol</w:t>
      </w:r>
    </w:p>
    <w:p>
      <w:pPr>
        <w:pStyle w:val="ListBullet"/>
      </w:pPr>
      <w:r>
        <w:t>Market Information Providers: Real-time, 15-minute delayed, and end-of-day closing data available through authorized vendors in JSON or normalized/raw data formats</w:t>
      </w:r>
    </w:p>
    <w:p>
      <w:pPr>
        <w:pStyle w:val="ListBullet"/>
      </w:pPr>
      <w:r>
        <w:t>arrownet: JPX's proprietary network backbone supporting bandwidth from 512 kbps to 10 Gbps</w:t>
      </w:r>
    </w:p>
    <w:p>
      <w:pPr>
        <w:pStyle w:val="ListBullet"/>
      </w:pPr>
      <w:r>
        <w:t>L1 Multicast Line: Ultra-low-latency market data distribution channel via Layer 1 switch technology (launched January 2024)</w:t>
      </w:r>
    </w:p>
    <w:p>
      <w:pPr>
        <w:pStyle w:val="ListBullet"/>
      </w:pPr>
      <w:r>
        <w:t>Coverage: TSE (excluding straight bonds and TOKYO PRO-BOND Market), plus Fukuoka and Sapporo exchanges</w:t>
      </w:r>
    </w:p>
    <w:p>
      <w:pPr>
        <w:pStyle w:val="ListBullet"/>
      </w:pPr>
      <w:r>
        <w:t>IPLA Required: Information Provision and License Agreement required for direct data recipients and redistributors</w:t>
      </w:r>
    </w:p>
    <w:p>
      <w:pPr>
        <w:pStyle w:val="Heading3"/>
      </w:pPr>
      <w:r>
        <w:t>6.4 Historical Data</w:t>
      </w:r>
    </w:p>
    <w:p>
      <w:pPr>
        <w:pStyle w:val="ListBullet"/>
      </w:pPr>
      <w:r>
        <w:t>FLEX Historical Service: Tick-by-tick data in .pcap format with timestamps (data available from May 24, 2021 onward in packet capture format)</w:t>
      </w:r>
    </w:p>
    <w:p>
      <w:pPr>
        <w:pStyle w:val="ListBullet"/>
      </w:pPr>
      <w:r>
        <w:t>arrowhead Alternative Data: System statistics data including order flow metrics, provided by JPX Market Innovation &amp; Research, Inc. (JPXI)</w:t>
      </w:r>
    </w:p>
    <w:p>
      <w:pPr>
        <w:pStyle w:val="ListBullet"/>
      </w:pPr>
      <w:r>
        <w:t>Reference Data: Issue information, base price data, corporate action data available through separate data services</w:t>
      </w:r>
    </w:p>
    <w:p>
      <w:r>
        <w:t>────────────────────────────────────────────────────────────</w:t>
      </w:r>
    </w:p>
    <w:p>
      <w:pPr>
        <w:pStyle w:val="Heading2"/>
      </w:pPr>
      <w:r>
        <w:t>7. Connectivity &amp; Access</w:t>
      </w:r>
    </w:p>
    <w:p>
      <w:pPr>
        <w:pStyle w:val="Heading3"/>
      </w:pPr>
      <w:r>
        <w:t>7.1 Membership / Participation</w:t>
      </w:r>
    </w:p>
    <w:p>
      <w:pPr>
        <w:pStyle w:val="ListBullet"/>
      </w:pPr>
      <w:r>
        <w:t>General Trading Participant: Licensed Financial Instruments Business Operators and Transaction-at-Exchange Operators authorized to trade on TSE's securities market. Must pass JPX's qualification acquisition examination.</w:t>
      </w:r>
    </w:p>
    <w:p>
      <w:pPr>
        <w:pStyle w:val="ListBullet"/>
      </w:pPr>
      <w:r>
        <w:t>Remote Trading Participant: Established February 2009. Allows foreign securities brokers without business presence in Japan to trade directly on TSE. Requirements:</w:t>
      </w:r>
    </w:p>
    <w:p>
      <w:pPr>
        <w:pStyle w:val="ListBullet"/>
      </w:pPr>
      <w:r>
        <w:t>Authorization under the Financial Instruments and Exchange Act (FIEA) as a Transaction-at-Exchange Operator</w:t>
      </w:r>
    </w:p>
    <w:p>
      <w:pPr>
        <w:pStyle w:val="ListBullet"/>
      </w:pPr>
      <w:r>
        <w:t>Must designate an agency clearing participant (cannot provide own clearing)</w:t>
      </w:r>
    </w:p>
    <w:p>
      <w:pPr>
        <w:pStyle w:val="ListBullet"/>
      </w:pPr>
      <w:r>
        <w:t>Cannot accept orders from Japan residents</w:t>
      </w:r>
    </w:p>
    <w:p>
      <w:pPr>
        <w:pStyle w:val="ListBullet"/>
      </w:pPr>
      <w:r>
        <w:t>Overseas order acceptance requires prior exchange approval</w:t>
      </w:r>
    </w:p>
    <w:p>
      <w:pPr>
        <w:pStyle w:val="ListBullet"/>
      </w:pPr>
      <w:r>
        <w:t>First admitted from Hong Kong in 2015</w:t>
      </w:r>
    </w:p>
    <w:p>
      <w:pPr>
        <w:pStyle w:val="ListBullet"/>
      </w:pPr>
      <w:r>
        <w:t>Clearing Participant: Entities registered with JSCC for clearing and settlement services</w:t>
      </w:r>
    </w:p>
    <w:p>
      <w:pPr>
        <w:pStyle w:val="ListBullet"/>
      </w:pPr>
      <w:r>
        <w:t>Total Participants: Multiple dozens of domestic and international securities firms [exact count not publicly specified in sources reviewed]</w:t>
      </w:r>
    </w:p>
    <w:p>
      <w:pPr>
        <w:pStyle w:val="Heading3"/>
      </w:pPr>
      <w:r>
        <w:t>7.2 Connection Methods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Method</w:t>
            </w:r>
          </w:p>
        </w:tc>
        <w:tc>
          <w:tcPr>
            <w:tcW w:type="dxa" w:w="4320"/>
          </w:tcPr>
          <w:p>
            <w:pPr/>
            <w:r>
              <w:rPr>
                <w:b/>
                <w:sz w:val="18"/>
              </w:rPr>
              <w:t>Description</w:t>
            </w:r>
          </w:p>
        </w:tc>
      </w:tr>
      <w:tr>
        <w:tc>
          <w:tcPr>
            <w:tcW w:type="dxa" w:w="4320"/>
          </w:tcPr>
          <w:p>
            <w:pPr/>
            <w:r>
              <w:rPr>
                <w:sz w:val="18"/>
              </w:rPr>
              <w:t>Co-Location Service</w:t>
            </w:r>
          </w:p>
        </w:tc>
        <w:tc>
          <w:tcPr>
            <w:tcW w:type="dxa" w:w="4320"/>
          </w:tcPr>
          <w:p>
            <w:pPr/>
            <w:r>
              <w:rPr>
                <w:sz w:val="18"/>
              </w:rPr>
              <w:t>Dedicated rack space at JPX Primary Site data center; network latency reduced to a few microseconds (one-way) for order submission and market data retrieval</w:t>
            </w:r>
          </w:p>
        </w:tc>
      </w:tr>
      <w:tr>
        <w:tc>
          <w:tcPr>
            <w:tcW w:type="dxa" w:w="4320"/>
          </w:tcPr>
          <w:p>
            <w:pPr/>
            <w:r>
              <w:rPr>
                <w:sz w:val="18"/>
              </w:rPr>
              <w:t>Kansai Proximity Service</w:t>
            </w:r>
          </w:p>
        </w:tc>
        <w:tc>
          <w:tcPr>
            <w:tcW w:type="dxa" w:w="4320"/>
          </w:tcPr>
          <w:p>
            <w:pPr/>
            <w:r>
              <w:rPr>
                <w:sz w:val="18"/>
              </w:rPr>
              <w:t>Network infrastructure in the Kansai region (near AP4 data center); provides disaster resilience and alternative access point</w:t>
            </w:r>
          </w:p>
        </w:tc>
      </w:tr>
      <w:tr>
        <w:tc>
          <w:tcPr>
            <w:tcW w:type="dxa" w:w="4320"/>
          </w:tcPr>
          <w:p>
            <w:pPr/>
            <w:r>
              <w:rPr>
                <w:sz w:val="18"/>
              </w:rPr>
              <w:t>arrownet</w:t>
            </w:r>
          </w:p>
        </w:tc>
        <w:tc>
          <w:tcPr>
            <w:tcW w:type="dxa" w:w="4320"/>
          </w:tcPr>
          <w:p>
            <w:pPr/>
            <w:r>
              <w:rPr>
                <w:sz w:val="18"/>
              </w:rPr>
              <w:t>JPX's proprietary dedicated-line network; bandwidth options from 512 kbps to 10 Gbps</w:t>
            </w:r>
          </w:p>
        </w:tc>
      </w:tr>
      <w:tr>
        <w:tc>
          <w:tcPr>
            <w:tcW w:type="dxa" w:w="4320"/>
          </w:tcPr>
          <w:p>
            <w:pPr/>
            <w:r>
              <w:rPr>
                <w:sz w:val="18"/>
              </w:rPr>
              <w:t>arrownet-Global</w:t>
            </w:r>
          </w:p>
        </w:tc>
        <w:tc>
          <w:tcPr>
            <w:tcW w:type="dxa" w:w="4320"/>
          </w:tcPr>
          <w:p>
            <w:pPr/>
            <w:r>
              <w:rPr>
                <w:sz w:val="18"/>
              </w:rPr>
              <w:t>International connectivity via dedicated lines for overseas participants</w:t>
            </w:r>
          </w:p>
        </w:tc>
      </w:tr>
      <w:tr>
        <w:tc>
          <w:tcPr>
            <w:tcW w:type="dxa" w:w="4320"/>
          </w:tcPr>
          <w:p>
            <w:pPr/>
            <w:r>
              <w:rPr>
                <w:sz w:val="18"/>
              </w:rPr>
              <w:t>JPX-SGX Co-Location Direct</w:t>
            </w:r>
          </w:p>
        </w:tc>
        <w:tc>
          <w:tcPr>
            <w:tcW w:type="dxa" w:w="4320"/>
          </w:tcPr>
          <w:p>
            <w:pPr/>
            <w:r>
              <w:rPr>
                <w:sz w:val="18"/>
              </w:rPr>
              <w:t>Direct connectivity between JPX and Singapore Exchange co-location facilities</w:t>
            </w:r>
          </w:p>
        </w:tc>
      </w:tr>
      <w:tr>
        <w:tc>
          <w:tcPr>
            <w:tcW w:type="dxa" w:w="4320"/>
          </w:tcPr>
          <w:p>
            <w:pPr/>
            <w:r>
              <w:rPr>
                <w:sz w:val="18"/>
              </w:rPr>
              <w:t>JPX-Chicago Co-Location Direct</w:t>
            </w:r>
          </w:p>
        </w:tc>
        <w:tc>
          <w:tcPr>
            <w:tcW w:type="dxa" w:w="4320"/>
          </w:tcPr>
          <w:p>
            <w:pPr/>
            <w:r>
              <w:rPr>
                <w:sz w:val="18"/>
              </w:rPr>
              <w:t>Direct connectivity between JPX and CME Globex (Chicago) co-location facilities</w:t>
            </w:r>
          </w:p>
        </w:tc>
      </w:tr>
      <w:tr>
        <w:tc>
          <w:tcPr>
            <w:tcW w:type="dxa" w:w="4320"/>
          </w:tcPr>
          <w:p>
            <w:pPr/>
            <w:r>
              <w:rPr>
                <w:sz w:val="18"/>
              </w:rPr>
              <w:t>AWS arrownet Access</w:t>
            </w:r>
          </w:p>
        </w:tc>
        <w:tc>
          <w:tcPr>
            <w:tcW w:type="dxa" w:w="4320"/>
          </w:tcPr>
          <w:p>
            <w:pPr/>
            <w:r>
              <w:rPr>
                <w:sz w:val="18"/>
              </w:rPr>
              <w:t>Connectivity to JPX arrownet through AWS cloud infrastructure</w:t>
            </w:r>
          </w:p>
        </w:tc>
      </w:tr>
    </w:tbl>
    <w:p/>
    <w:p>
      <w:pPr>
        <w:pStyle w:val="Heading3"/>
      </w:pPr>
      <w:r>
        <w:t>7.3 Co-location / Proximity Services</w:t>
      </w:r>
    </w:p>
    <w:p>
      <w:pPr>
        <w:pStyle w:val="ListBullet"/>
      </w:pPr>
      <w:r>
        <w:t>JPX Primary Site Co-Location: Dedicated space for trading participant servers within the same data center as arrowhead matching engines; achieves single-digit microsecond latency (one-way)</w:t>
      </w:r>
    </w:p>
    <w:p>
      <w:pPr>
        <w:pStyle w:val="ListBullet"/>
      </w:pPr>
      <w:r>
        <w:t>Layer 1 Switch Connectivity: Launched January 2024; Pico and other providers offer Layer 1 network solutions achieving &gt;80% reduction in round-trip latency compared to standard connections; data delivery latency as low as 5 nanoseconds</w:t>
      </w:r>
    </w:p>
    <w:p>
      <w:pPr>
        <w:pStyle w:val="ListBullet"/>
      </w:pPr>
      <w:r>
        <w:t>Kansai Proximity Service: Secondary co-location/proximity option for BCP purposes</w:t>
      </w:r>
    </w:p>
    <w:p>
      <w:pPr>
        <w:pStyle w:val="ListBullet"/>
      </w:pPr>
      <w:r>
        <w:t>Third-Party Providers: Equinix (14 Tokyo data centers), Telehouse (11 Tokyo facilities), and others offer proximity hosting with cross-connects to JPX infrastructure</w:t>
      </w:r>
    </w:p>
    <w:p>
      <w:pPr>
        <w:pStyle w:val="Heading3"/>
      </w:pPr>
      <w:r>
        <w:t>7.4 API Protocols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Protocol</w:t>
            </w:r>
          </w:p>
        </w:tc>
        <w:tc>
          <w:tcPr>
            <w:tcW w:type="dxa" w:w="4320"/>
          </w:tcPr>
          <w:p>
            <w:pPr/>
            <w:r>
              <w:rPr>
                <w:b/>
                <w:sz w:val="18"/>
              </w:rPr>
              <w:t>Use Case</w:t>
            </w:r>
          </w:p>
        </w:tc>
      </w:tr>
      <w:tr>
        <w:tc>
          <w:tcPr>
            <w:tcW w:type="dxa" w:w="4320"/>
          </w:tcPr>
          <w:p>
            <w:pPr/>
            <w:r>
              <w:rPr>
                <w:sz w:val="18"/>
              </w:rPr>
              <w:t>arrowhead native protocol</w:t>
            </w:r>
          </w:p>
        </w:tc>
        <w:tc>
          <w:tcPr>
            <w:tcW w:type="dxa" w:w="4320"/>
          </w:tcPr>
          <w:p>
            <w:pPr/>
            <w:r>
              <w:rPr>
                <w:sz w:val="18"/>
              </w:rPr>
              <w:t>Order entry, execution, and market data for cash equities</w:t>
            </w:r>
          </w:p>
        </w:tc>
      </w:tr>
      <w:tr>
        <w:tc>
          <w:tcPr>
            <w:tcW w:type="dxa" w:w="4320"/>
          </w:tcPr>
          <w:p>
            <w:pPr/>
            <w:r>
              <w:rPr>
                <w:sz w:val="18"/>
              </w:rPr>
              <w:t>ToSTNeT protocol</w:t>
            </w:r>
          </w:p>
        </w:tc>
        <w:tc>
          <w:tcPr>
            <w:tcW w:type="dxa" w:w="4320"/>
          </w:tcPr>
          <w:p>
            <w:pPr/>
            <w:r>
              <w:rPr>
                <w:sz w:val="18"/>
              </w:rPr>
              <w:t>Off-auction trading (single-issue, basket, closing price trades)</w:t>
            </w:r>
          </w:p>
        </w:tc>
      </w:tr>
      <w:tr>
        <w:tc>
          <w:tcPr>
            <w:tcW w:type="dxa" w:w="4320"/>
          </w:tcPr>
          <w:p>
            <w:pPr/>
            <w:r>
              <w:rPr>
                <w:sz w:val="18"/>
              </w:rPr>
              <w:t>FLEX Standard / FLEX MBO</w:t>
            </w:r>
          </w:p>
        </w:tc>
        <w:tc>
          <w:tcPr>
            <w:tcW w:type="dxa" w:w="4320"/>
          </w:tcPr>
          <w:p>
            <w:pPr/>
            <w:r>
              <w:rPr>
                <w:sz w:val="18"/>
              </w:rPr>
              <w:t>Market data reception protocols</w:t>
            </w:r>
          </w:p>
        </w:tc>
      </w:tr>
      <w:tr>
        <w:tc>
          <w:tcPr>
            <w:tcW w:type="dxa" w:w="4320"/>
          </w:tcPr>
          <w:p>
            <w:pPr/>
            <w:r>
              <w:rPr>
                <w:sz w:val="18"/>
              </w:rPr>
              <w:t>FIX (via third-party gateways)</w:t>
            </w:r>
          </w:p>
        </w:tc>
        <w:tc>
          <w:tcPr>
            <w:tcW w:type="dxa" w:w="4320"/>
          </w:tcPr>
          <w:p>
            <w:pPr/>
            <w:r>
              <w:rPr>
                <w:sz w:val="18"/>
              </w:rPr>
              <w:t>Industry-standard connectivity through vendors like Trading Technologies</w:t>
            </w:r>
          </w:p>
        </w:tc>
      </w:tr>
    </w:tbl>
    <w:p/>
    <w:p>
      <w:pPr>
        <w:pStyle w:val="Heading3"/>
      </w:pPr>
      <w:r>
        <w:t>7.5 Certification / Testing</w:t>
      </w:r>
    </w:p>
    <w:p>
      <w:pPr>
        <w:pStyle w:val="ListBullet"/>
      </w:pPr>
      <w:r>
        <w:t>Trading participants must complete connectivity testing and certification before going live on arrowhead</w:t>
      </w:r>
    </w:p>
    <w:p>
      <w:pPr>
        <w:pStyle w:val="ListBullet"/>
      </w:pPr>
      <w:r>
        <w:t>JPX provides testing environments for system integration and validation</w:t>
      </w:r>
    </w:p>
    <w:p>
      <w:pPr>
        <w:pStyle w:val="ListBullet"/>
      </w:pPr>
      <w:r>
        <w:t>Periodic system-wide tests conducted (e.g., before arrowhead upgrades)</w:t>
      </w:r>
    </w:p>
    <w:p>
      <w:pPr>
        <w:pStyle w:val="ListBullet"/>
      </w:pPr>
      <w:r>
        <w:t>Client Services contact: +81-50-3822-8888</w:t>
      </w:r>
    </w:p>
    <w:p>
      <w:r>
        <w:t>────────────────────────────────────────────────────────────</w:t>
      </w:r>
    </w:p>
    <w:p>
      <w:pPr>
        <w:pStyle w:val="Heading2"/>
      </w:pPr>
      <w:r>
        <w:t>8. Risk Controls &amp; Circuit Breakers</w:t>
      </w:r>
    </w:p>
    <w:p>
      <w:pPr>
        <w:pStyle w:val="Heading3"/>
      </w:pPr>
      <w:r>
        <w:t>8.1 Price Limits</w:t>
      </w:r>
    </w:p>
    <w:p>
      <w:r>
        <w:t>TSE enforces daily price limits — absolute yen-denominated bands set based on the previous day's closing price (base price). Trading cannot occur outside these limits within a single day.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Base Price Range (JPY)</w:t>
            </w:r>
          </w:p>
        </w:tc>
        <w:tc>
          <w:tcPr>
            <w:tcW w:type="dxa" w:w="4320"/>
          </w:tcPr>
          <w:p>
            <w:pPr/>
            <w:r>
              <w:rPr>
                <w:b/>
                <w:sz w:val="18"/>
              </w:rPr>
              <w:t>Daily Price Limit (+/-) (JPY)</w:t>
            </w:r>
          </w:p>
        </w:tc>
      </w:tr>
      <w:tr>
        <w:tc>
          <w:tcPr>
            <w:tcW w:type="dxa" w:w="4320"/>
          </w:tcPr>
          <w:p>
            <w:pPr/>
            <w:r>
              <w:rPr>
                <w:sz w:val="18"/>
              </w:rPr>
              <w:t>&lt; 100</w:t>
            </w:r>
          </w:p>
        </w:tc>
        <w:tc>
          <w:tcPr>
            <w:tcW w:type="dxa" w:w="4320"/>
          </w:tcPr>
          <w:p>
            <w:pPr/>
            <w:r>
              <w:rPr>
                <w:sz w:val="18"/>
              </w:rPr>
              <w:t>30</w:t>
            </w:r>
          </w:p>
        </w:tc>
      </w:tr>
      <w:tr>
        <w:tc>
          <w:tcPr>
            <w:tcW w:type="dxa" w:w="4320"/>
          </w:tcPr>
          <w:p>
            <w:pPr/>
            <w:r>
              <w:rPr>
                <w:sz w:val="18"/>
              </w:rPr>
              <w:t>&lt; 200</w:t>
            </w:r>
          </w:p>
        </w:tc>
        <w:tc>
          <w:tcPr>
            <w:tcW w:type="dxa" w:w="4320"/>
          </w:tcPr>
          <w:p>
            <w:pPr/>
            <w:r>
              <w:rPr>
                <w:sz w:val="18"/>
              </w:rPr>
              <w:t>50</w:t>
            </w:r>
          </w:p>
        </w:tc>
      </w:tr>
      <w:tr>
        <w:tc>
          <w:tcPr>
            <w:tcW w:type="dxa" w:w="4320"/>
          </w:tcPr>
          <w:p>
            <w:pPr/>
            <w:r>
              <w:rPr>
                <w:sz w:val="18"/>
              </w:rPr>
              <w:t>&lt; 500</w:t>
            </w:r>
          </w:p>
        </w:tc>
        <w:tc>
          <w:tcPr>
            <w:tcW w:type="dxa" w:w="4320"/>
          </w:tcPr>
          <w:p>
            <w:pPr/>
            <w:r>
              <w:rPr>
                <w:sz w:val="18"/>
              </w:rPr>
              <w:t>80</w:t>
            </w:r>
          </w:p>
        </w:tc>
      </w:tr>
      <w:tr>
        <w:tc>
          <w:tcPr>
            <w:tcW w:type="dxa" w:w="4320"/>
          </w:tcPr>
          <w:p>
            <w:pPr/>
            <w:r>
              <w:rPr>
                <w:sz w:val="18"/>
              </w:rPr>
              <w:t>&lt; 700</w:t>
            </w:r>
          </w:p>
        </w:tc>
        <w:tc>
          <w:tcPr>
            <w:tcW w:type="dxa" w:w="4320"/>
          </w:tcPr>
          <w:p>
            <w:pPr/>
            <w:r>
              <w:rPr>
                <w:sz w:val="18"/>
              </w:rPr>
              <w:t>100</w:t>
            </w:r>
          </w:p>
        </w:tc>
      </w:tr>
      <w:tr>
        <w:tc>
          <w:tcPr>
            <w:tcW w:type="dxa" w:w="4320"/>
          </w:tcPr>
          <w:p>
            <w:pPr/>
            <w:r>
              <w:rPr>
                <w:sz w:val="18"/>
              </w:rPr>
              <w:t>&lt; 1,000</w:t>
            </w:r>
          </w:p>
        </w:tc>
        <w:tc>
          <w:tcPr>
            <w:tcW w:type="dxa" w:w="4320"/>
          </w:tcPr>
          <w:p>
            <w:pPr/>
            <w:r>
              <w:rPr>
                <w:sz w:val="18"/>
              </w:rPr>
              <w:t>150</w:t>
            </w:r>
          </w:p>
        </w:tc>
      </w:tr>
      <w:tr>
        <w:tc>
          <w:tcPr>
            <w:tcW w:type="dxa" w:w="4320"/>
          </w:tcPr>
          <w:p>
            <w:pPr/>
            <w:r>
              <w:rPr>
                <w:sz w:val="18"/>
              </w:rPr>
              <w:t>&lt; 1,500</w:t>
            </w:r>
          </w:p>
        </w:tc>
        <w:tc>
          <w:tcPr>
            <w:tcW w:type="dxa" w:w="4320"/>
          </w:tcPr>
          <w:p>
            <w:pPr/>
            <w:r>
              <w:rPr>
                <w:sz w:val="18"/>
              </w:rPr>
              <w:t>300</w:t>
            </w:r>
          </w:p>
        </w:tc>
      </w:tr>
      <w:tr>
        <w:tc>
          <w:tcPr>
            <w:tcW w:type="dxa" w:w="4320"/>
          </w:tcPr>
          <w:p>
            <w:pPr/>
            <w:r>
              <w:rPr>
                <w:sz w:val="18"/>
              </w:rPr>
              <w:t>&lt; 2,000</w:t>
            </w:r>
          </w:p>
        </w:tc>
        <w:tc>
          <w:tcPr>
            <w:tcW w:type="dxa" w:w="4320"/>
          </w:tcPr>
          <w:p>
            <w:pPr/>
            <w:r>
              <w:rPr>
                <w:sz w:val="18"/>
              </w:rPr>
              <w:t>400</w:t>
            </w:r>
          </w:p>
        </w:tc>
      </w:tr>
      <w:tr>
        <w:tc>
          <w:tcPr>
            <w:tcW w:type="dxa" w:w="4320"/>
          </w:tcPr>
          <w:p>
            <w:pPr/>
            <w:r>
              <w:rPr>
                <w:sz w:val="18"/>
              </w:rPr>
              <w:t>&lt; 3,000</w:t>
            </w:r>
          </w:p>
        </w:tc>
        <w:tc>
          <w:tcPr>
            <w:tcW w:type="dxa" w:w="4320"/>
          </w:tcPr>
          <w:p>
            <w:pPr/>
            <w:r>
              <w:rPr>
                <w:sz w:val="18"/>
              </w:rPr>
              <w:t>500</w:t>
            </w:r>
          </w:p>
        </w:tc>
      </w:tr>
      <w:tr>
        <w:tc>
          <w:tcPr>
            <w:tcW w:type="dxa" w:w="4320"/>
          </w:tcPr>
          <w:p>
            <w:pPr/>
            <w:r>
              <w:rPr>
                <w:sz w:val="18"/>
              </w:rPr>
              <w:t>&lt; 5,000</w:t>
            </w:r>
          </w:p>
        </w:tc>
        <w:tc>
          <w:tcPr>
            <w:tcW w:type="dxa" w:w="4320"/>
          </w:tcPr>
          <w:p>
            <w:pPr/>
            <w:r>
              <w:rPr>
                <w:sz w:val="18"/>
              </w:rPr>
              <w:t>700</w:t>
            </w:r>
          </w:p>
        </w:tc>
      </w:tr>
      <w:tr>
        <w:tc>
          <w:tcPr>
            <w:tcW w:type="dxa" w:w="4320"/>
          </w:tcPr>
          <w:p>
            <w:pPr/>
            <w:r>
              <w:rPr>
                <w:sz w:val="18"/>
              </w:rPr>
              <w:t>&lt; 7,000</w:t>
            </w:r>
          </w:p>
        </w:tc>
        <w:tc>
          <w:tcPr>
            <w:tcW w:type="dxa" w:w="4320"/>
          </w:tcPr>
          <w:p>
            <w:pPr/>
            <w:r>
              <w:rPr>
                <w:sz w:val="18"/>
              </w:rPr>
              <w:t>1,000</w:t>
            </w:r>
          </w:p>
        </w:tc>
      </w:tr>
      <w:tr>
        <w:tc>
          <w:tcPr>
            <w:tcW w:type="dxa" w:w="4320"/>
          </w:tcPr>
          <w:p>
            <w:pPr/>
            <w:r>
              <w:rPr>
                <w:sz w:val="18"/>
              </w:rPr>
              <w:t>&lt; 10,000</w:t>
            </w:r>
          </w:p>
        </w:tc>
        <w:tc>
          <w:tcPr>
            <w:tcW w:type="dxa" w:w="4320"/>
          </w:tcPr>
          <w:p>
            <w:pPr/>
            <w:r>
              <w:rPr>
                <w:sz w:val="18"/>
              </w:rPr>
              <w:t>1,500</w:t>
            </w:r>
          </w:p>
        </w:tc>
      </w:tr>
      <w:tr>
        <w:tc>
          <w:tcPr>
            <w:tcW w:type="dxa" w:w="4320"/>
          </w:tcPr>
          <w:p>
            <w:pPr/>
            <w:r>
              <w:rPr>
                <w:sz w:val="18"/>
              </w:rPr>
              <w:t>&lt; 15,000</w:t>
            </w:r>
          </w:p>
        </w:tc>
        <w:tc>
          <w:tcPr>
            <w:tcW w:type="dxa" w:w="4320"/>
          </w:tcPr>
          <w:p>
            <w:pPr/>
            <w:r>
              <w:rPr>
                <w:sz w:val="18"/>
              </w:rPr>
              <w:t>3,000</w:t>
            </w:r>
          </w:p>
        </w:tc>
      </w:tr>
      <w:tr>
        <w:tc>
          <w:tcPr>
            <w:tcW w:type="dxa" w:w="4320"/>
          </w:tcPr>
          <w:p>
            <w:pPr/>
            <w:r>
              <w:rPr>
                <w:sz w:val="18"/>
              </w:rPr>
              <w:t>&lt; 20,000</w:t>
            </w:r>
          </w:p>
        </w:tc>
        <w:tc>
          <w:tcPr>
            <w:tcW w:type="dxa" w:w="4320"/>
          </w:tcPr>
          <w:p>
            <w:pPr/>
            <w:r>
              <w:rPr>
                <w:sz w:val="18"/>
              </w:rPr>
              <w:t>4,000</w:t>
            </w:r>
          </w:p>
        </w:tc>
      </w:tr>
      <w:tr>
        <w:tc>
          <w:tcPr>
            <w:tcW w:type="dxa" w:w="4320"/>
          </w:tcPr>
          <w:p>
            <w:pPr/>
            <w:r>
              <w:rPr>
                <w:sz w:val="18"/>
              </w:rPr>
              <w:t>&lt; 30,000</w:t>
            </w:r>
          </w:p>
        </w:tc>
        <w:tc>
          <w:tcPr>
            <w:tcW w:type="dxa" w:w="4320"/>
          </w:tcPr>
          <w:p>
            <w:pPr/>
            <w:r>
              <w:rPr>
                <w:sz w:val="18"/>
              </w:rPr>
              <w:t>5,000</w:t>
            </w:r>
          </w:p>
        </w:tc>
      </w:tr>
      <w:tr>
        <w:tc>
          <w:tcPr>
            <w:tcW w:type="dxa" w:w="4320"/>
          </w:tcPr>
          <w:p>
            <w:pPr/>
            <w:r>
              <w:rPr>
                <w:sz w:val="18"/>
              </w:rPr>
              <w:t>&lt; 50,000</w:t>
            </w:r>
          </w:p>
        </w:tc>
        <w:tc>
          <w:tcPr>
            <w:tcW w:type="dxa" w:w="4320"/>
          </w:tcPr>
          <w:p>
            <w:pPr/>
            <w:r>
              <w:rPr>
                <w:sz w:val="18"/>
              </w:rPr>
              <w:t>7,000</w:t>
            </w:r>
          </w:p>
        </w:tc>
      </w:tr>
      <w:tr>
        <w:tc>
          <w:tcPr>
            <w:tcW w:type="dxa" w:w="4320"/>
          </w:tcPr>
          <w:p>
            <w:pPr/>
            <w:r>
              <w:rPr>
                <w:sz w:val="18"/>
              </w:rPr>
              <w:t>&lt; 70,000</w:t>
            </w:r>
          </w:p>
        </w:tc>
        <w:tc>
          <w:tcPr>
            <w:tcW w:type="dxa" w:w="4320"/>
          </w:tcPr>
          <w:p>
            <w:pPr/>
            <w:r>
              <w:rPr>
                <w:sz w:val="18"/>
              </w:rPr>
              <w:t>10,000</w:t>
            </w:r>
          </w:p>
        </w:tc>
      </w:tr>
      <w:tr>
        <w:tc>
          <w:tcPr>
            <w:tcW w:type="dxa" w:w="4320"/>
          </w:tcPr>
          <w:p>
            <w:pPr/>
            <w:r>
              <w:rPr>
                <w:sz w:val="18"/>
              </w:rPr>
              <w:t>&lt; 100,000</w:t>
            </w:r>
          </w:p>
        </w:tc>
        <w:tc>
          <w:tcPr>
            <w:tcW w:type="dxa" w:w="4320"/>
          </w:tcPr>
          <w:p>
            <w:pPr/>
            <w:r>
              <w:rPr>
                <w:sz w:val="18"/>
              </w:rPr>
              <w:t>15,000</w:t>
            </w:r>
          </w:p>
        </w:tc>
      </w:tr>
      <w:tr>
        <w:tc>
          <w:tcPr>
            <w:tcW w:type="dxa" w:w="4320"/>
          </w:tcPr>
          <w:p>
            <w:pPr/>
            <w:r>
              <w:rPr>
                <w:sz w:val="18"/>
              </w:rPr>
              <w:t>&lt; 150,000</w:t>
            </w:r>
          </w:p>
        </w:tc>
        <w:tc>
          <w:tcPr>
            <w:tcW w:type="dxa" w:w="4320"/>
          </w:tcPr>
          <w:p>
            <w:pPr/>
            <w:r>
              <w:rPr>
                <w:sz w:val="18"/>
              </w:rPr>
              <w:t>30,000</w:t>
            </w:r>
          </w:p>
        </w:tc>
      </w:tr>
      <w:tr>
        <w:tc>
          <w:tcPr>
            <w:tcW w:type="dxa" w:w="4320"/>
          </w:tcPr>
          <w:p>
            <w:pPr/>
            <w:r>
              <w:rPr>
                <w:sz w:val="18"/>
              </w:rPr>
              <w:t>&lt; 200,000</w:t>
            </w:r>
          </w:p>
        </w:tc>
        <w:tc>
          <w:tcPr>
            <w:tcW w:type="dxa" w:w="4320"/>
          </w:tcPr>
          <w:p>
            <w:pPr/>
            <w:r>
              <w:rPr>
                <w:sz w:val="18"/>
              </w:rPr>
              <w:t>40,000</w:t>
            </w:r>
          </w:p>
        </w:tc>
      </w:tr>
      <w:tr>
        <w:tc>
          <w:tcPr>
            <w:tcW w:type="dxa" w:w="4320"/>
          </w:tcPr>
          <w:p>
            <w:pPr/>
            <w:r>
              <w:rPr>
                <w:sz w:val="18"/>
              </w:rPr>
              <w:t>&lt; 300,000</w:t>
            </w:r>
          </w:p>
        </w:tc>
        <w:tc>
          <w:tcPr>
            <w:tcW w:type="dxa" w:w="4320"/>
          </w:tcPr>
          <w:p>
            <w:pPr/>
            <w:r>
              <w:rPr>
                <w:sz w:val="18"/>
              </w:rPr>
              <w:t>50,000</w:t>
            </w:r>
          </w:p>
        </w:tc>
      </w:tr>
      <w:tr>
        <w:tc>
          <w:tcPr>
            <w:tcW w:type="dxa" w:w="4320"/>
          </w:tcPr>
          <w:p>
            <w:pPr/>
            <w:r>
              <w:rPr>
                <w:sz w:val="18"/>
              </w:rPr>
              <w:t>&lt; 500,000</w:t>
            </w:r>
          </w:p>
        </w:tc>
        <w:tc>
          <w:tcPr>
            <w:tcW w:type="dxa" w:w="4320"/>
          </w:tcPr>
          <w:p>
            <w:pPr/>
            <w:r>
              <w:rPr>
                <w:sz w:val="18"/>
              </w:rPr>
              <w:t>70,000</w:t>
            </w:r>
          </w:p>
        </w:tc>
      </w:tr>
      <w:tr>
        <w:tc>
          <w:tcPr>
            <w:tcW w:type="dxa" w:w="4320"/>
          </w:tcPr>
          <w:p>
            <w:pPr/>
            <w:r>
              <w:rPr>
                <w:sz w:val="18"/>
              </w:rPr>
              <w:t>&lt; 700,000</w:t>
            </w:r>
          </w:p>
        </w:tc>
        <w:tc>
          <w:tcPr>
            <w:tcW w:type="dxa" w:w="4320"/>
          </w:tcPr>
          <w:p>
            <w:pPr/>
            <w:r>
              <w:rPr>
                <w:sz w:val="18"/>
              </w:rPr>
              <w:t>100,000</w:t>
            </w:r>
          </w:p>
        </w:tc>
      </w:tr>
      <w:tr>
        <w:tc>
          <w:tcPr>
            <w:tcW w:type="dxa" w:w="4320"/>
          </w:tcPr>
          <w:p>
            <w:pPr/>
            <w:r>
              <w:rPr>
                <w:sz w:val="18"/>
              </w:rPr>
              <w:t>&lt; 1,000,000</w:t>
            </w:r>
          </w:p>
        </w:tc>
        <w:tc>
          <w:tcPr>
            <w:tcW w:type="dxa" w:w="4320"/>
          </w:tcPr>
          <w:p>
            <w:pPr/>
            <w:r>
              <w:rPr>
                <w:sz w:val="18"/>
              </w:rPr>
              <w:t>150,000</w:t>
            </w:r>
          </w:p>
        </w:tc>
      </w:tr>
      <w:tr>
        <w:tc>
          <w:tcPr>
            <w:tcW w:type="dxa" w:w="4320"/>
          </w:tcPr>
          <w:p>
            <w:pPr/>
            <w:r>
              <w:rPr>
                <w:sz w:val="18"/>
              </w:rPr>
              <w:t>&lt; 1,500,000</w:t>
            </w:r>
          </w:p>
        </w:tc>
        <w:tc>
          <w:tcPr>
            <w:tcW w:type="dxa" w:w="4320"/>
          </w:tcPr>
          <w:p>
            <w:pPr/>
            <w:r>
              <w:rPr>
                <w:sz w:val="18"/>
              </w:rPr>
              <w:t>300,000</w:t>
            </w:r>
          </w:p>
        </w:tc>
      </w:tr>
      <w:tr>
        <w:tc>
          <w:tcPr>
            <w:tcW w:type="dxa" w:w="4320"/>
          </w:tcPr>
          <w:p>
            <w:pPr/>
            <w:r>
              <w:rPr>
                <w:sz w:val="18"/>
              </w:rPr>
              <w:t>&lt; 2,000,000</w:t>
            </w:r>
          </w:p>
        </w:tc>
        <w:tc>
          <w:tcPr>
            <w:tcW w:type="dxa" w:w="4320"/>
          </w:tcPr>
          <w:p>
            <w:pPr/>
            <w:r>
              <w:rPr>
                <w:sz w:val="18"/>
              </w:rPr>
              <w:t>400,000</w:t>
            </w:r>
          </w:p>
        </w:tc>
      </w:tr>
      <w:tr>
        <w:tc>
          <w:tcPr>
            <w:tcW w:type="dxa" w:w="4320"/>
          </w:tcPr>
          <w:p>
            <w:pPr/>
            <w:r>
              <w:rPr>
                <w:sz w:val="18"/>
              </w:rPr>
              <w:t>&lt; 3,000,000</w:t>
            </w:r>
          </w:p>
        </w:tc>
        <w:tc>
          <w:tcPr>
            <w:tcW w:type="dxa" w:w="4320"/>
          </w:tcPr>
          <w:p>
            <w:pPr/>
            <w:r>
              <w:rPr>
                <w:sz w:val="18"/>
              </w:rPr>
              <w:t>500,000</w:t>
            </w:r>
          </w:p>
        </w:tc>
      </w:tr>
      <w:tr>
        <w:tc>
          <w:tcPr>
            <w:tcW w:type="dxa" w:w="4320"/>
          </w:tcPr>
          <w:p>
            <w:pPr/>
            <w:r>
              <w:rPr>
                <w:sz w:val="18"/>
              </w:rPr>
              <w:t>&lt; 5,000,000</w:t>
            </w:r>
          </w:p>
        </w:tc>
        <w:tc>
          <w:tcPr>
            <w:tcW w:type="dxa" w:w="4320"/>
          </w:tcPr>
          <w:p>
            <w:pPr/>
            <w:r>
              <w:rPr>
                <w:sz w:val="18"/>
              </w:rPr>
              <w:t>700,000</w:t>
            </w:r>
          </w:p>
        </w:tc>
      </w:tr>
      <w:tr>
        <w:tc>
          <w:tcPr>
            <w:tcW w:type="dxa" w:w="4320"/>
          </w:tcPr>
          <w:p>
            <w:pPr/>
            <w:r>
              <w:rPr>
                <w:sz w:val="18"/>
              </w:rPr>
              <w:t>&lt; 7,000,000</w:t>
            </w:r>
          </w:p>
        </w:tc>
        <w:tc>
          <w:tcPr>
            <w:tcW w:type="dxa" w:w="4320"/>
          </w:tcPr>
          <w:p>
            <w:pPr/>
            <w:r>
              <w:rPr>
                <w:sz w:val="18"/>
              </w:rPr>
              <w:t>1,000,000</w:t>
            </w:r>
          </w:p>
        </w:tc>
      </w:tr>
      <w:tr>
        <w:tc>
          <w:tcPr>
            <w:tcW w:type="dxa" w:w="4320"/>
          </w:tcPr>
          <w:p>
            <w:pPr/>
            <w:r>
              <w:rPr>
                <w:sz w:val="18"/>
              </w:rPr>
              <w:t>&lt; 10,000,000</w:t>
            </w:r>
          </w:p>
        </w:tc>
        <w:tc>
          <w:tcPr>
            <w:tcW w:type="dxa" w:w="4320"/>
          </w:tcPr>
          <w:p>
            <w:pPr/>
            <w:r>
              <w:rPr>
                <w:sz w:val="18"/>
              </w:rPr>
              <w:t>1,500,000</w:t>
            </w:r>
          </w:p>
        </w:tc>
      </w:tr>
      <w:tr>
        <w:tc>
          <w:tcPr>
            <w:tcW w:type="dxa" w:w="4320"/>
          </w:tcPr>
          <w:p>
            <w:pPr/>
            <w:r>
              <w:rPr>
                <w:sz w:val="18"/>
              </w:rPr>
              <w:t>&lt; 15,000,000</w:t>
            </w:r>
          </w:p>
        </w:tc>
        <w:tc>
          <w:tcPr>
            <w:tcW w:type="dxa" w:w="4320"/>
          </w:tcPr>
          <w:p>
            <w:pPr/>
            <w:r>
              <w:rPr>
                <w:sz w:val="18"/>
              </w:rPr>
              <w:t>3,000,000</w:t>
            </w:r>
          </w:p>
        </w:tc>
      </w:tr>
      <w:tr>
        <w:tc>
          <w:tcPr>
            <w:tcW w:type="dxa" w:w="4320"/>
          </w:tcPr>
          <w:p>
            <w:pPr/>
            <w:r>
              <w:rPr>
                <w:sz w:val="18"/>
              </w:rPr>
              <w:t>&lt; 20,000,000</w:t>
            </w:r>
          </w:p>
        </w:tc>
        <w:tc>
          <w:tcPr>
            <w:tcW w:type="dxa" w:w="4320"/>
          </w:tcPr>
          <w:p>
            <w:pPr/>
            <w:r>
              <w:rPr>
                <w:sz w:val="18"/>
              </w:rPr>
              <w:t>4,000,000</w:t>
            </w:r>
          </w:p>
        </w:tc>
      </w:tr>
      <w:tr>
        <w:tc>
          <w:tcPr>
            <w:tcW w:type="dxa" w:w="4320"/>
          </w:tcPr>
          <w:p>
            <w:pPr/>
            <w:r>
              <w:rPr>
                <w:sz w:val="18"/>
              </w:rPr>
              <w:t>&lt; 30,000,000</w:t>
            </w:r>
          </w:p>
        </w:tc>
        <w:tc>
          <w:tcPr>
            <w:tcW w:type="dxa" w:w="4320"/>
          </w:tcPr>
          <w:p>
            <w:pPr/>
            <w:r>
              <w:rPr>
                <w:sz w:val="18"/>
              </w:rPr>
              <w:t>5,000,000</w:t>
            </w:r>
          </w:p>
        </w:tc>
      </w:tr>
      <w:tr>
        <w:tc>
          <w:tcPr>
            <w:tcW w:type="dxa" w:w="4320"/>
          </w:tcPr>
          <w:p>
            <w:pPr/>
            <w:r>
              <w:rPr>
                <w:sz w:val="18"/>
              </w:rPr>
              <w:t>&lt; 50,000,000</w:t>
            </w:r>
          </w:p>
        </w:tc>
        <w:tc>
          <w:tcPr>
            <w:tcW w:type="dxa" w:w="4320"/>
          </w:tcPr>
          <w:p>
            <w:pPr/>
            <w:r>
              <w:rPr>
                <w:sz w:val="18"/>
              </w:rPr>
              <w:t>7,000,000</w:t>
            </w:r>
          </w:p>
        </w:tc>
      </w:tr>
      <w:tr>
        <w:tc>
          <w:tcPr>
            <w:tcW w:type="dxa" w:w="4320"/>
          </w:tcPr>
          <w:p>
            <w:pPr/>
            <w:r>
              <w:rPr>
                <w:sz w:val="18"/>
              </w:rPr>
              <w:t>&gt;= 50,000,000</w:t>
            </w:r>
          </w:p>
        </w:tc>
        <w:tc>
          <w:tcPr>
            <w:tcW w:type="dxa" w:w="4320"/>
          </w:tcPr>
          <w:p>
            <w:pPr/>
            <w:r>
              <w:rPr>
                <w:sz w:val="18"/>
              </w:rPr>
              <w:t>10,000,000</w:t>
            </w:r>
          </w:p>
        </w:tc>
      </w:tr>
    </w:tbl>
    <w:p/>
    <w:p>
      <w:r>
        <w:t>Limit Expansion Rule: If a stock hits the upper or lower daily price limit with zero trading volume for two consecutive business days, the limit range is expanded by 4x from the following business day.</w:t>
      </w:r>
    </w:p>
    <w:p>
      <w:r>
        <w:t>Asia-Specific Note: Daily price limits are a common feature in Asian markets (also used by KRX, TWSE, SSE, SZSE). Unlike Western markets that primarily rely on circuit breakers, Asian exchanges layer daily price limits as a first line of defense against excessive volatility.</w:t>
      </w:r>
    </w:p>
    <w:p>
      <w:pPr>
        <w:pStyle w:val="Heading3"/>
      </w:pPr>
      <w:r>
        <w:t>8.2 Circuit Breakers</w:t>
      </w:r>
    </w:p>
    <w:p>
      <w:r>
        <w:t>Individual Stock Level — Special Quote (Tokubetsu Kehai):</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Type</w:t>
            </w:r>
          </w:p>
        </w:tc>
        <w:tc>
          <w:tcPr>
            <w:tcW w:type="dxa" w:w="2880"/>
          </w:tcPr>
          <w:p>
            <w:pPr/>
            <w:r>
              <w:rPr>
                <w:b/>
                <w:sz w:val="18"/>
              </w:rPr>
              <w:t>Trigger</w:t>
            </w:r>
          </w:p>
        </w:tc>
        <w:tc>
          <w:tcPr>
            <w:tcW w:type="dxa" w:w="2880"/>
          </w:tcPr>
          <w:p>
            <w:pPr/>
            <w:r>
              <w:rPr>
                <w:b/>
                <w:sz w:val="18"/>
              </w:rPr>
              <w:t>Action</w:t>
            </w:r>
          </w:p>
        </w:tc>
      </w:tr>
      <w:tr>
        <w:tc>
          <w:tcPr>
            <w:tcW w:type="dxa" w:w="2880"/>
          </w:tcPr>
          <w:p>
            <w:pPr/>
            <w:r>
              <w:rPr>
                <w:sz w:val="18"/>
              </w:rPr>
              <w:t>Special Quote</w:t>
            </w:r>
          </w:p>
        </w:tc>
        <w:tc>
          <w:tcPr>
            <w:tcW w:type="dxa" w:w="2880"/>
          </w:tcPr>
          <w:p>
            <w:pPr/>
            <w:r>
              <w:rPr>
                <w:sz w:val="18"/>
              </w:rPr>
              <w:t>Potential trade would exceed the renewal price range (a predefined price interval based on price level)</w:t>
            </w:r>
          </w:p>
        </w:tc>
        <w:tc>
          <w:tcPr>
            <w:tcW w:type="dxa" w:w="2880"/>
          </w:tcPr>
          <w:p>
            <w:pPr/>
            <w:r>
              <w:rPr>
                <w:sz w:val="18"/>
              </w:rPr>
              <w:t>Trading halted; Special Quote displayed at the limit of the renewal range; quote updated stepwise at intervals (typically 3-5 minutes) until balance achieved or daily limit reached; Itayose auction triggered when offsetting orders arrive</w:t>
            </w:r>
          </w:p>
        </w:tc>
      </w:tr>
      <w:tr>
        <w:tc>
          <w:tcPr>
            <w:tcW w:type="dxa" w:w="2880"/>
          </w:tcPr>
          <w:p>
            <w:pPr/>
            <w:r>
              <w:rPr>
                <w:sz w:val="18"/>
              </w:rPr>
              <w:t>Sequential Trade Quote</w:t>
            </w:r>
          </w:p>
        </w:tc>
        <w:tc>
          <w:tcPr>
            <w:tcW w:type="dxa" w:w="2880"/>
          </w:tcPr>
          <w:p>
            <w:pPr/>
            <w:r>
              <w:rPr>
                <w:sz w:val="18"/>
              </w:rPr>
              <w:t>Execution might exceed twice the renewal price interval</w:t>
            </w:r>
          </w:p>
        </w:tc>
        <w:tc>
          <w:tcPr>
            <w:tcW w:type="dxa" w:w="2880"/>
          </w:tcPr>
          <w:p>
            <w:pPr/>
            <w:r>
              <w:rPr>
                <w:sz w:val="18"/>
              </w:rPr>
              <w:t>Quote displayed for 1 minute to attract offsetting orders before execution</w:t>
            </w:r>
          </w:p>
        </w:tc>
      </w:tr>
    </w:tbl>
    <w:p/>
    <w:p>
      <w:r>
        <w:t>Index Level — Derivatives Circuit Breaker (affects cash market indirectly):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Level</w:t>
            </w:r>
          </w:p>
        </w:tc>
        <w:tc>
          <w:tcPr>
            <w:tcW w:type="dxa" w:w="2880"/>
          </w:tcPr>
          <w:p>
            <w:pPr/>
            <w:r>
              <w:rPr>
                <w:b/>
                <w:sz w:val="18"/>
              </w:rPr>
              <w:t>Trigger</w:t>
            </w:r>
          </w:p>
        </w:tc>
        <w:tc>
          <w:tcPr>
            <w:tcW w:type="dxa" w:w="2880"/>
          </w:tcPr>
          <w:p>
            <w:pPr/>
            <w:r>
              <w:rPr>
                <w:b/>
                <w:sz w:val="18"/>
              </w:rPr>
              <w:t>Halt Duration</w:t>
            </w:r>
          </w:p>
        </w:tc>
      </w:tr>
      <w:tr>
        <w:tc>
          <w:tcPr>
            <w:tcW w:type="dxa" w:w="2880"/>
          </w:tcPr>
          <w:p>
            <w:pPr/>
            <w:r>
              <w:rPr>
                <w:sz w:val="18"/>
              </w:rPr>
              <w:t>Static Circuit Breaker (SCB)</w:t>
            </w:r>
          </w:p>
        </w:tc>
        <w:tc>
          <w:tcPr>
            <w:tcW w:type="dxa" w:w="2880"/>
          </w:tcPr>
          <w:p>
            <w:pPr/>
            <w:r>
              <w:rPr>
                <w:sz w:val="18"/>
              </w:rPr>
              <w:t>Index futures (Nikkei 225, TOPIX) hit ~8% decline limit</w:t>
            </w:r>
          </w:p>
        </w:tc>
        <w:tc>
          <w:tcPr>
            <w:tcW w:type="dxa" w:w="2880"/>
          </w:tcPr>
          <w:p>
            <w:pPr/>
            <w:r>
              <w:rPr>
                <w:sz w:val="18"/>
              </w:rPr>
              <w:t>10-minute halt on all related futures/derivatives contracts</w:t>
            </w:r>
          </w:p>
        </w:tc>
      </w:tr>
    </w:tbl>
    <w:p/>
    <w:p>
      <w:r>
        <w:t>Note: Cash equity trading on TSE continues even when index futures circuit breakers are triggered. Spot stock trading is not halted by derivative circuit breakers — this is an important distinction from markets where equity trading halts alongside futures.</w:t>
      </w:r>
    </w:p>
    <w:p>
      <w:pPr>
        <w:pStyle w:val="Heading3"/>
      </w:pPr>
      <w:r>
        <w:t>8.3 Pre-trade Risk Controls</w:t>
      </w:r>
    </w:p>
    <w:p>
      <w:pPr>
        <w:pStyle w:val="ListBullet"/>
      </w:pPr>
      <w:r>
        <w:t>User-designated hard limits: Trading participants can set maximum order value limits per user</w:t>
      </w:r>
    </w:p>
    <w:p>
      <w:pPr>
        <w:pStyle w:val="ListBullet"/>
      </w:pPr>
      <w:r>
        <w:t>Price limit validation: Orders outside daily price limits are automatically rejected</w:t>
      </w:r>
    </w:p>
    <w:p>
      <w:pPr>
        <w:pStyle w:val="ListBullet"/>
      </w:pPr>
      <w:r>
        <w:t>Order value limits: Maximum order quantity and value thresholds enforced by the exchange</w:t>
      </w:r>
    </w:p>
    <w:p>
      <w:pPr>
        <w:pStyle w:val="ListBullet"/>
      </w:pPr>
      <w:r>
        <w:t>Cancel on Disconnect: If a participant's connection is lost, all outstanding orders can be automatically suspended</w:t>
      </w:r>
    </w:p>
    <w:p>
      <w:pPr>
        <w:pStyle w:val="ListBullet"/>
      </w:pPr>
      <w:r>
        <w:t>Mass Cancellation: Functionality to cancel all outstanding orders in a single operation (introduced with arrowhead 4.0)</w:t>
      </w:r>
    </w:p>
    <w:p>
      <w:pPr>
        <w:pStyle w:val="Heading3"/>
      </w:pPr>
      <w:r>
        <w:t>8.4 Kill Switch</w:t>
      </w:r>
    </w:p>
    <w:p>
      <w:pPr>
        <w:pStyle w:val="ListBullet"/>
      </w:pPr>
      <w:r>
        <w:t>Forcible Entry Suspension (Kill Switch): Introduced with arrowhead 4.0, allows trading participants or the exchange to immediately suspend all order entry from a specific participant terminal or session. Prevents erroneous orders from cascading into the market.</w:t>
      </w:r>
    </w:p>
    <w:p>
      <w:r>
        <w:t>────────────────────────────────────────────────────────────</w:t>
      </w:r>
    </w:p>
    <w:p>
      <w:pPr>
        <w:pStyle w:val="Heading2"/>
      </w:pPr>
      <w:r>
        <w:t>9. Regulatory Framework</w:t>
      </w:r>
    </w:p>
    <w:p>
      <w:pPr>
        <w:pStyle w:val="Heading3"/>
      </w:pPr>
      <w:r>
        <w:t>9.1 Supervising Authority</w:t>
      </w:r>
    </w:p>
    <w:p>
      <w:pPr>
        <w:pStyle w:val="ListBullet"/>
      </w:pPr>
      <w:r>
        <w:t>Financial Services Agency of Japan (JFSA / Kinyu-cho): Central regulatory authority overseeing all financial markets in Japan. Responsible for rule-making, licensing, inspections, and enforcement under the Financial Instruments and Exchange Act (FIEA).</w:t>
      </w:r>
    </w:p>
    <w:p>
      <w:pPr>
        <w:pStyle w:val="ListBullet"/>
      </w:pPr>
      <w:r>
        <w:t>Securities and Exchange Surveillance Commission (SESC): Independent oversight body under JFSA. Monitors, investigates, and sanctions violations of the FIEA, including insider trading, market manipulation, and disclosure fraud.</w:t>
      </w:r>
    </w:p>
    <w:p>
      <w:pPr>
        <w:pStyle w:val="ListBullet"/>
      </w:pPr>
      <w:r>
        <w:t>Japan Exchange Regulation (JPX-R): Self-regulatory organization (SRO) within the JPX Group. Operates independently to conduct:</w:t>
      </w:r>
    </w:p>
    <w:p>
      <w:pPr>
        <w:pStyle w:val="ListBullet"/>
      </w:pPr>
      <w:r>
        <w:t>Listing examination and approval</w:t>
      </w:r>
    </w:p>
    <w:p>
      <w:pPr>
        <w:pStyle w:val="ListBullet"/>
      </w:pPr>
      <w:r>
        <w:t>Listed company compliance monitoring</w:t>
      </w:r>
    </w:p>
    <w:p>
      <w:pPr>
        <w:pStyle w:val="ListBullet"/>
      </w:pPr>
      <w:r>
        <w:t>Real-time market surveillance</w:t>
      </w:r>
    </w:p>
    <w:p>
      <w:pPr>
        <w:pStyle w:val="ListBullet"/>
      </w:pPr>
      <w:r>
        <w:t>Inspections and examinations of trading participants</w:t>
      </w:r>
    </w:p>
    <w:p>
      <w:pPr>
        <w:pStyle w:val="Heading3"/>
      </w:pPr>
      <w:r>
        <w:t>9.2 Key Regulations</w:t>
      </w:r>
    </w:p>
    <w:p>
      <w:pPr>
        <w:pStyle w:val="ListBullet"/>
      </w:pPr>
      <w:r>
        <w:t>Financial Instruments and Exchange Act (FIEA): Primary legislation governing securities markets, exchanges, trading participants, and investor protection in Japan</w:t>
      </w:r>
    </w:p>
    <w:p>
      <w:pPr>
        <w:pStyle w:val="ListBullet"/>
      </w:pPr>
      <w:r>
        <w:t>Companies Act (Kaisha-ho): Corporate governance framework for listed companies</w:t>
      </w:r>
    </w:p>
    <w:p>
      <w:pPr>
        <w:pStyle w:val="ListBullet"/>
      </w:pPr>
      <w:r>
        <w:t>Corporate Governance Code: Principles-based code (first issued 2015, revised 2018, 2021; under revision 2025-2026) outlining governance expectations for listed companies. Prime Market companies must comply with all principles or explain deviations.</w:t>
      </w:r>
    </w:p>
    <w:p>
      <w:pPr>
        <w:pStyle w:val="ListBullet"/>
      </w:pPr>
      <w:r>
        <w:t>Stewardship Code: Code of conduct for institutional investors engaging with investee companies</w:t>
      </w:r>
    </w:p>
    <w:p>
      <w:pPr>
        <w:pStyle w:val="ListBullet"/>
      </w:pPr>
      <w:r>
        <w:t>TSE Listing Rules: Detailed regulations covering initial listing criteria, continued listing criteria, timely disclosure requirements, and corporate governance standards specific to each market segment</w:t>
      </w:r>
    </w:p>
    <w:p>
      <w:pPr>
        <w:pStyle w:val="Heading3"/>
      </w:pPr>
      <w:r>
        <w:t>9.3 Market Surveillance</w:t>
      </w:r>
    </w:p>
    <w:p>
      <w:pPr>
        <w:pStyle w:val="ListBullet"/>
      </w:pPr>
      <w:r>
        <w:t>Dual surveillance: Both JPX-R and SESC conduct market surveillance, with JPX-R focusing on real-time monitoring and SESC handling investigations and enforcement</w:t>
      </w:r>
    </w:p>
    <w:p>
      <w:pPr>
        <w:pStyle w:val="ListBullet"/>
      </w:pPr>
      <w:r>
        <w:t>AI-Enhanced Surveillance: JPX-R introduced artificial intelligence to market surveillance operations in 2018 to improve detection of market manipulation and insider trading patterns</w:t>
      </w:r>
    </w:p>
    <w:p>
      <w:pPr>
        <w:pStyle w:val="ListBullet"/>
      </w:pPr>
      <w:r>
        <w:t>Unfair Trading Detection: Continuous monitoring for market manipulation, insider trading, and other violations using pattern recognition and anomaly detection systems</w:t>
      </w:r>
    </w:p>
    <w:p>
      <w:pPr>
        <w:pStyle w:val="ListBullet"/>
      </w:pPr>
      <w:r>
        <w:t>Quarterly Reports: JPX publishes quarterly reports on the status of market surveillance activities</w:t>
      </w:r>
    </w:p>
    <w:p>
      <w:pPr>
        <w:pStyle w:val="Heading3"/>
      </w:pPr>
      <w:r>
        <w:t>9.4 Reporting Requirements</w:t>
      </w:r>
    </w:p>
    <w:p>
      <w:pPr>
        <w:pStyle w:val="ListBullet"/>
      </w:pPr>
      <w:r>
        <w:t>Timely Disclosure (Tekiji Kaiji): Listed companies must promptly disclose material information including financial results, corporate actions, and significant events via TDnet (Timely Disclosure Network)</w:t>
      </w:r>
    </w:p>
    <w:p>
      <w:pPr>
        <w:pStyle w:val="ListBullet"/>
      </w:pPr>
      <w:r>
        <w:t>Annual Securities Report (Yuho): Comprehensive annual financial report filed with JFSA</w:t>
      </w:r>
    </w:p>
    <w:p>
      <w:pPr>
        <w:pStyle w:val="ListBullet"/>
      </w:pPr>
      <w:r>
        <w:t>Quarterly Reports: Financial statements filed quarterly</w:t>
      </w:r>
    </w:p>
    <w:p>
      <w:pPr>
        <w:pStyle w:val="ListBullet"/>
      </w:pPr>
      <w:r>
        <w:t>Large Shareholding Reports: Disclosure required within 5 business days when holding exceeds 5% of outstanding shares</w:t>
      </w:r>
    </w:p>
    <w:p>
      <w:pPr>
        <w:pStyle w:val="ListBullet"/>
      </w:pPr>
      <w:r>
        <w:t>Short Selling Reports: Short position disclosure required when net short position exceeds 0.5% of outstanding shares</w:t>
      </w:r>
    </w:p>
    <w:p>
      <w:pPr>
        <w:pStyle w:val="ListBullet"/>
      </w:pPr>
      <w:r>
        <w:t>English Disclosure: TSE has been actively promoting English-language disclosure by listed companies to attract foreign investment</w:t>
      </w:r>
    </w:p>
    <w:p>
      <w:pPr>
        <w:pStyle w:val="Heading3"/>
      </w:pPr>
      <w:r>
        <w:t>9.5 Cross-border Arrangements</w:t>
      </w:r>
    </w:p>
    <w:p>
      <w:pPr>
        <w:pStyle w:val="ListBullet"/>
      </w:pPr>
      <w:r>
        <w:t>Remote Trading Participant System: Enables foreign brokers to trade directly on TSE without a Japanese office (since 2009)</w:t>
      </w:r>
    </w:p>
    <w:p>
      <w:pPr>
        <w:pStyle w:val="ListBullet"/>
      </w:pPr>
      <w:r>
        <w:t>International Connectivity: JPX-SGX Co-Location Direct (Singapore), JPX-Chicago Co-Location Direct (CME), and arrownet-Global services</w:t>
      </w:r>
    </w:p>
    <w:p>
      <w:pPr>
        <w:pStyle w:val="ListBullet"/>
      </w:pPr>
      <w:r>
        <w:t>Mutual Recognition Agreements: JFSA has regulatory cooperation arrangements with multiple overseas regulators</w:t>
      </w:r>
    </w:p>
    <w:p>
      <w:pPr>
        <w:pStyle w:val="ListBullet"/>
      </w:pPr>
      <w:r>
        <w:t>Foreign investor participation: Foreign investors account for over 60% of TSE turnover in peak periods, making cross-border access a critical priority</w:t>
      </w:r>
    </w:p>
    <w:p>
      <w:r>
        <w:t>────────────────────────────────────────────────────────────</w:t>
      </w:r>
    </w:p>
    <w:p>
      <w:pPr>
        <w:pStyle w:val="Heading2"/>
      </w:pPr>
      <w:r>
        <w:t>10. Fees &amp; Revenue Model</w:t>
      </w:r>
    </w:p>
    <w:p>
      <w:pPr>
        <w:pStyle w:val="Heading3"/>
      </w:pPr>
      <w:r>
        <w:t>10.1 Trading Fees</w:t>
      </w:r>
    </w:p>
    <w:p>
      <w:r>
        <w:t>JPX/TSE trading participation fees are composed of four categories: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Fee Type</w:t>
            </w:r>
          </w:p>
        </w:tc>
        <w:tc>
          <w:tcPr>
            <w:tcW w:type="dxa" w:w="2880"/>
          </w:tcPr>
          <w:p>
            <w:pPr/>
            <w:r>
              <w:rPr>
                <w:b/>
                <w:sz w:val="18"/>
              </w:rPr>
              <w:t>Structure</w:t>
            </w:r>
          </w:p>
        </w:tc>
        <w:tc>
          <w:tcPr>
            <w:tcW w:type="dxa" w:w="2880"/>
          </w:tcPr>
          <w:p>
            <w:pPr/>
            <w:r>
              <w:rPr>
                <w:b/>
                <w:sz w:val="18"/>
              </w:rPr>
              <w:t>Rate</w:t>
            </w:r>
          </w:p>
        </w:tc>
      </w:tr>
      <w:tr>
        <w:tc>
          <w:tcPr>
            <w:tcW w:type="dxa" w:w="2880"/>
          </w:tcPr>
          <w:p>
            <w:pPr/>
            <w:r>
              <w:rPr>
                <w:sz w:val="18"/>
              </w:rPr>
              <w:t>Basic Fees</w:t>
            </w:r>
          </w:p>
        </w:tc>
        <w:tc>
          <w:tcPr>
            <w:tcW w:type="dxa" w:w="2880"/>
          </w:tcPr>
          <w:p>
            <w:pPr/>
            <w:r>
              <w:rPr>
                <w:sz w:val="18"/>
              </w:rPr>
              <w:t>Fixed annual/monthly amount per trading participant</w:t>
            </w:r>
          </w:p>
        </w:tc>
        <w:tc>
          <w:tcPr>
            <w:tcW w:type="dxa" w:w="2880"/>
          </w:tcPr>
          <w:p>
            <w:pPr/>
            <w:r>
              <w:rPr>
                <w:sz w:val="18"/>
              </w:rPr>
              <w:t>Varies by participant category; specific amounts in JPX fee schedule</w:t>
            </w:r>
          </w:p>
        </w:tc>
      </w:tr>
      <w:tr>
        <w:tc>
          <w:tcPr>
            <w:tcW w:type="dxa" w:w="2880"/>
          </w:tcPr>
          <w:p>
            <w:pPr/>
            <w:r>
              <w:rPr>
                <w:sz w:val="18"/>
              </w:rPr>
              <w:t>Trading Fees</w:t>
            </w:r>
          </w:p>
        </w:tc>
        <w:tc>
          <w:tcPr>
            <w:tcW w:type="dxa" w:w="2880"/>
          </w:tcPr>
          <w:p>
            <w:pPr/>
            <w:r>
              <w:rPr>
                <w:sz w:val="18"/>
              </w:rPr>
              <w:t>Variable, based on trading value (volume)</w:t>
            </w:r>
          </w:p>
        </w:tc>
        <w:tc>
          <w:tcPr>
            <w:tcW w:type="dxa" w:w="2880"/>
          </w:tcPr>
          <w:p>
            <w:pPr/>
            <w:r>
              <w:rPr>
                <w:sz w:val="18"/>
              </w:rPr>
              <w:t>Calculated as a function of trading value; tiered structure. Specific basis-point rates available in JPX's official fee schedule PDF</w:t>
            </w:r>
          </w:p>
        </w:tc>
      </w:tr>
      <w:tr>
        <w:tc>
          <w:tcPr>
            <w:tcW w:type="dxa" w:w="2880"/>
          </w:tcPr>
          <w:p>
            <w:pPr/>
            <w:r>
              <w:rPr>
                <w:sz w:val="18"/>
              </w:rPr>
              <w:t>Access Fees</w:t>
            </w:r>
          </w:p>
        </w:tc>
        <w:tc>
          <w:tcPr>
            <w:tcW w:type="dxa" w:w="2880"/>
          </w:tcPr>
          <w:p>
            <w:pPr/>
            <w:r>
              <w:rPr>
                <w:sz w:val="18"/>
              </w:rPr>
              <w:t>Variable, based on number of orders placed</w:t>
            </w:r>
          </w:p>
        </w:tc>
        <w:tc>
          <w:tcPr>
            <w:tcW w:type="dxa" w:w="2880"/>
          </w:tcPr>
          <w:p>
            <w:pPr/>
            <w:r>
              <w:rPr>
                <w:sz w:val="18"/>
              </w:rPr>
              <w:t>Per-order charges; tiered by monthly order count</w:t>
            </w:r>
          </w:p>
        </w:tc>
      </w:tr>
      <w:tr>
        <w:tc>
          <w:tcPr>
            <w:tcW w:type="dxa" w:w="2880"/>
          </w:tcPr>
          <w:p>
            <w:pPr/>
            <w:r>
              <w:rPr>
                <w:sz w:val="18"/>
              </w:rPr>
              <w:t>Trading System Facility Usage Fees</w:t>
            </w:r>
          </w:p>
        </w:tc>
        <w:tc>
          <w:tcPr>
            <w:tcW w:type="dxa" w:w="2880"/>
          </w:tcPr>
          <w:p>
            <w:pPr/>
            <w:r>
              <w:rPr>
                <w:sz w:val="18"/>
              </w:rPr>
              <w:t>Based on number of servers/terminals used</w:t>
            </w:r>
          </w:p>
        </w:tc>
        <w:tc>
          <w:tcPr>
            <w:tcW w:type="dxa" w:w="2880"/>
          </w:tcPr>
          <w:p>
            <w:pPr/>
            <w:r>
              <w:rPr>
                <w:sz w:val="18"/>
              </w:rPr>
              <w:t>Per-server/terminal charge for arrowhead access</w:t>
            </w:r>
          </w:p>
        </w:tc>
      </w:tr>
    </w:tbl>
    <w:p/>
    <w:p>
      <w:r>
        <w:t>Note: JPX does not publicly display specific fee rates on its website in easily accessible format. Detailed fee schedules are available in PDF documents on the JPX website and are updated periodically (most recent: January 5, 2026). Trading participants should reference the official "Overview of Trading Participant Fees" document.</w:t>
      </w:r>
    </w:p>
    <w:p>
      <w:r>
        <w:t>[Source: JPX, "Trading Participation Fees", accessed 2026-04-06]</w:t>
      </w:r>
    </w:p>
    <w:p>
      <w:pPr>
        <w:pStyle w:val="Heading3"/>
      </w:pPr>
      <w:r>
        <w:t>10.2 Other Fees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Fee Type</w:t>
            </w:r>
          </w:p>
        </w:tc>
        <w:tc>
          <w:tcPr>
            <w:tcW w:type="dxa" w:w="4320"/>
          </w:tcPr>
          <w:p>
            <w:pPr/>
            <w:r>
              <w:rPr>
                <w:b/>
                <w:sz w:val="18"/>
              </w:rPr>
              <w:t>Description</w:t>
            </w:r>
          </w:p>
        </w:tc>
      </w:tr>
      <w:tr>
        <w:tc>
          <w:tcPr>
            <w:tcW w:type="dxa" w:w="4320"/>
          </w:tcPr>
          <w:p>
            <w:pPr/>
            <w:r>
              <w:rPr>
                <w:sz w:val="18"/>
              </w:rPr>
              <w:t>Initial Listing Fee</w:t>
            </w:r>
          </w:p>
        </w:tc>
        <w:tc>
          <w:tcPr>
            <w:tcW w:type="dxa" w:w="4320"/>
          </w:tcPr>
          <w:p>
            <w:pPr/>
            <w:r>
              <w:rPr>
                <w:sz w:val="18"/>
              </w:rPr>
              <w:t>One-time fee for IPO/new listing; varies by market segment and company size</w:t>
            </w:r>
          </w:p>
        </w:tc>
      </w:tr>
      <w:tr>
        <w:tc>
          <w:tcPr>
            <w:tcW w:type="dxa" w:w="4320"/>
          </w:tcPr>
          <w:p>
            <w:pPr/>
            <w:r>
              <w:rPr>
                <w:sz w:val="18"/>
              </w:rPr>
              <w:t>Annual Listing Fee</w:t>
            </w:r>
          </w:p>
        </w:tc>
        <w:tc>
          <w:tcPr>
            <w:tcW w:type="dxa" w:w="4320"/>
          </w:tcPr>
          <w:p>
            <w:pPr/>
            <w:r>
              <w:rPr>
                <w:sz w:val="18"/>
              </w:rPr>
              <w:t>Annual maintenance fee based on market capitalization</w:t>
            </w:r>
          </w:p>
        </w:tc>
      </w:tr>
      <w:tr>
        <w:tc>
          <w:tcPr>
            <w:tcW w:type="dxa" w:w="4320"/>
          </w:tcPr>
          <w:p>
            <w:pPr/>
            <w:r>
              <w:rPr>
                <w:sz w:val="18"/>
              </w:rPr>
              <w:t>Market Data Fees</w:t>
            </w:r>
          </w:p>
        </w:tc>
        <w:tc>
          <w:tcPr>
            <w:tcW w:type="dxa" w:w="4320"/>
          </w:tcPr>
          <w:p>
            <w:pPr/>
            <w:r>
              <w:rPr>
                <w:sz w:val="18"/>
              </w:rPr>
              <w:t>FLEX Standard, FLEX MBO subscription fees; IPLA (Information Provision and License Agreement) required for redistribution</w:t>
            </w:r>
          </w:p>
        </w:tc>
      </w:tr>
      <w:tr>
        <w:tc>
          <w:tcPr>
            <w:tcW w:type="dxa" w:w="4320"/>
          </w:tcPr>
          <w:p>
            <w:pPr/>
            <w:r>
              <w:rPr>
                <w:sz w:val="18"/>
              </w:rPr>
              <w:t>Co-location Fees</w:t>
            </w:r>
          </w:p>
        </w:tc>
        <w:tc>
          <w:tcPr>
            <w:tcW w:type="dxa" w:w="4320"/>
          </w:tcPr>
          <w:p>
            <w:pPr/>
            <w:r>
              <w:rPr>
                <w:sz w:val="18"/>
              </w:rPr>
              <w:t>Rack space rental at JPX Primary Site; connectivity charges</w:t>
            </w:r>
          </w:p>
        </w:tc>
      </w:tr>
      <w:tr>
        <w:tc>
          <w:tcPr>
            <w:tcW w:type="dxa" w:w="4320"/>
          </w:tcPr>
          <w:p>
            <w:pPr/>
            <w:r>
              <w:rPr>
                <w:sz w:val="18"/>
              </w:rPr>
              <w:t>arrownet Connection Fees</w:t>
            </w:r>
          </w:p>
        </w:tc>
        <w:tc>
          <w:tcPr>
            <w:tcW w:type="dxa" w:w="4320"/>
          </w:tcPr>
          <w:p>
            <w:pPr/>
            <w:r>
              <w:rPr>
                <w:sz w:val="18"/>
              </w:rPr>
              <w:t>Network bandwidth charges based on selected line speed (512 kbps to 10 Gbps)</w:t>
            </w:r>
          </w:p>
        </w:tc>
      </w:tr>
    </w:tbl>
    <w:p/>
    <w:p>
      <w:r>
        <w:t>Revenue Breakdown (JPX Group):</w:t>
      </w:r>
    </w:p>
    <w:p>
      <w:pPr>
        <w:pStyle w:val="ListBullet"/>
      </w:pPr>
      <w:r>
        <w:t>Trailing 12-month revenue: ~USD 1.15 billion (as of September 2025)</w:t>
      </w:r>
    </w:p>
    <w:p>
      <w:pPr>
        <w:pStyle w:val="ListBullet"/>
      </w:pPr>
      <w:r>
        <w:t>Revenue sources: Trading services, clearing services, listing services, market data/information services, and technology/system services</w:t>
      </w:r>
    </w:p>
    <w:p>
      <w:r>
        <w:t>────────────────────────────────────────────────────────────</w:t>
      </w:r>
    </w:p>
    <w:p>
      <w:pPr>
        <w:pStyle w:val="Heading2"/>
      </w:pPr>
      <w:r>
        <w:t>11. Recent Developments</w:t>
      </w:r>
    </w:p>
    <w:p>
      <w:pPr>
        <w:pStyle w:val="Heading3"/>
      </w:pPr>
      <w:r>
        <w:t>System Upgrades (Last 5 Years)</w:t>
      </w:r>
    </w:p>
    <w:p>
      <w:pPr>
        <w:pStyle w:val="ListBullet"/>
      </w:pPr>
      <w:r>
        <w:t>2024 (November 5): arrowhead 4.0 launched — fourth-generation system with trading hours extension (close moved from 15:00 to 15:30), 5-minute closing auction session, Market by Order (MBO) data, mass cancellation functionality, and enhanced kill switch</w:t>
      </w:r>
    </w:p>
    <w:p>
      <w:pPr>
        <w:pStyle w:val="ListBullet"/>
      </w:pPr>
      <w:r>
        <w:t>2024 (January): Layer 1 Switch technology deployed providing L1 Multicast Line for fairer, ultra-low-latency market data distribution</w:t>
      </w:r>
    </w:p>
    <w:p>
      <w:pPr>
        <w:pStyle w:val="ListBullet"/>
      </w:pPr>
      <w:r>
        <w:t>2025 (November): Cloud technology proof of concept conducted with AWS Outposts and Fujitsu, testing arrowhead performance on cloud infrastructure for potential future migration</w:t>
      </w:r>
    </w:p>
    <w:p>
      <w:pPr>
        <w:pStyle w:val="ListBullet"/>
      </w:pPr>
      <w:r>
        <w:t>2025: AWS arrownet connectivity service launched, enabling participants to access JPX's arrownet through AWS cloud infrastructure</w:t>
      </w:r>
    </w:p>
    <w:p>
      <w:pPr>
        <w:pStyle w:val="ListBullet"/>
      </w:pPr>
      <w:r>
        <w:t>2020 (October 1): Full-day trading halt due to arrowhead hardware failure (memory device malfunction with failed automatic failover). Worst outage since electronic trading began. Led to TSE CEO resignation and comprehensive BCP overhaul.</w:t>
      </w:r>
    </w:p>
    <w:p>
      <w:pPr>
        <w:pStyle w:val="Heading3"/>
      </w:pPr>
      <w:r>
        <w:t>New Products / Segments</w:t>
      </w:r>
    </w:p>
    <w:p>
      <w:pPr>
        <w:pStyle w:val="ListBullet"/>
      </w:pPr>
      <w:r>
        <w:t>Closing Auction Session (2024): New 5-minute pre-closing period (15:25-15:30) followed by Itayose, improving closing price formation quality</w:t>
      </w:r>
    </w:p>
    <w:p>
      <w:pPr>
        <w:pStyle w:val="ListBullet"/>
      </w:pPr>
      <w:r>
        <w:t>CONNEQTOR RFQ Platform: Request-for-quote platform for institutional ETF trading, enhancing ETF liquidity ecosystem</w:t>
      </w:r>
    </w:p>
    <w:p>
      <w:pPr>
        <w:pStyle w:val="ListBullet"/>
      </w:pPr>
      <w:r>
        <w:t>ETF Market Making Scheme v2.0: Enhanced incentive program for developing ETFs across diverse asset classes</w:t>
      </w:r>
    </w:p>
    <w:p>
      <w:pPr>
        <w:pStyle w:val="ListBullet"/>
      </w:pPr>
      <w:r>
        <w:t>arrowhead Alternative Data Service: New data products providing system-level order flow statistics for quantitative research</w:t>
      </w:r>
    </w:p>
    <w:p>
      <w:pPr>
        <w:pStyle w:val="ListBullet"/>
      </w:pPr>
      <w:r>
        <w:t>JPX Startup100 ETF (2026): New index product targeting startup ecosystem</w:t>
      </w:r>
    </w:p>
    <w:p>
      <w:pPr>
        <w:pStyle w:val="Heading3"/>
      </w:pPr>
      <w:r>
        <w:t>Regulatory Changes</w:t>
      </w:r>
    </w:p>
    <w:p>
      <w:pPr>
        <w:pStyle w:val="ListBullet"/>
      </w:pPr>
      <w:r>
        <w:t>PBR/Corporate Value Initiative (2023-ongoing): TSE requested all Prime and Standard Market companies to disclose action plans for improving cost of capital and stock price consciousness. Over 90% of Prime Market companies have disclosed plans as of March 2025. This has been a major catalyst for corporate governance reform and increased shareholder returns.</w:t>
      </w:r>
    </w:p>
    <w:p>
      <w:pPr>
        <w:pStyle w:val="ListBullet"/>
      </w:pPr>
      <w:r>
        <w:t>Growth Market Criteria Tightening (December 2025): Continued listing criteria revised — market cap threshold raised to JPY 10 billion after 5 years of listing (previously JPY 4 billion after 10 years). Designed to ensure Growth Market companies are genuinely pursuing high growth.</w:t>
      </w:r>
    </w:p>
    <w:p>
      <w:pPr>
        <w:pStyle w:val="ListBullet"/>
      </w:pPr>
      <w:r>
        <w:t>Transitional Measures Expiration (March 2025): Transitional measures for continued listing criteria from the 2022 market restructuring ended, requiring all companies to fully meet new segment criteria.</w:t>
      </w:r>
    </w:p>
    <w:p>
      <w:pPr>
        <w:pStyle w:val="ListBullet"/>
      </w:pPr>
      <w:r>
        <w:t>Corporate Governance Code Revision (2025-2026): Expert panel convened for third revision of the Corporate Governance Code, focusing on enhanced sustainability and board effectiveness requirements.</w:t>
      </w:r>
    </w:p>
    <w:p>
      <w:pPr>
        <w:pStyle w:val="ListBullet"/>
      </w:pPr>
      <w:r>
        <w:t>English Disclosure Promotion: Ongoing initiative to expand English-language corporate disclosures to improve foreign investor access.</w:t>
      </w:r>
    </w:p>
    <w:p>
      <w:pPr>
        <w:pStyle w:val="Heading3"/>
      </w:pPr>
      <w:r>
        <w:t>Strategic Initiatives</w:t>
      </w:r>
    </w:p>
    <w:p>
      <w:pPr>
        <w:pStyle w:val="ListBullet"/>
      </w:pPr>
      <w:r>
        <w:t>Cloud Migration Exploration: JPX is actively evaluating cloud technology (AWS) for potential future migration of core trading systems, representing a strategic shift in exchange technology architecture</w:t>
      </w:r>
    </w:p>
    <w:p>
      <w:pPr>
        <w:pStyle w:val="ListBullet"/>
      </w:pPr>
      <w:r>
        <w:t>Data Business Expansion: JPX Market Innovation &amp; Research (JPXI) expanding data distribution partnerships, alternative data products, and index co-branding</w:t>
      </w:r>
    </w:p>
    <w:p>
      <w:pPr>
        <w:pStyle w:val="ListBullet"/>
      </w:pPr>
      <w:r>
        <w:t>Derivatives Growth: Focus on expanding derivative product range including commodity electrification contracts (2024-2026)</w:t>
      </w:r>
    </w:p>
    <w:p>
      <w:pPr>
        <w:pStyle w:val="ListBullet"/>
      </w:pPr>
      <w:r>
        <w:t>Digital Assets: Medium-term roadmap (2026-2028) includes digital assets infrastructure development, subject to regulatory framework</w:t>
      </w:r>
    </w:p>
    <w:p>
      <w:pPr>
        <w:pStyle w:val="ListBullet"/>
      </w:pPr>
      <w:r>
        <w:t>ESG Instruments: New ESG-focused indices and investment products in development</w:t>
      </w:r>
    </w:p>
    <w:p>
      <w:pPr>
        <w:pStyle w:val="ListBullet"/>
      </w:pPr>
      <w:r>
        <w:t>International Partnerships: Expanding cross-border connectivity (Singapore, Chicago), exploring CCP interoperability and cross-margining efficiencies</w:t>
      </w:r>
    </w:p>
    <w:p>
      <w:pPr>
        <w:pStyle w:val="ListBullet"/>
      </w:pPr>
      <w:r>
        <w:t>GenAI Applications: Using Amazon Bedrock for enhanced disclosure document searchability and automated tagging</w:t>
      </w:r>
    </w:p>
    <w:p>
      <w:r>
        <w:t>────────────────────────────────────────────────────────────</w:t>
      </w:r>
    </w:p>
    <w:p>
      <w:pPr>
        <w:pStyle w:val="Heading2"/>
      </w:pPr>
      <w:r>
        <w:t>Sources</w:t>
      </w:r>
    </w:p>
    <w:p>
      <w:pPr>
        <w:pStyle w:val="ListBullet"/>
      </w:pPr>
      <w:r>
        <w:t>[Source: JPX Official Website, "Japan Exchange Group — Top Page", https://www.jpx.co.jp/english/, accessed 2026-04-06]</w:t>
      </w:r>
    </w:p>
    <w:p>
      <w:pPr>
        <w:pStyle w:val="ListBullet"/>
      </w:pPr>
      <w:r>
        <w:t>[Source: JPX, "Services (arrowhead) — Equities Trading Services", https://www.jpx.co.jp/english/systems/equities-trading/01.html, accessed 2026-04-06]</w:t>
      </w:r>
    </w:p>
    <w:p>
      <w:pPr>
        <w:pStyle w:val="ListBullet"/>
      </w:pPr>
      <w:r>
        <w:t>[Source: JPX, "Trading Hours — Trading Rules of Domestic Stocks", https://www.jpx.co.jp/english/equities/trading/domestic/01.html, accessed 2026-04-06]</w:t>
      </w:r>
    </w:p>
    <w:p>
      <w:pPr>
        <w:pStyle w:val="ListBullet"/>
      </w:pPr>
      <w:r>
        <w:t>[Source: JPX, "Tick Size — Trading Rules of Domestic Stocks", https://www.jpx.co.jp/english/equities/trading/domestic/07.html, accessed 2026-04-06]</w:t>
      </w:r>
    </w:p>
    <w:p>
      <w:pPr>
        <w:pStyle w:val="ListBullet"/>
      </w:pPr>
      <w:r>
        <w:t>[Source: JPX, "Daily Price Limits — Trading Rules of Domestic Stocks", https://www.jpx.co.jp/english/equities/trading/domestic/06.html, accessed 2026-04-06]</w:t>
      </w:r>
    </w:p>
    <w:p>
      <w:pPr>
        <w:pStyle w:val="ListBullet"/>
      </w:pPr>
      <w:r>
        <w:t>[Source: JPX, "Transaction Methods — Trading Rules of Domestic Stocks", https://www.jpx.co.jp/english/equities/trading/domestic/04.html, accessed 2026-04-06]</w:t>
      </w:r>
    </w:p>
    <w:p>
      <w:pPr>
        <w:pStyle w:val="ListBullet"/>
      </w:pPr>
      <w:r>
        <w:t>[Source: JPX, "Initial Listing Criteria (Prime Market)", https://www.jpx.co.jp/english/equities/listing/criteria/listing/index.html, accessed 2026-04-06]</w:t>
      </w:r>
    </w:p>
    <w:p>
      <w:pPr>
        <w:pStyle w:val="ListBullet"/>
      </w:pPr>
      <w:r>
        <w:t>[Source: JPX, "Initial Listing Criteria (Growth Market)", https://www.jpx.co.jp/english/equities/listing/criteria/listing/02.html, accessed 2026-04-06]</w:t>
      </w:r>
    </w:p>
    <w:p>
      <w:pPr>
        <w:pStyle w:val="ListBullet"/>
      </w:pPr>
      <w:r>
        <w:t>[Source: JPX, "Overview of Market Restructuring", https://www.jpx.co.jp/english/equities/improvements/market-structure/01.html, accessed 2026-04-06]</w:t>
      </w:r>
    </w:p>
    <w:p>
      <w:pPr>
        <w:pStyle w:val="ListBullet"/>
      </w:pPr>
      <w:r>
        <w:t>[Source: JPX, "Trading Overview in FY2025 &amp; March 2026", https://www.jpx.co.jp/english/corporate/news/news-releases/0063/20260401-01.html, accessed 2026-04-06]</w:t>
      </w:r>
    </w:p>
    <w:p>
      <w:pPr>
        <w:pStyle w:val="ListBullet"/>
      </w:pPr>
      <w:r>
        <w:t>[Source: JPX, "Market Capitalization Statistics", https://www.jpx.co.jp/english/markets/statistics-equities/misc/02.html, accessed 2026-04-06]</w:t>
      </w:r>
    </w:p>
    <w:p>
      <w:pPr>
        <w:pStyle w:val="ListBullet"/>
      </w:pPr>
      <w:r>
        <w:t>[Source: JPX, "Connectivity Services Overview", https://www.jpx.co.jp/english/systems/connectivity/index.html, accessed 2026-04-06]</w:t>
      </w:r>
    </w:p>
    <w:p>
      <w:pPr>
        <w:pStyle w:val="ListBullet"/>
      </w:pPr>
      <w:r>
        <w:t>[Source: JPX, "Trading Participation Fees", https://www.jpx.co.jp/english/rules-participants/participants/fees/index.html, accessed 2026-04-06]</w:t>
      </w:r>
    </w:p>
    <w:p>
      <w:pPr>
        <w:pStyle w:val="ListBullet"/>
      </w:pPr>
      <w:r>
        <w:t>[Source: JPX, "Overview of Trading Participant / Acquisition of Trading Qualifications", https://www.jpx.co.jp/english/rules-participants/participants/outline/index.html, accessed 2026-04-06]</w:t>
      </w:r>
    </w:p>
    <w:p>
      <w:pPr>
        <w:pStyle w:val="ListBullet"/>
      </w:pPr>
      <w:r>
        <w:t>[Source: JPX, "Remote Trading Participant System", https://www.jpx.co.jp/english/rules-participants/participants/permission/index.html, accessed 2026-04-06]</w:t>
      </w:r>
    </w:p>
    <w:p>
      <w:pPr>
        <w:pStyle w:val="ListBullet"/>
      </w:pPr>
      <w:r>
        <w:t>[Source: JPX, "Market Making Incentive Scheme — ETFs", https://www.jpx.co.jp/english/equities/products/etfs/market-making/, accessed 2026-04-06]</w:t>
      </w:r>
    </w:p>
    <w:p>
      <w:pPr>
        <w:pStyle w:val="ListBullet"/>
      </w:pPr>
      <w:r>
        <w:t>[Source: JPX, "BCP (Business Continuity Plan)", https://www.jpx.co.jp/english/corporate/governance/risk/bcp/index.html, accessed 2026-04-06]</w:t>
      </w:r>
    </w:p>
    <w:p>
      <w:pPr>
        <w:pStyle w:val="ListBullet"/>
      </w:pPr>
      <w:r>
        <w:t>[Source: JPX, "Outline of Self-Regulatory Operations", https://www.jpx.co.jp/english/regulation/outline/about/01.html, accessed 2026-04-06]</w:t>
      </w:r>
    </w:p>
    <w:p>
      <w:pPr>
        <w:pStyle w:val="ListBullet"/>
      </w:pPr>
      <w:r>
        <w:t>[Source: JPX, "Real Time Market Data — Paid Information Services (Equities)", https://www.jpx.co.jp/english/markets/paid-info-equities/realtime/index.html, accessed 2026-04-06]</w:t>
      </w:r>
    </w:p>
    <w:p>
      <w:pPr>
        <w:pStyle w:val="ListBullet"/>
      </w:pPr>
      <w:r>
        <w:t>[Source: JPX, "Go-Live Date for Cash Equity Trading System (arrowhead) Upgrade", https://www.jpx.co.jp/english/corporate/news/news-releases/1030/20241103-01.html, accessed 2026-04-06]</w:t>
      </w:r>
    </w:p>
    <w:p>
      <w:pPr>
        <w:pStyle w:val="ListBullet"/>
      </w:pPr>
      <w:r>
        <w:t>[Source: JPX, "Proof of Concept on Cloud Technology for Cash Equity Trading System", https://www.jpx.co.jp/english/corporate/news/news-releases/0060/20251127-01.html, accessed 2026-04-06]</w:t>
      </w:r>
    </w:p>
    <w:p>
      <w:pPr>
        <w:pStyle w:val="ListBullet"/>
      </w:pPr>
      <w:r>
        <w:t>[Source: JPX, "Standardization of Trading Units", https://www.jpx.co.jp/english/equities/improvements/unit/index.html, accessed 2026-04-06]</w:t>
      </w:r>
    </w:p>
    <w:p>
      <w:pPr>
        <w:pStyle w:val="ListBullet"/>
      </w:pPr>
      <w:r>
        <w:t>[Source: JPX, "Final Decision for Extension of Trading Hours and Introduction of Closing Auction", https://www.jpx.co.jp/english/news/1030/20230920-01.html, accessed 2026-04-06]</w:t>
      </w:r>
    </w:p>
    <w:p>
      <w:pPr>
        <w:pStyle w:val="ListBullet"/>
      </w:pPr>
      <w:r>
        <w:t>[Source: CEIC Data, "Japan TSE Market Capitalization", https://www.ceicdata.com/en/indicator/japan/market-capitalization, accessed 2026-04-06]</w:t>
      </w:r>
    </w:p>
    <w:p>
      <w:pPr>
        <w:pStyle w:val="ListBullet"/>
      </w:pPr>
      <w:r>
        <w:t>[Source: Wikipedia, "Japan Exchange Group", https://en.wikipedia.org/wiki/Japan_Exchange_Group, accessed 2026-04-06]</w:t>
      </w:r>
    </w:p>
    <w:p>
      <w:pPr>
        <w:pStyle w:val="ListBullet"/>
      </w:pPr>
      <w:r>
        <w:t>[Source: Wikipedia, "Tokyo Stock Exchange", https://en.wikipedia.org/wiki/Tokyo_Stock_Exchange, accessed 2026-04-06]</w:t>
      </w:r>
    </w:p>
    <w:p>
      <w:pPr>
        <w:pStyle w:val="ListBullet"/>
      </w:pPr>
      <w:r>
        <w:t>[Source: Chambers and Partners, "Financial Services Regulation 2025 — Japan", https://practiceguides.chambers.com/practice-guides/financial-services-regulation-2025/japan/trends-and-developments, accessed 2026-04-06]</w:t>
      </w:r>
    </w:p>
    <w:p>
      <w:pPr>
        <w:pStyle w:val="ListBullet"/>
      </w:pPr>
      <w:r>
        <w:t>[Source: Harvard Law School Forum on Corporate Governance, "Tokyo Stock Exchange Initiative on Cost of Capital and Stock Price Conscious Management", https://corpgov.law.harvard.edu/2025/10/21/tokyo-stock-exchange-initiative-on-cost-of-capital-and-stock-price-conscious-management/, accessed 2026-04-06]</w:t>
      </w:r>
    </w:p>
    <w:p>
      <w:pPr>
        <w:pStyle w:val="ListBullet"/>
      </w:pPr>
      <w:r>
        <w:t>[Source: Interactive Brokers, "Tokyo Stock Exchange Exchange and Regulatory Fees", https://www.interactivebrokers.com/en/accounts/fees/TSE_JPN.php, accessed 2026-04-06]</w:t>
      </w:r>
    </w:p>
    <w:p>
      <w:pPr>
        <w:pStyle w:val="ListBullet"/>
      </w:pPr>
      <w:r>
        <w:t>[Source: Trading Technologies, "JPX Supported Order Types", https://library.tradingtechnologies.com/user-setup/jpx-supported-order-types.html, accessed 2026-04-06]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