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London Stock Exchange (LSE)</w:t>
      </w:r>
    </w:p>
    <w:p>
      <w:r>
        <w:rPr>
          <w:i/>
          <w:sz w:val="18"/>
        </w:rPr>
        <w:t>**Last Updated:** 2026-04-03</w:t>
      </w:r>
    </w:p>
    <w:p>
      <w:r>
        <w:rPr>
          <w:i/>
          <w:sz w:val="18"/>
        </w:rPr>
        <w:t>**Research Tier:** Tier 1</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London Stock Exchange</w:t>
            </w:r>
          </w:p>
        </w:tc>
      </w:tr>
      <w:tr>
        <w:tc>
          <w:tcPr>
            <w:tcW w:type="dxa" w:w="4320"/>
          </w:tcPr>
          <w:p>
            <w:pPr/>
            <w:r>
              <w:rPr>
                <w:sz w:val="18"/>
              </w:rPr>
              <w:t>Abbreviation</w:t>
            </w:r>
          </w:p>
        </w:tc>
        <w:tc>
          <w:tcPr>
            <w:tcW w:type="dxa" w:w="4320"/>
          </w:tcPr>
          <w:p>
            <w:pPr/>
            <w:r>
              <w:rPr>
                <w:sz w:val="18"/>
              </w:rPr>
              <w:t>LSE</w:t>
            </w:r>
          </w:p>
        </w:tc>
      </w:tr>
      <w:tr>
        <w:tc>
          <w:tcPr>
            <w:tcW w:type="dxa" w:w="4320"/>
          </w:tcPr>
          <w:p>
            <w:pPr/>
            <w:r>
              <w:rPr>
                <w:sz w:val="18"/>
              </w:rPr>
              <w:t>Website</w:t>
            </w:r>
          </w:p>
        </w:tc>
        <w:tc>
          <w:tcPr>
            <w:tcW w:type="dxa" w:w="4320"/>
          </w:tcPr>
          <w:p>
            <w:pPr/>
            <w:r>
              <w:rPr>
                <w:sz w:val="18"/>
              </w:rPr>
              <w:t>https://www.londonstockexchange.com</w:t>
            </w:r>
          </w:p>
        </w:tc>
      </w:tr>
      <w:tr>
        <w:tc>
          <w:tcPr>
            <w:tcW w:type="dxa" w:w="4320"/>
          </w:tcPr>
          <w:p>
            <w:pPr/>
            <w:r>
              <w:rPr>
                <w:sz w:val="18"/>
              </w:rPr>
              <w:t>Year Established</w:t>
            </w:r>
          </w:p>
        </w:tc>
        <w:tc>
          <w:tcPr>
            <w:tcW w:type="dxa" w:w="4320"/>
          </w:tcPr>
          <w:p>
            <w:pPr/>
            <w:r>
              <w:rPr>
                <w:sz w:val="18"/>
              </w:rPr>
              <w:t>1801 (origins trace to coffee house trading in the 1690s)</w:t>
            </w:r>
          </w:p>
        </w:tc>
      </w:tr>
      <w:tr>
        <w:tc>
          <w:tcPr>
            <w:tcW w:type="dxa" w:w="4320"/>
          </w:tcPr>
          <w:p>
            <w:pPr/>
            <w:r>
              <w:rPr>
                <w:sz w:val="18"/>
              </w:rPr>
              <w:t>Country / City</w:t>
            </w:r>
          </w:p>
        </w:tc>
        <w:tc>
          <w:tcPr>
            <w:tcW w:type="dxa" w:w="4320"/>
          </w:tcPr>
          <w:p>
            <w:pPr/>
            <w:r>
              <w:rPr>
                <w:sz w:val="18"/>
              </w:rPr>
              <w:t>United Kingdom / London (Paternoster Square, City of London)</w:t>
            </w:r>
          </w:p>
        </w:tc>
      </w:tr>
      <w:tr>
        <w:tc>
          <w:tcPr>
            <w:tcW w:type="dxa" w:w="4320"/>
          </w:tcPr>
          <w:p>
            <w:pPr/>
            <w:r>
              <w:rPr>
                <w:sz w:val="18"/>
              </w:rPr>
              <w:t>Ownership Structure</w:t>
            </w:r>
          </w:p>
        </w:tc>
        <w:tc>
          <w:tcPr>
            <w:tcW w:type="dxa" w:w="4320"/>
          </w:tcPr>
          <w:p>
            <w:pPr/>
            <w:r>
              <w:rPr>
                <w:sz w:val="18"/>
              </w:rPr>
              <w:t>Publicly listed subsidiary of LSEG (ticker: LSEG on LSE)</w:t>
            </w:r>
          </w:p>
        </w:tc>
      </w:tr>
      <w:tr>
        <w:tc>
          <w:tcPr>
            <w:tcW w:type="dxa" w:w="4320"/>
          </w:tcPr>
          <w:p>
            <w:pPr/>
            <w:r>
              <w:rPr>
                <w:sz w:val="18"/>
              </w:rPr>
              <w:t>Parent Company / Group</w:t>
            </w:r>
          </w:p>
        </w:tc>
        <w:tc>
          <w:tcPr>
            <w:tcW w:type="dxa" w:w="4320"/>
          </w:tcPr>
          <w:p>
            <w:pPr/>
            <w:r>
              <w:rPr>
                <w:sz w:val="18"/>
              </w:rPr>
              <w:t>London Stock Exchange Group plc (LSEG)</w:t>
            </w:r>
          </w:p>
        </w:tc>
      </w:tr>
      <w:tr>
        <w:tc>
          <w:tcPr>
            <w:tcW w:type="dxa" w:w="4320"/>
          </w:tcPr>
          <w:p>
            <w:pPr/>
            <w:r>
              <w:rPr>
                <w:sz w:val="18"/>
              </w:rPr>
              <w:t>Regulatory Authority</w:t>
            </w:r>
          </w:p>
        </w:tc>
        <w:tc>
          <w:tcPr>
            <w:tcW w:type="dxa" w:w="4320"/>
          </w:tcPr>
          <w:p>
            <w:pPr/>
            <w:r>
              <w:rPr>
                <w:sz w:val="18"/>
              </w:rPr>
              <w:t>Financial Conduct Authority (FCA)</w:t>
            </w:r>
          </w:p>
        </w:tc>
      </w:tr>
      <w:tr>
        <w:tc>
          <w:tcPr>
            <w:tcW w:type="dxa" w:w="4320"/>
          </w:tcPr>
          <w:p>
            <w:pPr/>
            <w:r>
              <w:rPr>
                <w:sz w:val="18"/>
              </w:rPr>
              <w:t>Market Capitalization (listed companies)</w:t>
            </w:r>
          </w:p>
        </w:tc>
        <w:tc>
          <w:tcPr>
            <w:tcW w:type="dxa" w:w="4320"/>
          </w:tcPr>
          <w:p>
            <w:pPr/>
            <w:r>
              <w:rPr>
                <w:sz w:val="18"/>
              </w:rPr>
              <w:t>~GBP 4.5 trillion / ~USD 5.9 trillion (as of mid-2025) [estimated]</w:t>
            </w:r>
          </w:p>
        </w:tc>
      </w:tr>
      <w:tr>
        <w:tc>
          <w:tcPr>
            <w:tcW w:type="dxa" w:w="4320"/>
          </w:tcPr>
          <w:p>
            <w:pPr/>
            <w:r>
              <w:rPr>
                <w:sz w:val="18"/>
              </w:rPr>
              <w:t>Total Listed Instruments</w:t>
            </w:r>
          </w:p>
        </w:tc>
        <w:tc>
          <w:tcPr>
            <w:tcW w:type="dxa" w:w="4320"/>
          </w:tcPr>
          <w:p>
            <w:pPr/>
            <w:r>
              <w:rPr>
                <w:sz w:val="18"/>
              </w:rPr>
              <w:t>~1,900+ companies from 60+ countries (~1,025 Main Market, ~680 AIM, plus IOB and other segments)</w:t>
            </w:r>
          </w:p>
        </w:tc>
      </w:tr>
      <w:tr>
        <w:tc>
          <w:tcPr>
            <w:tcW w:type="dxa" w:w="4320"/>
          </w:tcPr>
          <w:p>
            <w:pPr/>
            <w:r>
              <w:rPr>
                <w:sz w:val="18"/>
              </w:rPr>
              <w:t>Average Daily Trading Volume</w:t>
            </w:r>
          </w:p>
        </w:tc>
        <w:tc>
          <w:tcPr>
            <w:tcW w:type="dxa" w:w="4320"/>
          </w:tcPr>
          <w:p>
            <w:pPr/>
            <w:r>
              <w:rPr>
                <w:sz w:val="18"/>
              </w:rPr>
              <w:t>~500,000 to 2,000,000 trades per day across order books [estimated]</w:t>
            </w:r>
          </w:p>
        </w:tc>
      </w:tr>
      <w:tr>
        <w:tc>
          <w:tcPr>
            <w:tcW w:type="dxa" w:w="4320"/>
          </w:tcPr>
          <w:p>
            <w:pPr/>
            <w:r>
              <w:rPr>
                <w:sz w:val="18"/>
              </w:rPr>
              <w:t>Average Daily Trading Value</w:t>
            </w:r>
          </w:p>
        </w:tc>
        <w:tc>
          <w:tcPr>
            <w:tcW w:type="dxa" w:w="4320"/>
          </w:tcPr>
          <w:p>
            <w:pPr/>
            <w:r>
              <w:rPr>
                <w:sz w:val="18"/>
              </w:rPr>
              <w:t>~GBP 4.0-4.5 billion across all segments (FTSE 100 YTD 2025: GBP 3,365M/day; FTSE 250: GBP 459M/day)</w:t>
            </w:r>
          </w:p>
        </w:tc>
      </w:tr>
    </w:tbl>
    <w:p/>
    <w:p>
      <w:pPr>
        <w:pStyle w:val="Heading3"/>
      </w:pPr>
      <w:r>
        <w:t>Key Historical Milestones</w:t>
      </w:r>
    </w:p>
    <w:p>
      <w:pPr>
        <w:pStyle w:val="ListBullet"/>
      </w:pPr>
      <w:r>
        <w:t>1698: John Castaing begins publishing stock and commodity prices at Jonathan's Coffee House in Change Alley</w:t>
      </w:r>
    </w:p>
    <w:p>
      <w:pPr>
        <w:pStyle w:val="ListBullet"/>
      </w:pPr>
      <w:r>
        <w:t>1801: London Stock Exchange formally established with regulated membership</w:t>
      </w:r>
    </w:p>
    <w:p>
      <w:pPr>
        <w:pStyle w:val="ListBullet"/>
      </w:pPr>
      <w:r>
        <w:t>1812: First codified rule book published</w:t>
      </w:r>
    </w:p>
    <w:p>
      <w:pPr>
        <w:pStyle w:val="ListBullet"/>
      </w:pPr>
      <w:r>
        <w:t>1973: Merger of regional UK exchanges into a unified Stock Exchange of Great Britain and Ireland; first female members admitted</w:t>
      </w:r>
    </w:p>
    <w:p>
      <w:pPr>
        <w:pStyle w:val="ListBullet"/>
      </w:pPr>
      <w:r>
        <w:t>1986: Big Bang deregulation -- abolished fixed commissions, ended broker-jobber separation, shifted from open-outcry to electronic trading via SEAQ</w:t>
      </w:r>
    </w:p>
    <w:p>
      <w:pPr>
        <w:pStyle w:val="ListBullet"/>
      </w:pPr>
      <w:r>
        <w:t>1997: SETS (Stock Exchange Electronic Trading Service) launched as flagship electronic order book</w:t>
      </w:r>
    </w:p>
    <w:p>
      <w:pPr>
        <w:pStyle w:val="ListBullet"/>
      </w:pPr>
      <w:r>
        <w:t>2000: LSE demutualised, becoming London Stock Exchange plc</w:t>
      </w:r>
    </w:p>
    <w:p>
      <w:pPr>
        <w:pStyle w:val="ListBullet"/>
      </w:pPr>
      <w:r>
        <w:t>2004: LSE moved to new headquarters at Paternoster Square</w:t>
      </w:r>
    </w:p>
    <w:p>
      <w:pPr>
        <w:pStyle w:val="ListBullet"/>
      </w:pPr>
      <w:r>
        <w:t>2007: Merger with Borsa Italiana for EUR 1.6 billion, forming London Stock Exchange Group (LSEG); SETSqx launched as hybrid trading platform</w:t>
      </w:r>
    </w:p>
    <w:p>
      <w:pPr>
        <w:pStyle w:val="ListBullet"/>
      </w:pPr>
      <w:r>
        <w:t>2009: Acquisition of MillenniumIT (Sri Lanka) for GBP 18 million to develop next-generation trading technology</w:t>
      </w:r>
    </w:p>
    <w:p>
      <w:pPr>
        <w:pStyle w:val="ListBullet"/>
      </w:pPr>
      <w:r>
        <w:t>2011: Millennium Exchange trading platform launched (14 February 2011), replacing TradElect</w:t>
      </w:r>
    </w:p>
    <w:p>
      <w:pPr>
        <w:pStyle w:val="ListBullet"/>
      </w:pPr>
      <w:r>
        <w:t>2012: Acquisition of majority stake in LCH.Clearnet (now LCH), a major clearing house</w:t>
      </w:r>
    </w:p>
    <w:p>
      <w:pPr>
        <w:pStyle w:val="ListBullet"/>
      </w:pPr>
      <w:r>
        <w:t>2014: LSEG acquires Frank Russell Company (Russell Indexes)</w:t>
      </w:r>
    </w:p>
    <w:p>
      <w:pPr>
        <w:pStyle w:val="ListBullet"/>
      </w:pPr>
      <w:r>
        <w:t>2021: Completion of USD 27 billion acquisition of Refinitiv, pivoting LSEG into data and analytics (now ~70% of revenue)</w:t>
      </w:r>
    </w:p>
    <w:p>
      <w:pPr>
        <w:pStyle w:val="ListBullet"/>
      </w:pPr>
      <w:r>
        <w:t>2024: Material enhancements to Workspace platform; first products from Microsoft partnership generally available</w:t>
      </w:r>
    </w:p>
    <w:p>
      <w:pPr>
        <w:pStyle w:val="ListBullet"/>
      </w:pPr>
      <w:r>
        <w:t>2025: LSEG integrates financial data into ChatGPT; GBP 2.1 billion returned to shareholders via buybacks</w:t>
      </w:r>
    </w:p>
    <w:p>
      <w:pPr>
        <w:pStyle w:val="ListBullet"/>
      </w:pPr>
      <w:r>
        <w:t>2026: Launch of LSEG Sustainability Ratings and Data; on-chain settlement initiative (Digital Markets Infrastructure) announced pending regulatory approval</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**Main Market (Premium Listing)**</w:t>
            </w:r>
          </w:p>
        </w:tc>
        <w:tc>
          <w:tcPr>
            <w:tcW w:type="dxa" w:w="2880"/>
          </w:tcPr>
          <w:p>
            <w:pPr/>
            <w:r>
              <w:rPr>
                <w:sz w:val="18"/>
              </w:rPr>
              <w:t>Flagship market for large, established companies; most stringent requirements; eligible for FTSE UK Index Series</w:t>
            </w:r>
          </w:p>
        </w:tc>
        <w:tc>
          <w:tcPr>
            <w:tcW w:type="dxa" w:w="2880"/>
          </w:tcPr>
          <w:p>
            <w:pPr/>
            <w:r>
              <w:rPr>
                <w:sz w:val="18"/>
              </w:rPr>
              <w:t>Minimum 3-year track record, 25% free float, FCA-approved prospectus, comply with UK Corporate Governance Code, sponsor required</w:t>
            </w:r>
          </w:p>
        </w:tc>
      </w:tr>
      <w:tr>
        <w:tc>
          <w:tcPr>
            <w:tcW w:type="dxa" w:w="2880"/>
          </w:tcPr>
          <w:p>
            <w:pPr/>
            <w:r>
              <w:rPr>
                <w:sz w:val="18"/>
              </w:rPr>
              <w:t>**Main Market (Standard Listing)**</w:t>
            </w:r>
          </w:p>
        </w:tc>
        <w:tc>
          <w:tcPr>
            <w:tcW w:type="dxa" w:w="2880"/>
          </w:tcPr>
          <w:p>
            <w:pPr/>
            <w:r>
              <w:rPr>
                <w:sz w:val="18"/>
              </w:rPr>
              <w:t>EU-minimum regulatory requirements for admission</w:t>
            </w:r>
          </w:p>
        </w:tc>
        <w:tc>
          <w:tcPr>
            <w:tcW w:type="dxa" w:w="2880"/>
          </w:tcPr>
          <w:p>
            <w:pPr/>
            <w:r>
              <w:rPr>
                <w:sz w:val="18"/>
              </w:rPr>
              <w:t>Must meet EU Prospectus Directive minimums; less onerous than Premium but still requires FCA-approved prospectus</w:t>
            </w:r>
          </w:p>
        </w:tc>
      </w:tr>
      <w:tr>
        <w:tc>
          <w:tcPr>
            <w:tcW w:type="dxa" w:w="2880"/>
          </w:tcPr>
          <w:p>
            <w:pPr/>
            <w:r>
              <w:rPr>
                <w:sz w:val="18"/>
              </w:rPr>
              <w:t>**AIM (Alternative Investment Market)**</w:t>
            </w:r>
          </w:p>
        </w:tc>
        <w:tc>
          <w:tcPr>
            <w:tcW w:type="dxa" w:w="2880"/>
          </w:tcPr>
          <w:p>
            <w:pPr/>
            <w:r>
              <w:rPr>
                <w:sz w:val="18"/>
              </w:rPr>
              <w:t>International growth market for smaller and emerging companies; classified as MTF under MiFID</w:t>
            </w:r>
          </w:p>
        </w:tc>
        <w:tc>
          <w:tcPr>
            <w:tcW w:type="dxa" w:w="2880"/>
          </w:tcPr>
          <w:p>
            <w:pPr/>
            <w:r>
              <w:rPr>
                <w:sz w:val="18"/>
              </w:rPr>
              <w:t>No minimum market cap, no trading record requirement, no minimum free float; must appoint a Nominated Adviser (Nomad)</w:t>
            </w:r>
          </w:p>
        </w:tc>
      </w:tr>
      <w:tr>
        <w:tc>
          <w:tcPr>
            <w:tcW w:type="dxa" w:w="2880"/>
          </w:tcPr>
          <w:p>
            <w:pPr/>
            <w:r>
              <w:rPr>
                <w:sz w:val="18"/>
              </w:rPr>
              <w:t>**International Order Book (IOB)**</w:t>
            </w:r>
          </w:p>
        </w:tc>
        <w:tc>
          <w:tcPr>
            <w:tcW w:type="dxa" w:w="2880"/>
          </w:tcPr>
          <w:p>
            <w:pPr/>
            <w:r>
              <w:rPr>
                <w:sz w:val="18"/>
              </w:rPr>
              <w:t>Trading of Global Depositary Receipts (GDRs) from emerging markets (India, China, Middle East, etc.)</w:t>
            </w:r>
          </w:p>
        </w:tc>
        <w:tc>
          <w:tcPr>
            <w:tcW w:type="dxa" w:w="2880"/>
          </w:tcPr>
          <w:p>
            <w:pPr/>
            <w:r>
              <w:rPr>
                <w:sz w:val="18"/>
              </w:rPr>
              <w:t>GDR-specific listing requirements; provides international capital access</w:t>
            </w:r>
          </w:p>
        </w:tc>
      </w:tr>
      <w:tr>
        <w:tc>
          <w:tcPr>
            <w:tcW w:type="dxa" w:w="2880"/>
          </w:tcPr>
          <w:p>
            <w:pPr/>
            <w:r>
              <w:rPr>
                <w:sz w:val="18"/>
              </w:rPr>
              <w:t>**Specialist Fund Segment (SFS)**</w:t>
            </w:r>
          </w:p>
        </w:tc>
        <w:tc>
          <w:tcPr>
            <w:tcW w:type="dxa" w:w="2880"/>
          </w:tcPr>
          <w:p>
            <w:pPr/>
            <w:r>
              <w:rPr>
                <w:sz w:val="18"/>
              </w:rPr>
              <w:t>For specialist investment funds targeting institutional/professional investors</w:t>
            </w:r>
          </w:p>
        </w:tc>
        <w:tc>
          <w:tcPr>
            <w:tcW w:type="dxa" w:w="2880"/>
          </w:tcPr>
          <w:p>
            <w:pPr/>
            <w:r>
              <w:rPr>
                <w:sz w:val="18"/>
              </w:rPr>
              <w:t>Aimed at sophisticated investors; lighter regulatory requirements</w:t>
            </w:r>
          </w:p>
        </w:tc>
      </w:tr>
      <w:tr>
        <w:tc>
          <w:tcPr>
            <w:tcW w:type="dxa" w:w="2880"/>
          </w:tcPr>
          <w:p>
            <w:pPr/>
            <w:r>
              <w:rPr>
                <w:sz w:val="18"/>
              </w:rPr>
              <w:t>**High Growth Segment**</w:t>
            </w:r>
          </w:p>
        </w:tc>
        <w:tc>
          <w:tcPr>
            <w:tcW w:type="dxa" w:w="2880"/>
          </w:tcPr>
          <w:p>
            <w:pPr/>
            <w:r>
              <w:rPr>
                <w:sz w:val="18"/>
              </w:rPr>
              <w:t>For high-growth, revenue-stage companies (introduced 2021)</w:t>
            </w:r>
          </w:p>
        </w:tc>
        <w:tc>
          <w:tcPr>
            <w:tcW w:type="dxa" w:w="2880"/>
          </w:tcPr>
          <w:p>
            <w:pPr/>
            <w:r>
              <w:rPr>
                <w:sz w:val="18"/>
              </w:rPr>
              <w:t>Revenue of at least GBP 20M, minimum market cap GBP 30M [unverified]</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(GMT/BST)</w:t>
            </w:r>
          </w:p>
        </w:tc>
        <w:tc>
          <w:tcPr>
            <w:tcW w:type="dxa" w:w="2160"/>
          </w:tcPr>
          <w:p>
            <w:pPr/>
            <w:r>
              <w:rPr>
                <w:b/>
                <w:sz w:val="18"/>
              </w:rPr>
              <w:t>UTC (Winter)</w:t>
            </w:r>
          </w:p>
        </w:tc>
        <w:tc>
          <w:tcPr>
            <w:tcW w:type="dxa" w:w="2160"/>
          </w:tcPr>
          <w:p>
            <w:pPr/>
            <w:r>
              <w:rPr>
                <w:b/>
                <w:sz w:val="18"/>
              </w:rPr>
              <w:t>Description</w:t>
            </w:r>
          </w:p>
        </w:tc>
      </w:tr>
      <w:tr>
        <w:tc>
          <w:tcPr>
            <w:tcW w:type="dxa" w:w="2160"/>
          </w:tcPr>
          <w:p>
            <w:pPr/>
            <w:r>
              <w:rPr>
                <w:sz w:val="18"/>
              </w:rPr>
              <w:t>Pre-trading / Order Entry</w:t>
            </w:r>
          </w:p>
        </w:tc>
        <w:tc>
          <w:tcPr>
            <w:tcW w:type="dxa" w:w="2160"/>
          </w:tcPr>
          <w:p>
            <w:pPr/>
            <w:r>
              <w:rPr>
                <w:sz w:val="18"/>
              </w:rPr>
              <w:t>07:50 - 08:00</w:t>
            </w:r>
          </w:p>
        </w:tc>
        <w:tc>
          <w:tcPr>
            <w:tcW w:type="dxa" w:w="2160"/>
          </w:tcPr>
          <w:p>
            <w:pPr/>
            <w:r>
              <w:rPr>
                <w:sz w:val="18"/>
              </w:rPr>
              <w:t>07:50 - 08:00</w:t>
            </w:r>
          </w:p>
        </w:tc>
        <w:tc>
          <w:tcPr>
            <w:tcW w:type="dxa" w:w="2160"/>
          </w:tcPr>
          <w:p>
            <w:pPr/>
            <w:r>
              <w:rPr>
                <w:sz w:val="18"/>
              </w:rPr>
              <w:t>Orders can be entered, amended, cancelled; no matching</w:t>
            </w:r>
          </w:p>
        </w:tc>
      </w:tr>
      <w:tr>
        <w:tc>
          <w:tcPr>
            <w:tcW w:type="dxa" w:w="2160"/>
          </w:tcPr>
          <w:p>
            <w:pPr/>
            <w:r>
              <w:rPr>
                <w:sz w:val="18"/>
              </w:rPr>
              <w:t>Opening Auction</w:t>
            </w:r>
          </w:p>
        </w:tc>
        <w:tc>
          <w:tcPr>
            <w:tcW w:type="dxa" w:w="2160"/>
          </w:tcPr>
          <w:p>
            <w:pPr/>
            <w:r>
              <w:rPr>
                <w:sz w:val="18"/>
              </w:rPr>
              <w:t>08:00</w:t>
            </w:r>
          </w:p>
        </w:tc>
        <w:tc>
          <w:tcPr>
            <w:tcW w:type="dxa" w:w="2160"/>
          </w:tcPr>
          <w:p>
            <w:pPr/>
            <w:r>
              <w:rPr>
                <w:sz w:val="18"/>
              </w:rPr>
              <w:t>08:00</w:t>
            </w:r>
          </w:p>
        </w:tc>
        <w:tc>
          <w:tcPr>
            <w:tcW w:type="dxa" w:w="2160"/>
          </w:tcPr>
          <w:p>
            <w:pPr/>
            <w:r>
              <w:rPr>
                <w:sz w:val="18"/>
              </w:rPr>
              <w:t>Price determination via call auction uncrossing</w:t>
            </w:r>
          </w:p>
        </w:tc>
      </w:tr>
      <w:tr>
        <w:tc>
          <w:tcPr>
            <w:tcW w:type="dxa" w:w="2160"/>
          </w:tcPr>
          <w:p>
            <w:pPr/>
            <w:r>
              <w:rPr>
                <w:sz w:val="18"/>
              </w:rPr>
              <w:t>Continuous Trading</w:t>
            </w:r>
          </w:p>
        </w:tc>
        <w:tc>
          <w:tcPr>
            <w:tcW w:type="dxa" w:w="2160"/>
          </w:tcPr>
          <w:p>
            <w:pPr/>
            <w:r>
              <w:rPr>
                <w:sz w:val="18"/>
              </w:rPr>
              <w:t>08:00 - 16:30</w:t>
            </w:r>
          </w:p>
        </w:tc>
        <w:tc>
          <w:tcPr>
            <w:tcW w:type="dxa" w:w="2160"/>
          </w:tcPr>
          <w:p>
            <w:pPr/>
            <w:r>
              <w:rPr>
                <w:sz w:val="18"/>
              </w:rPr>
              <w:t>08:00 - 16:30</w:t>
            </w:r>
          </w:p>
        </w:tc>
        <w:tc>
          <w:tcPr>
            <w:tcW w:type="dxa" w:w="2160"/>
          </w:tcPr>
          <w:p>
            <w:pPr/>
            <w:r>
              <w:rPr>
                <w:sz w:val="18"/>
              </w:rPr>
              <w:t>Order-driven continuous matching on SETS</w:t>
            </w:r>
          </w:p>
        </w:tc>
      </w:tr>
      <w:tr>
        <w:tc>
          <w:tcPr>
            <w:tcW w:type="dxa" w:w="2160"/>
          </w:tcPr>
          <w:p>
            <w:pPr/>
            <w:r>
              <w:rPr>
                <w:sz w:val="18"/>
              </w:rPr>
              <w:t>Closing Auction</w:t>
            </w:r>
          </w:p>
        </w:tc>
        <w:tc>
          <w:tcPr>
            <w:tcW w:type="dxa" w:w="2160"/>
          </w:tcPr>
          <w:p>
            <w:pPr/>
            <w:r>
              <w:rPr>
                <w:sz w:val="18"/>
              </w:rPr>
              <w:t>16:30 - 16:35</w:t>
            </w:r>
          </w:p>
        </w:tc>
        <w:tc>
          <w:tcPr>
            <w:tcW w:type="dxa" w:w="2160"/>
          </w:tcPr>
          <w:p>
            <w:pPr/>
            <w:r>
              <w:rPr>
                <w:sz w:val="18"/>
              </w:rPr>
              <w:t>16:30 - 16:35</w:t>
            </w:r>
          </w:p>
        </w:tc>
        <w:tc>
          <w:tcPr>
            <w:tcW w:type="dxa" w:w="2160"/>
          </w:tcPr>
          <w:p>
            <w:pPr/>
            <w:r>
              <w:rPr>
                <w:sz w:val="18"/>
              </w:rPr>
              <w:t>Closing price determination via call auction</w:t>
            </w:r>
          </w:p>
        </w:tc>
      </w:tr>
      <w:tr>
        <w:tc>
          <w:tcPr>
            <w:tcW w:type="dxa" w:w="2160"/>
          </w:tcPr>
          <w:p>
            <w:pPr/>
            <w:r>
              <w:rPr>
                <w:sz w:val="18"/>
              </w:rPr>
              <w:t>Closing Price Crossing</w:t>
            </w:r>
          </w:p>
        </w:tc>
        <w:tc>
          <w:tcPr>
            <w:tcW w:type="dxa" w:w="2160"/>
          </w:tcPr>
          <w:p>
            <w:pPr/>
            <w:r>
              <w:rPr>
                <w:sz w:val="18"/>
              </w:rPr>
              <w:t>16:35 - 16:40</w:t>
            </w:r>
          </w:p>
        </w:tc>
        <w:tc>
          <w:tcPr>
            <w:tcW w:type="dxa" w:w="2160"/>
          </w:tcPr>
          <w:p>
            <w:pPr/>
            <w:r>
              <w:rPr>
                <w:sz w:val="18"/>
              </w:rPr>
              <w:t>16:35 - 16:40</w:t>
            </w:r>
          </w:p>
        </w:tc>
        <w:tc>
          <w:tcPr>
            <w:tcW w:type="dxa" w:w="2160"/>
          </w:tcPr>
          <w:p>
            <w:pPr/>
            <w:r>
              <w:rPr>
                <w:sz w:val="18"/>
              </w:rPr>
              <w:t>Orders can trade at the established closing price only</w:t>
            </w:r>
          </w:p>
        </w:tc>
      </w:tr>
      <w:tr>
        <w:tc>
          <w:tcPr>
            <w:tcW w:type="dxa" w:w="2160"/>
          </w:tcPr>
          <w:p>
            <w:pPr/>
            <w:r>
              <w:rPr>
                <w:sz w:val="18"/>
              </w:rPr>
              <w:t>Post-close (Trade Reporting)</w:t>
            </w:r>
          </w:p>
        </w:tc>
        <w:tc>
          <w:tcPr>
            <w:tcW w:type="dxa" w:w="2160"/>
          </w:tcPr>
          <w:p>
            <w:pPr/>
            <w:r>
              <w:rPr>
                <w:sz w:val="18"/>
              </w:rPr>
              <w:t>16:40 - 17:15</w:t>
            </w:r>
          </w:p>
        </w:tc>
        <w:tc>
          <w:tcPr>
            <w:tcW w:type="dxa" w:w="2160"/>
          </w:tcPr>
          <w:p>
            <w:pPr/>
            <w:r>
              <w:rPr>
                <w:sz w:val="18"/>
              </w:rPr>
              <w:t>16:40 - 17:15</w:t>
            </w:r>
          </w:p>
        </w:tc>
        <w:tc>
          <w:tcPr>
            <w:tcW w:type="dxa" w:w="2160"/>
          </w:tcPr>
          <w:p>
            <w:pPr/>
            <w:r>
              <w:rPr>
                <w:sz w:val="18"/>
              </w:rPr>
              <w:t>Trade reporting window for off-book trades</w:t>
            </w:r>
          </w:p>
        </w:tc>
      </w:tr>
      <w:tr>
        <w:tc>
          <w:tcPr>
            <w:tcW w:type="dxa" w:w="2160"/>
          </w:tcPr>
          <w:p>
            <w:pPr/>
            <w:r>
              <w:rPr>
                <w:sz w:val="18"/>
              </w:rPr>
              <w:t>SETSqx Auctions</w:t>
            </w:r>
          </w:p>
        </w:tc>
        <w:tc>
          <w:tcPr>
            <w:tcW w:type="dxa" w:w="2160"/>
          </w:tcPr>
          <w:p>
            <w:pPr/>
            <w:r>
              <w:rPr>
                <w:sz w:val="18"/>
              </w:rPr>
              <w:t>08:00, 09:00, 11:00, 14:00, 16:35</w:t>
            </w:r>
          </w:p>
        </w:tc>
        <w:tc>
          <w:tcPr>
            <w:tcW w:type="dxa" w:w="2160"/>
          </w:tcPr>
          <w:p>
            <w:pPr/>
            <w:r>
              <w:rPr>
                <w:sz w:val="18"/>
              </w:rPr>
              <w:t>Same</w:t>
            </w:r>
          </w:p>
        </w:tc>
        <w:tc>
          <w:tcPr>
            <w:tcW w:type="dxa" w:w="2160"/>
          </w:tcPr>
          <w:p>
            <w:pPr/>
            <w:r>
              <w:rPr>
                <w:sz w:val="18"/>
              </w:rPr>
              <w:t>Periodic auction uncrossings for SETSqx securities</w:t>
            </w:r>
          </w:p>
        </w:tc>
      </w:tr>
    </w:tbl>
    <w:p/>
    <w:p>
      <w:r>
        <w:t>Note: UK observes BST (UTC+1) from late March to late October. Times shown are GMT.</w:t>
      </w:r>
    </w:p>
    <w:p>
      <w:pPr>
        <w:pStyle w:val="Heading3"/>
      </w:pPr>
      <w:r>
        <w:t>2.3 Tick Sizes</w:t>
      </w:r>
    </w:p>
    <w:p>
      <w:r>
        <w:t>LSE follows the MiFID II tick size regime (RTS 11), effective since January 2018. Tick sizes depend on both the price level and the liquidity band of the instrument (based on average daily number of transactions).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Price Range (EUR equivalent)</w:t>
            </w:r>
          </w:p>
        </w:tc>
        <w:tc>
          <w:tcPr>
            <w:tcW w:type="dxa" w:w="2160"/>
          </w:tcPr>
          <w:p>
            <w:pPr/>
            <w:r>
              <w:rPr>
                <w:b/>
                <w:sz w:val="18"/>
              </w:rPr>
              <w:t>Liquidity Band 1 (&lt; 10 ADNT)</w:t>
            </w:r>
          </w:p>
        </w:tc>
        <w:tc>
          <w:tcPr>
            <w:tcW w:type="dxa" w:w="2160"/>
          </w:tcPr>
          <w:p>
            <w:pPr/>
            <w:r>
              <w:rPr>
                <w:b/>
                <w:sz w:val="18"/>
              </w:rPr>
              <w:t>Liquidity Band 3 (80-600 ADNT)</w:t>
            </w:r>
          </w:p>
        </w:tc>
        <w:tc>
          <w:tcPr>
            <w:tcW w:type="dxa" w:w="2160"/>
          </w:tcPr>
          <w:p>
            <w:pPr/>
            <w:r>
              <w:rPr>
                <w:b/>
                <w:sz w:val="18"/>
              </w:rPr>
              <w:t>Liquidity Band 6 (&gt;= 9000 ADNT)</w:t>
            </w:r>
          </w:p>
        </w:tc>
      </w:tr>
      <w:tr>
        <w:tc>
          <w:tcPr>
            <w:tcW w:type="dxa" w:w="2160"/>
          </w:tcPr>
          <w:p>
            <w:pPr/>
            <w:r>
              <w:rPr>
                <w:sz w:val="18"/>
              </w:rPr>
              <w:t>0 - 0.4999</w:t>
            </w:r>
          </w:p>
        </w:tc>
        <w:tc>
          <w:tcPr>
            <w:tcW w:type="dxa" w:w="2160"/>
          </w:tcPr>
          <w:p>
            <w:pPr/>
            <w:r>
              <w:rPr>
                <w:sz w:val="18"/>
              </w:rPr>
              <w:t>0.005</w:t>
            </w:r>
          </w:p>
        </w:tc>
        <w:tc>
          <w:tcPr>
            <w:tcW w:type="dxa" w:w="2160"/>
          </w:tcPr>
          <w:p>
            <w:pPr/>
            <w:r>
              <w:rPr>
                <w:sz w:val="18"/>
              </w:rPr>
              <w:t>0.002</w:t>
            </w:r>
          </w:p>
        </w:tc>
        <w:tc>
          <w:tcPr>
            <w:tcW w:type="dxa" w:w="2160"/>
          </w:tcPr>
          <w:p>
            <w:pPr/>
            <w:r>
              <w:rPr>
                <w:sz w:val="18"/>
              </w:rPr>
              <w:t>0.0005</w:t>
            </w:r>
          </w:p>
        </w:tc>
      </w:tr>
      <w:tr>
        <w:tc>
          <w:tcPr>
            <w:tcW w:type="dxa" w:w="2160"/>
          </w:tcPr>
          <w:p>
            <w:pPr/>
            <w:r>
              <w:rPr>
                <w:sz w:val="18"/>
              </w:rPr>
              <w:t>0.5 - 0.9999</w:t>
            </w:r>
          </w:p>
        </w:tc>
        <w:tc>
          <w:tcPr>
            <w:tcW w:type="dxa" w:w="2160"/>
          </w:tcPr>
          <w:p>
            <w:pPr/>
            <w:r>
              <w:rPr>
                <w:sz w:val="18"/>
              </w:rPr>
              <w:t>0.01</w:t>
            </w:r>
          </w:p>
        </w:tc>
        <w:tc>
          <w:tcPr>
            <w:tcW w:type="dxa" w:w="2160"/>
          </w:tcPr>
          <w:p>
            <w:pPr/>
            <w:r>
              <w:rPr>
                <w:sz w:val="18"/>
              </w:rPr>
              <w:t>0.005</w:t>
            </w:r>
          </w:p>
        </w:tc>
        <w:tc>
          <w:tcPr>
            <w:tcW w:type="dxa" w:w="2160"/>
          </w:tcPr>
          <w:p>
            <w:pPr/>
            <w:r>
              <w:rPr>
                <w:sz w:val="18"/>
              </w:rPr>
              <w:t>0.001</w:t>
            </w:r>
          </w:p>
        </w:tc>
      </w:tr>
      <w:tr>
        <w:tc>
          <w:tcPr>
            <w:tcW w:type="dxa" w:w="2160"/>
          </w:tcPr>
          <w:p>
            <w:pPr/>
            <w:r>
              <w:rPr>
                <w:sz w:val="18"/>
              </w:rPr>
              <w:t>1 - 1.9999</w:t>
            </w:r>
          </w:p>
        </w:tc>
        <w:tc>
          <w:tcPr>
            <w:tcW w:type="dxa" w:w="2160"/>
          </w:tcPr>
          <w:p>
            <w:pPr/>
            <w:r>
              <w:rPr>
                <w:sz w:val="18"/>
              </w:rPr>
              <w:t>0.02</w:t>
            </w:r>
          </w:p>
        </w:tc>
        <w:tc>
          <w:tcPr>
            <w:tcW w:type="dxa" w:w="2160"/>
          </w:tcPr>
          <w:p>
            <w:pPr/>
            <w:r>
              <w:rPr>
                <w:sz w:val="18"/>
              </w:rPr>
              <w:t>0.01</w:t>
            </w:r>
          </w:p>
        </w:tc>
        <w:tc>
          <w:tcPr>
            <w:tcW w:type="dxa" w:w="2160"/>
          </w:tcPr>
          <w:p>
            <w:pPr/>
            <w:r>
              <w:rPr>
                <w:sz w:val="18"/>
              </w:rPr>
              <w:t>0.002</w:t>
            </w:r>
          </w:p>
        </w:tc>
      </w:tr>
      <w:tr>
        <w:tc>
          <w:tcPr>
            <w:tcW w:type="dxa" w:w="2160"/>
          </w:tcPr>
          <w:p>
            <w:pPr/>
            <w:r>
              <w:rPr>
                <w:sz w:val="18"/>
              </w:rPr>
              <w:t>2 - 4.9999</w:t>
            </w:r>
          </w:p>
        </w:tc>
        <w:tc>
          <w:tcPr>
            <w:tcW w:type="dxa" w:w="2160"/>
          </w:tcPr>
          <w:p>
            <w:pPr/>
            <w:r>
              <w:rPr>
                <w:sz w:val="18"/>
              </w:rPr>
              <w:t>0.05</w:t>
            </w:r>
          </w:p>
        </w:tc>
        <w:tc>
          <w:tcPr>
            <w:tcW w:type="dxa" w:w="2160"/>
          </w:tcPr>
          <w:p>
            <w:pPr/>
            <w:r>
              <w:rPr>
                <w:sz w:val="18"/>
              </w:rPr>
              <w:t>0.02</w:t>
            </w:r>
          </w:p>
        </w:tc>
        <w:tc>
          <w:tcPr>
            <w:tcW w:type="dxa" w:w="2160"/>
          </w:tcPr>
          <w:p>
            <w:pPr/>
            <w:r>
              <w:rPr>
                <w:sz w:val="18"/>
              </w:rPr>
              <w:t>0.005</w:t>
            </w:r>
          </w:p>
        </w:tc>
      </w:tr>
      <w:tr>
        <w:tc>
          <w:tcPr>
            <w:tcW w:type="dxa" w:w="2160"/>
          </w:tcPr>
          <w:p>
            <w:pPr/>
            <w:r>
              <w:rPr>
                <w:sz w:val="18"/>
              </w:rPr>
              <w:t>5 - 9.9999</w:t>
            </w:r>
          </w:p>
        </w:tc>
        <w:tc>
          <w:tcPr>
            <w:tcW w:type="dxa" w:w="2160"/>
          </w:tcPr>
          <w:p>
            <w:pPr/>
            <w:r>
              <w:rPr>
                <w:sz w:val="18"/>
              </w:rPr>
              <w:t>0.1</w:t>
            </w:r>
          </w:p>
        </w:tc>
        <w:tc>
          <w:tcPr>
            <w:tcW w:type="dxa" w:w="2160"/>
          </w:tcPr>
          <w:p>
            <w:pPr/>
            <w:r>
              <w:rPr>
                <w:sz w:val="18"/>
              </w:rPr>
              <w:t>0.05</w:t>
            </w:r>
          </w:p>
        </w:tc>
        <w:tc>
          <w:tcPr>
            <w:tcW w:type="dxa" w:w="2160"/>
          </w:tcPr>
          <w:p>
            <w:pPr/>
            <w:r>
              <w:rPr>
                <w:sz w:val="18"/>
              </w:rPr>
              <w:t>0.01</w:t>
            </w:r>
          </w:p>
        </w:tc>
      </w:tr>
      <w:tr>
        <w:tc>
          <w:tcPr>
            <w:tcW w:type="dxa" w:w="2160"/>
          </w:tcPr>
          <w:p>
            <w:pPr/>
            <w:r>
              <w:rPr>
                <w:sz w:val="18"/>
              </w:rPr>
              <w:t>10 - 19.9999</w:t>
            </w:r>
          </w:p>
        </w:tc>
        <w:tc>
          <w:tcPr>
            <w:tcW w:type="dxa" w:w="2160"/>
          </w:tcPr>
          <w:p>
            <w:pPr/>
            <w:r>
              <w:rPr>
                <w:sz w:val="18"/>
              </w:rPr>
              <w:t>0.2</w:t>
            </w:r>
          </w:p>
        </w:tc>
        <w:tc>
          <w:tcPr>
            <w:tcW w:type="dxa" w:w="2160"/>
          </w:tcPr>
          <w:p>
            <w:pPr/>
            <w:r>
              <w:rPr>
                <w:sz w:val="18"/>
              </w:rPr>
              <w:t>0.1</w:t>
            </w:r>
          </w:p>
        </w:tc>
        <w:tc>
          <w:tcPr>
            <w:tcW w:type="dxa" w:w="2160"/>
          </w:tcPr>
          <w:p>
            <w:pPr/>
            <w:r>
              <w:rPr>
                <w:sz w:val="18"/>
              </w:rPr>
              <w:t>0.02</w:t>
            </w:r>
          </w:p>
        </w:tc>
      </w:tr>
      <w:tr>
        <w:tc>
          <w:tcPr>
            <w:tcW w:type="dxa" w:w="2160"/>
          </w:tcPr>
          <w:p>
            <w:pPr/>
            <w:r>
              <w:rPr>
                <w:sz w:val="18"/>
              </w:rPr>
              <w:t>20 - 49.9999</w:t>
            </w:r>
          </w:p>
        </w:tc>
        <w:tc>
          <w:tcPr>
            <w:tcW w:type="dxa" w:w="2160"/>
          </w:tcPr>
          <w:p>
            <w:pPr/>
            <w:r>
              <w:rPr>
                <w:sz w:val="18"/>
              </w:rPr>
              <w:t>0.5</w:t>
            </w:r>
          </w:p>
        </w:tc>
        <w:tc>
          <w:tcPr>
            <w:tcW w:type="dxa" w:w="2160"/>
          </w:tcPr>
          <w:p>
            <w:pPr/>
            <w:r>
              <w:rPr>
                <w:sz w:val="18"/>
              </w:rPr>
              <w:t>0.2</w:t>
            </w:r>
          </w:p>
        </w:tc>
        <w:tc>
          <w:tcPr>
            <w:tcW w:type="dxa" w:w="2160"/>
          </w:tcPr>
          <w:p>
            <w:pPr/>
            <w:r>
              <w:rPr>
                <w:sz w:val="18"/>
              </w:rPr>
              <w:t>0.05</w:t>
            </w:r>
          </w:p>
        </w:tc>
      </w:tr>
      <w:tr>
        <w:tc>
          <w:tcPr>
            <w:tcW w:type="dxa" w:w="2160"/>
          </w:tcPr>
          <w:p>
            <w:pPr/>
            <w:r>
              <w:rPr>
                <w:sz w:val="18"/>
              </w:rPr>
              <w:t>50 - 99.9999</w:t>
            </w:r>
          </w:p>
        </w:tc>
        <w:tc>
          <w:tcPr>
            <w:tcW w:type="dxa" w:w="2160"/>
          </w:tcPr>
          <w:p>
            <w:pPr/>
            <w:r>
              <w:rPr>
                <w:sz w:val="18"/>
              </w:rPr>
              <w:t>1.0</w:t>
            </w:r>
          </w:p>
        </w:tc>
        <w:tc>
          <w:tcPr>
            <w:tcW w:type="dxa" w:w="2160"/>
          </w:tcPr>
          <w:p>
            <w:pPr/>
            <w:r>
              <w:rPr>
                <w:sz w:val="18"/>
              </w:rPr>
              <w:t>0.5</w:t>
            </w:r>
          </w:p>
        </w:tc>
        <w:tc>
          <w:tcPr>
            <w:tcW w:type="dxa" w:w="2160"/>
          </w:tcPr>
          <w:p>
            <w:pPr/>
            <w:r>
              <w:rPr>
                <w:sz w:val="18"/>
              </w:rPr>
              <w:t>0.1</w:t>
            </w:r>
          </w:p>
        </w:tc>
      </w:tr>
    </w:tbl>
    <w:p/>
    <w:p>
      <w:r>
        <w:t>[Source: ESMA RTS 11, as applied by LSE; representative values shown -- full table contains 6 liquidity bands and 13 price ranges]</w:t>
      </w:r>
    </w:p>
    <w:p>
      <w:pPr>
        <w:pStyle w:val="Heading3"/>
      </w:pPr>
      <w:r>
        <w:t>2.4 Lot Sizes</w:t>
      </w:r>
    </w:p>
    <w:p>
      <w:pPr>
        <w:pStyle w:val="ListBullet"/>
      </w:pPr>
      <w:r>
        <w:t>Standard lot size: 1 share for most equities on SETS</w:t>
      </w:r>
    </w:p>
    <w:p>
      <w:pPr>
        <w:pStyle w:val="ListBullet"/>
      </w:pPr>
      <w:r>
        <w:t>No minimum lot size for continuous order book trading on SETS</w:t>
      </w:r>
    </w:p>
    <w:p>
      <w:pPr>
        <w:pStyle w:val="ListBullet"/>
      </w:pPr>
      <w:r>
        <w:t>Block trade thresholds defined under MiFID II Large-in-Scale (LIS) waivers, varying by instrument liquidity</w:t>
      </w:r>
    </w:p>
    <w:p>
      <w:pPr>
        <w:pStyle w:val="Heading3"/>
      </w:pPr>
      <w:r>
        <w:t>2.5 Market Maker / Liquidity Provider Programs</w:t>
      </w:r>
    </w:p>
    <w:p>
      <w:pPr>
        <w:pStyle w:val="ListBullet"/>
      </w:pPr>
      <w:r>
        <w:t>SETS: Market makers registered for specific securities can provide continuous two-sided quotes; they are not obligated but receive certain benefits (e.g., reduced fees, short selling exemptions)</w:t>
      </w:r>
    </w:p>
    <w:p>
      <w:pPr>
        <w:pStyle w:val="ListBullet"/>
      </w:pPr>
      <w:r>
        <w:t>SETSqx: Appointed market makers are required to provide continuous quotes throughout the trading day; order book execution occurs via periodic auctions</w:t>
      </w:r>
    </w:p>
    <w:p>
      <w:pPr>
        <w:pStyle w:val="ListBullet"/>
      </w:pPr>
      <w:r>
        <w:t>SEAQ: Pure quote-driven system relying entirely on market maker quotes; no public limit order book; used for the least liquid securities</w:t>
      </w:r>
    </w:p>
    <w:p>
      <w:pPr>
        <w:pStyle w:val="ListBullet"/>
      </w:pPr>
      <w:r>
        <w:t>Liquidity Provider Schemes: LSE offers incentive programmes with reduced execution fees for firms providing continuous liquidity in designated securities</w:t>
      </w:r>
    </w:p>
    <w:p>
      <w:r>
        <w:t>────────────────────────────────────────────────────────────</w:t>
      </w:r>
    </w:p>
    <w:p>
      <w:pPr>
        <w:pStyle w:val="Heading2"/>
      </w:pPr>
      <w:r>
        <w:t>3. Trading Mechanism</w:t>
      </w:r>
    </w:p>
    <w:p>
      <w:pPr>
        <w:pStyle w:val="Heading3"/>
      </w:pPr>
      <w:r>
        <w:t>3.1 Auction Mechanisms</w:t>
      </w:r>
    </w:p>
    <w:p>
      <w:pPr>
        <w:pStyle w:val="ListBullet"/>
      </w:pPr>
      <w:r>
        <w:t>Opening Auction: Begins at 08:00 following a 10-minute order entry period (07:50-08:00). Orders accumulate and the matching algorithm determines the price at which the maximum volume can execute. Followed by a random end period (up to 30 seconds) to prevent manipulation</w:t>
      </w:r>
    </w:p>
    <w:p>
      <w:pPr>
        <w:pStyle w:val="ListBullet"/>
      </w:pPr>
      <w:r>
        <w:t>Closing Auction: At 16:30, continuous trading halts and a closing auction period begins. The closing auction uncrossing determines the official closing price (used by index providers, fund managers). Followed by a random end period</w:t>
      </w:r>
    </w:p>
    <w:p>
      <w:pPr>
        <w:pStyle w:val="ListBullet"/>
      </w:pPr>
      <w:r>
        <w:t>Intraday Auctions (SETSqx): Scheduled at 08:00, 09:00, 11:00, 14:00, and 16:35 for SETSqx securities. Orders collect between auctions and uncross at scheduled times</w:t>
      </w:r>
    </w:p>
    <w:p>
      <w:pPr>
        <w:pStyle w:val="ListBullet"/>
      </w:pPr>
      <w:r>
        <w:t>Volatility Auctions: Triggered when a potential execution would breach price monitoring thresholds (circuit breaker). Trading is suspended and a call auction is initiated to allow orderly price discovery</w:t>
      </w:r>
    </w:p>
    <w:p>
      <w:pPr>
        <w:pStyle w:val="Heading3"/>
      </w:pPr>
      <w:r>
        <w:t>3.2 Continuous Trading</w:t>
      </w:r>
    </w:p>
    <w:p>
      <w:pPr>
        <w:pStyle w:val="ListBullet"/>
      </w:pPr>
      <w:r>
        <w:t>SETS (Stock Exchange Electronic Trading Service): Primary order book for FTSE 100, FTSE 250, FTSE SmallCap, and other liquid securities. Pure order-driven market with optional market maker participation. Price/time priority matching algorithm during 08:00-16:30 continuous session</w:t>
      </w:r>
    </w:p>
    <w:p>
      <w:pPr>
        <w:pStyle w:val="ListBullet"/>
      </w:pPr>
      <w:r>
        <w:t>SETSqx: Hybrid system combining periodic auctions with continuous market maker quotes. Between auctions, investors can trade against market maker quotes. Order book execution only occurs at auction uncrossings</w:t>
      </w:r>
    </w:p>
    <w:p>
      <w:pPr>
        <w:pStyle w:val="ListBullet"/>
      </w:pPr>
      <w:r>
        <w:t>SEAQ: Quote-driven system for less liquid securities. No electronic order matching; trades executed via market maker quotes displayed on screen</w:t>
      </w:r>
    </w:p>
    <w:p>
      <w:pPr>
        <w:pStyle w:val="Heading3"/>
      </w:pPr>
      <w:r>
        <w:t>3.3 Price Discovery</w:t>
      </w:r>
    </w:p>
    <w:p>
      <w:pPr>
        <w:pStyle w:val="ListBullet"/>
      </w:pPr>
      <w:r>
        <w:t>Price discovery occurs primarily through the opening and closing auctions and continuous order book interaction on SETS</w:t>
      </w:r>
    </w:p>
    <w:p>
      <w:pPr>
        <w:pStyle w:val="ListBullet"/>
      </w:pPr>
      <w:r>
        <w:t>The uncrossing algorithm maximizes executable volume, then minimizes surplus, then references the prior price to determine the auction price</w:t>
      </w:r>
    </w:p>
    <w:p>
      <w:pPr>
        <w:pStyle w:val="ListBullet"/>
      </w:pPr>
      <w:r>
        <w:t>Closing Price Crossing session (16:35-16:40) allows additional volume to trade at the established closing price</w:t>
      </w:r>
    </w:p>
    <w:p>
      <w:pPr>
        <w:pStyle w:val="ListBullet"/>
      </w:pPr>
      <w:r>
        <w:t>Reference prices for circuit breakers are derived from auction uncrossing prices and dynamically updated during continuous trading</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Order to buy/sell at a specified price or better; rests on the book if not immediately matched</w:t>
            </w:r>
          </w:p>
        </w:tc>
      </w:tr>
      <w:tr>
        <w:tc>
          <w:tcPr>
            <w:tcW w:type="dxa" w:w="4320"/>
          </w:tcPr>
          <w:p>
            <w:pPr/>
            <w:r>
              <w:rPr>
                <w:sz w:val="18"/>
              </w:rPr>
              <w:t>Market Order</w:t>
            </w:r>
          </w:p>
        </w:tc>
        <w:tc>
          <w:tcPr>
            <w:tcW w:type="dxa" w:w="4320"/>
          </w:tcPr>
          <w:p>
            <w:pPr/>
            <w:r>
              <w:rPr>
                <w:sz w:val="18"/>
              </w:rPr>
              <w:t>Executes at the best available price; any unmatched portion is cancelled (not held on book)</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Only a portion (the visible peak) is displayed on the order book; as the visible quantity is filled, a new peak is automatically replenished from the hidden reserve</w:t>
            </w:r>
          </w:p>
        </w:tc>
      </w:tr>
      <w:tr>
        <w:tc>
          <w:tcPr>
            <w:tcW w:type="dxa" w:w="4320"/>
          </w:tcPr>
          <w:p>
            <w:pPr/>
            <w:r>
              <w:rPr>
                <w:sz w:val="18"/>
              </w:rPr>
              <w:t>Hidden Order</w:t>
            </w:r>
          </w:p>
        </w:tc>
        <w:tc>
          <w:tcPr>
            <w:tcW w:type="dxa" w:w="4320"/>
          </w:tcPr>
          <w:p>
            <w:pPr/>
            <w:r>
              <w:rPr>
                <w:sz w:val="18"/>
              </w:rPr>
              <w:t>Entire order quantity is hidden from the public order book; lower priority than visible orders at the same price</w:t>
            </w:r>
          </w:p>
        </w:tc>
      </w:tr>
      <w:tr>
        <w:tc>
          <w:tcPr>
            <w:tcW w:type="dxa" w:w="4320"/>
          </w:tcPr>
          <w:p>
            <w:pPr/>
            <w:r>
              <w:rPr>
                <w:sz w:val="18"/>
              </w:rPr>
              <w:t>Mid-Price Pegged Order</w:t>
            </w:r>
          </w:p>
        </w:tc>
        <w:tc>
          <w:tcPr>
            <w:tcW w:type="dxa" w:w="4320"/>
          </w:tcPr>
          <w:p>
            <w:pPr/>
            <w:r>
              <w:rPr>
                <w:sz w:val="18"/>
              </w:rPr>
              <w:t>Pegged to the midpoint of the best bid and offer (BBO); automatically adjusts as the BBO changes; available on SETS dark order book</w:t>
            </w:r>
          </w:p>
        </w:tc>
      </w:tr>
      <w:tr>
        <w:tc>
          <w:tcPr>
            <w:tcW w:type="dxa" w:w="4320"/>
          </w:tcPr>
          <w:p>
            <w:pPr/>
            <w:r>
              <w:rPr>
                <w:sz w:val="18"/>
              </w:rPr>
              <w:t>Stop Order</w:t>
            </w:r>
          </w:p>
        </w:tc>
        <w:tc>
          <w:tcPr>
            <w:tcW w:type="dxa" w:w="4320"/>
          </w:tcPr>
          <w:p>
            <w:pPr/>
            <w:r>
              <w:rPr>
                <w:sz w:val="18"/>
              </w:rPr>
              <w:t>Triggered when the market reaches a specified stop price, at which point it becomes an active order</w:t>
            </w:r>
          </w:p>
        </w:tc>
      </w:tr>
      <w:tr>
        <w:tc>
          <w:tcPr>
            <w:tcW w:type="dxa" w:w="4320"/>
          </w:tcPr>
          <w:p>
            <w:pPr/>
            <w:r>
              <w:rPr>
                <w:sz w:val="18"/>
              </w:rPr>
              <w:t>Passive Only Order</w:t>
            </w:r>
          </w:p>
        </w:tc>
        <w:tc>
          <w:tcPr>
            <w:tcW w:type="dxa" w:w="4320"/>
          </w:tcPr>
          <w:p>
            <w:pPr/>
            <w:r>
              <w:rPr>
                <w:sz w:val="18"/>
              </w:rPr>
              <w:t>Ensures the order does not immediately execute on entry; it is placed on the book as a passive order or rejected if it would aggress [unverified]</w:t>
            </w:r>
          </w:p>
        </w:tc>
      </w:tr>
      <w:tr>
        <w:tc>
          <w:tcPr>
            <w:tcW w:type="dxa" w:w="4320"/>
          </w:tcPr>
          <w:p>
            <w:pPr/>
            <w:r>
              <w:rPr>
                <w:sz w:val="18"/>
              </w:rPr>
              <w:t>Named Order</w:t>
            </w:r>
          </w:p>
        </w:tc>
        <w:tc>
          <w:tcPr>
            <w:tcW w:type="dxa" w:w="4320"/>
          </w:tcPr>
          <w:p>
            <w:pPr/>
            <w:r>
              <w:rPr>
                <w:sz w:val="18"/>
              </w:rPr>
              <w:t>Used in SETSqx -- market maker quotes entered as named executable orders</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Good for Day (GFD)</w:t>
            </w:r>
          </w:p>
        </w:tc>
        <w:tc>
          <w:tcPr>
            <w:tcW w:type="dxa" w:w="4320"/>
          </w:tcPr>
          <w:p>
            <w:pPr/>
            <w:r>
              <w:rPr>
                <w:sz w:val="18"/>
              </w:rPr>
              <w:t>Order valid for the current trading day only; cancelled at end of day</w:t>
            </w:r>
          </w:p>
        </w:tc>
      </w:tr>
      <w:tr>
        <w:tc>
          <w:tcPr>
            <w:tcW w:type="dxa" w:w="4320"/>
          </w:tcPr>
          <w:p>
            <w:pPr/>
            <w:r>
              <w:rPr>
                <w:sz w:val="18"/>
              </w:rPr>
              <w:t>Good till Cancelled (GTC)</w:t>
            </w:r>
          </w:p>
        </w:tc>
        <w:tc>
          <w:tcPr>
            <w:tcW w:type="dxa" w:w="4320"/>
          </w:tcPr>
          <w:p>
            <w:pPr/>
            <w:r>
              <w:rPr>
                <w:sz w:val="18"/>
              </w:rPr>
              <w:t>Order remains active until executed or explicitly cancelled (up to maximum calendar days set by exchange)</w:t>
            </w:r>
          </w:p>
        </w:tc>
      </w:tr>
      <w:tr>
        <w:tc>
          <w:tcPr>
            <w:tcW w:type="dxa" w:w="4320"/>
          </w:tcPr>
          <w:p>
            <w:pPr/>
            <w:r>
              <w:rPr>
                <w:sz w:val="18"/>
              </w:rPr>
              <w:t>Good till Date (GTD)</w:t>
            </w:r>
          </w:p>
        </w:tc>
        <w:tc>
          <w:tcPr>
            <w:tcW w:type="dxa" w:w="4320"/>
          </w:tcPr>
          <w:p>
            <w:pPr/>
            <w:r>
              <w:rPr>
                <w:sz w:val="18"/>
              </w:rPr>
              <w:t>Order valid until a specified expiry date</w:t>
            </w:r>
          </w:p>
        </w:tc>
      </w:tr>
      <w:tr>
        <w:tc>
          <w:tcPr>
            <w:tcW w:type="dxa" w:w="4320"/>
          </w:tcPr>
          <w:p>
            <w:pPr/>
            <w:r>
              <w:rPr>
                <w:sz w:val="18"/>
              </w:rPr>
              <w:t>Immediate or Cancel (IOC)</w:t>
            </w:r>
          </w:p>
        </w:tc>
        <w:tc>
          <w:tcPr>
            <w:tcW w:type="dxa" w:w="4320"/>
          </w:tcPr>
          <w:p>
            <w:pPr/>
            <w:r>
              <w:rPr>
                <w:sz w:val="18"/>
              </w:rPr>
              <w:t>Execute as much as possible immediately; any remaining quantity is cancelled</w:t>
            </w:r>
          </w:p>
        </w:tc>
      </w:tr>
      <w:tr>
        <w:tc>
          <w:tcPr>
            <w:tcW w:type="dxa" w:w="4320"/>
          </w:tcPr>
          <w:p>
            <w:pPr/>
            <w:r>
              <w:rPr>
                <w:sz w:val="18"/>
              </w:rPr>
              <w:t>Fill or Kill (FOK)</w:t>
            </w:r>
          </w:p>
        </w:tc>
        <w:tc>
          <w:tcPr>
            <w:tcW w:type="dxa" w:w="4320"/>
          </w:tcPr>
          <w:p>
            <w:pPr/>
            <w:r>
              <w:rPr>
                <w:sz w:val="18"/>
              </w:rPr>
              <w:t>Must be executed in full immediately or the entire order is cancelled</w:t>
            </w:r>
          </w:p>
        </w:tc>
      </w:tr>
      <w:tr>
        <w:tc>
          <w:tcPr>
            <w:tcW w:type="dxa" w:w="4320"/>
          </w:tcPr>
          <w:p>
            <w:pPr/>
            <w:r>
              <w:rPr>
                <w:sz w:val="18"/>
              </w:rPr>
              <w:t>At the Open (ATO)</w:t>
            </w:r>
          </w:p>
        </w:tc>
        <w:tc>
          <w:tcPr>
            <w:tcW w:type="dxa" w:w="4320"/>
          </w:tcPr>
          <w:p>
            <w:pPr/>
            <w:r>
              <w:rPr>
                <w:sz w:val="18"/>
              </w:rPr>
              <w:t>Valid only during the opening auction</w:t>
            </w:r>
          </w:p>
        </w:tc>
      </w:tr>
      <w:tr>
        <w:tc>
          <w:tcPr>
            <w:tcW w:type="dxa" w:w="4320"/>
          </w:tcPr>
          <w:p>
            <w:pPr/>
            <w:r>
              <w:rPr>
                <w:sz w:val="18"/>
              </w:rPr>
              <w:t>At the Close (ATC)</w:t>
            </w:r>
          </w:p>
        </w:tc>
        <w:tc>
          <w:tcPr>
            <w:tcW w:type="dxa" w:w="4320"/>
          </w:tcPr>
          <w:p>
            <w:pPr/>
            <w:r>
              <w:rPr>
                <w:sz w:val="18"/>
              </w:rPr>
              <w:t>Valid only during the closing auction</w:t>
            </w:r>
          </w:p>
        </w:tc>
      </w:tr>
      <w:tr>
        <w:tc>
          <w:tcPr>
            <w:tcW w:type="dxa" w:w="4320"/>
          </w:tcPr>
          <w:p>
            <w:pPr/>
            <w:r>
              <w:rPr>
                <w:sz w:val="18"/>
              </w:rPr>
              <w:t>Execute and Eliminate (EaE)</w:t>
            </w:r>
          </w:p>
        </w:tc>
        <w:tc>
          <w:tcPr>
            <w:tcW w:type="dxa" w:w="4320"/>
          </w:tcPr>
          <w:p>
            <w:pPr/>
            <w:r>
              <w:rPr>
                <w:sz w:val="18"/>
              </w:rPr>
              <w:t>Similar to IOC -- execute available quantity and cancel remainder</w:t>
            </w:r>
          </w:p>
        </w:tc>
      </w:tr>
    </w:tbl>
    <w:p/>
    <w:p>
      <w:pPr>
        <w:pStyle w:val="Heading3"/>
      </w:pPr>
      <w:r>
        <w:t>4.4 Order Modification / Cancellation</w:t>
      </w:r>
    </w:p>
    <w:p>
      <w:pPr>
        <w:pStyle w:val="ListBullet"/>
      </w:pPr>
      <w:r>
        <w:t>Orders can be amended (price, quantity) or cancelled at any time during the trading session via FIX or Native gateway</w:t>
      </w:r>
    </w:p>
    <w:p>
      <w:pPr>
        <w:pStyle w:val="ListBullet"/>
      </w:pPr>
      <w:r>
        <w:t>Price amendments that improve priority result in a new timestamp (loss of time priority)</w:t>
      </w:r>
    </w:p>
    <w:p>
      <w:pPr>
        <w:pStyle w:val="ListBullet"/>
      </w:pPr>
      <w:r>
        <w:t>Quantity reduction does not affect time priority</w:t>
      </w:r>
    </w:p>
    <w:p>
      <w:pPr>
        <w:pStyle w:val="ListBullet"/>
      </w:pPr>
      <w:r>
        <w:t>During auction call periods, orders can be entered, amended, and cancelled but no matching occurs</w:t>
      </w:r>
    </w:p>
    <w:p>
      <w:pPr>
        <w:pStyle w:val="ListBullet"/>
      </w:pPr>
      <w:r>
        <w:t>Mass cancellation functionality available; Kill Switch can cancel all outstanding orders for a firm</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Millennium Exchange</w:t>
            </w:r>
          </w:p>
        </w:tc>
      </w:tr>
      <w:tr>
        <w:tc>
          <w:tcPr>
            <w:tcW w:type="dxa" w:w="4320"/>
          </w:tcPr>
          <w:p>
            <w:pPr/>
            <w:r>
              <w:rPr>
                <w:sz w:val="18"/>
              </w:rPr>
              <w:t>Vendor / In-house</w:t>
            </w:r>
          </w:p>
        </w:tc>
        <w:tc>
          <w:tcPr>
            <w:tcW w:type="dxa" w:w="4320"/>
          </w:tcPr>
          <w:p>
            <w:pPr/>
            <w:r>
              <w:rPr>
                <w:sz w:val="18"/>
              </w:rPr>
              <w:t>In-house (developed by MillenniumIT, a wholly-owned LSEG subsidiary based in Colombo, Sri Lanka)</w:t>
            </w:r>
          </w:p>
        </w:tc>
      </w:tr>
      <w:tr>
        <w:tc>
          <w:tcPr>
            <w:tcW w:type="dxa" w:w="4320"/>
          </w:tcPr>
          <w:p>
            <w:pPr/>
            <w:r>
              <w:rPr>
                <w:sz w:val="18"/>
              </w:rPr>
              <w:t>Architecture</w:t>
            </w:r>
          </w:p>
        </w:tc>
        <w:tc>
          <w:tcPr>
            <w:tcW w:type="dxa" w:w="4320"/>
          </w:tcPr>
          <w:p>
            <w:pPr/>
            <w:r>
              <w:rPr>
                <w:sz w:val="18"/>
              </w:rPr>
              <w:t>Distributed, low-latency architecture on commodity hardware; event-driven</w:t>
            </w:r>
          </w:p>
        </w:tc>
      </w:tr>
      <w:tr>
        <w:tc>
          <w:tcPr>
            <w:tcW w:type="dxa" w:w="4320"/>
          </w:tcPr>
          <w:p>
            <w:pPr/>
            <w:r>
              <w:rPr>
                <w:sz w:val="18"/>
              </w:rPr>
              <w:t>Matching Engine</w:t>
            </w:r>
          </w:p>
        </w:tc>
        <w:tc>
          <w:tcPr>
            <w:tcW w:type="dxa" w:w="4320"/>
          </w:tcPr>
          <w:p>
            <w:pPr/>
            <w:r>
              <w:rPr>
                <w:sz w:val="18"/>
              </w:rPr>
              <w:t>Central matching engine with price/time priority; supports multi-asset class</w:t>
            </w:r>
          </w:p>
        </w:tc>
      </w:tr>
      <w:tr>
        <w:tc>
          <w:tcPr>
            <w:tcW w:type="dxa" w:w="4320"/>
          </w:tcPr>
          <w:p>
            <w:pPr/>
            <w:r>
              <w:rPr>
                <w:sz w:val="18"/>
              </w:rPr>
              <w:t>Round-trip Latency</w:t>
            </w:r>
          </w:p>
        </w:tc>
        <w:tc>
          <w:tcPr>
            <w:tcW w:type="dxa" w:w="4320"/>
          </w:tcPr>
          <w:p>
            <w:pPr/>
            <w:r>
              <w:rPr>
                <w:sz w:val="18"/>
              </w:rPr>
              <w:t>~126 microseconds (native API); ~196 microseconds (FIX 5.0) -- as measured at launch in 2011</w:t>
            </w:r>
          </w:p>
        </w:tc>
      </w:tr>
      <w:tr>
        <w:tc>
          <w:tcPr>
            <w:tcW w:type="dxa" w:w="4320"/>
          </w:tcPr>
          <w:p>
            <w:pPr/>
            <w:r>
              <w:rPr>
                <w:sz w:val="18"/>
              </w:rPr>
              <w:t>Order Processing Capacity</w:t>
            </w:r>
          </w:p>
        </w:tc>
        <w:tc>
          <w:tcPr>
            <w:tcW w:type="dxa" w:w="4320"/>
          </w:tcPr>
          <w:p>
            <w:pPr/>
            <w:r>
              <w:rPr>
                <w:sz w:val="18"/>
              </w:rPr>
              <w:t>Capable of processing tens of thousands of orders per second [estimated]</w:t>
            </w:r>
          </w:p>
        </w:tc>
      </w:tr>
      <w:tr>
        <w:tc>
          <w:tcPr>
            <w:tcW w:type="dxa" w:w="4320"/>
          </w:tcPr>
          <w:p>
            <w:pPr/>
            <w:r>
              <w:rPr>
                <w:sz w:val="18"/>
              </w:rPr>
              <w:t>Messages Per Second</w:t>
            </w:r>
          </w:p>
        </w:tc>
        <w:tc>
          <w:tcPr>
            <w:tcW w:type="dxa" w:w="4320"/>
          </w:tcPr>
          <w:p>
            <w:pPr/>
            <w:r>
              <w:rPr>
                <w:sz w:val="18"/>
              </w:rPr>
              <w:t>Designed for high-throughput capacity; exact current figure not publicly disclosed [unverified]</w:t>
            </w:r>
          </w:p>
        </w:tc>
      </w:tr>
      <w:tr>
        <w:tc>
          <w:tcPr>
            <w:tcW w:type="dxa" w:w="4320"/>
          </w:tcPr>
          <w:p>
            <w:pPr/>
            <w:r>
              <w:rPr>
                <w:sz w:val="18"/>
              </w:rPr>
              <w:t>Launch Year</w:t>
            </w:r>
          </w:p>
        </w:tc>
        <w:tc>
          <w:tcPr>
            <w:tcW w:type="dxa" w:w="4320"/>
          </w:tcPr>
          <w:p>
            <w:pPr/>
            <w:r>
              <w:rPr>
                <w:sz w:val="18"/>
              </w:rPr>
              <w:t>2011 (live 14 February 2011)</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Pre-1986</w:t>
            </w:r>
          </w:p>
        </w:tc>
        <w:tc>
          <w:tcPr>
            <w:tcW w:type="dxa" w:w="2880"/>
          </w:tcPr>
          <w:p>
            <w:pPr/>
            <w:r>
              <w:rPr>
                <w:sz w:val="18"/>
              </w:rPr>
              <w:t>Floor trading (open outcry)</w:t>
            </w:r>
          </w:p>
        </w:tc>
        <w:tc>
          <w:tcPr>
            <w:tcW w:type="dxa" w:w="2880"/>
          </w:tcPr>
          <w:p>
            <w:pPr/>
            <w:r>
              <w:rPr>
                <w:sz w:val="18"/>
              </w:rPr>
              <w:t>Physical trading floor</w:t>
            </w:r>
          </w:p>
        </w:tc>
      </w:tr>
      <w:tr>
        <w:tc>
          <w:tcPr>
            <w:tcW w:type="dxa" w:w="2880"/>
          </w:tcPr>
          <w:p>
            <w:pPr/>
            <w:r>
              <w:rPr>
                <w:sz w:val="18"/>
              </w:rPr>
              <w:t>1986-1997</w:t>
            </w:r>
          </w:p>
        </w:tc>
        <w:tc>
          <w:tcPr>
            <w:tcW w:type="dxa" w:w="2880"/>
          </w:tcPr>
          <w:p>
            <w:pPr/>
            <w:r>
              <w:rPr>
                <w:sz w:val="18"/>
              </w:rPr>
              <w:t>SEAQ</w:t>
            </w:r>
          </w:p>
        </w:tc>
        <w:tc>
          <w:tcPr>
            <w:tcW w:type="dxa" w:w="2880"/>
          </w:tcPr>
          <w:p>
            <w:pPr/>
            <w:r>
              <w:rPr>
                <w:sz w:val="18"/>
              </w:rPr>
              <w:t>Screen-based quote display system introduced during Big Bang; quote-driven</w:t>
            </w:r>
          </w:p>
        </w:tc>
      </w:tr>
      <w:tr>
        <w:tc>
          <w:tcPr>
            <w:tcW w:type="dxa" w:w="2880"/>
          </w:tcPr>
          <w:p>
            <w:pPr/>
            <w:r>
              <w:rPr>
                <w:sz w:val="18"/>
              </w:rPr>
              <w:t>1997-2007</w:t>
            </w:r>
          </w:p>
        </w:tc>
        <w:tc>
          <w:tcPr>
            <w:tcW w:type="dxa" w:w="2880"/>
          </w:tcPr>
          <w:p>
            <w:pPr/>
            <w:r>
              <w:rPr>
                <w:sz w:val="18"/>
              </w:rPr>
              <w:t>SETS</w:t>
            </w:r>
          </w:p>
        </w:tc>
        <w:tc>
          <w:tcPr>
            <w:tcW w:type="dxa" w:w="2880"/>
          </w:tcPr>
          <w:p>
            <w:pPr/>
            <w:r>
              <w:rPr>
                <w:sz w:val="18"/>
              </w:rPr>
              <w:t>Electronic order book; order-driven matching</w:t>
            </w:r>
          </w:p>
        </w:tc>
      </w:tr>
      <w:tr>
        <w:tc>
          <w:tcPr>
            <w:tcW w:type="dxa" w:w="2880"/>
          </w:tcPr>
          <w:p>
            <w:pPr/>
            <w:r>
              <w:rPr>
                <w:sz w:val="18"/>
              </w:rPr>
              <w:t>2007-2011</w:t>
            </w:r>
          </w:p>
        </w:tc>
        <w:tc>
          <w:tcPr>
            <w:tcW w:type="dxa" w:w="2880"/>
          </w:tcPr>
          <w:p>
            <w:pPr/>
            <w:r>
              <w:rPr>
                <w:sz w:val="18"/>
              </w:rPr>
              <w:t>TradElect</w:t>
            </w:r>
          </w:p>
        </w:tc>
        <w:tc>
          <w:tcPr>
            <w:tcW w:type="dxa" w:w="2880"/>
          </w:tcPr>
          <w:p>
            <w:pPr/>
            <w:r>
              <w:rPr>
                <w:sz w:val="18"/>
              </w:rPr>
              <w:t>Built on Microsoft .NET; average latency ~2 milliseconds at launch, later ~6 ms under load issues</w:t>
            </w:r>
          </w:p>
        </w:tc>
      </w:tr>
      <w:tr>
        <w:tc>
          <w:tcPr>
            <w:tcW w:type="dxa" w:w="2880"/>
          </w:tcPr>
          <w:p>
            <w:pPr/>
            <w:r>
              <w:rPr>
                <w:sz w:val="18"/>
              </w:rPr>
              <w:t>2011-present</w:t>
            </w:r>
          </w:p>
        </w:tc>
        <w:tc>
          <w:tcPr>
            <w:tcW w:type="dxa" w:w="2880"/>
          </w:tcPr>
          <w:p>
            <w:pPr/>
            <w:r>
              <w:rPr>
                <w:sz w:val="18"/>
              </w:rPr>
              <w:t>Millennium Exchange</w:t>
            </w:r>
          </w:p>
        </w:tc>
        <w:tc>
          <w:tcPr>
            <w:tcW w:type="dxa" w:w="2880"/>
          </w:tcPr>
          <w:p>
            <w:pPr/>
            <w:r>
              <w:rPr>
                <w:sz w:val="18"/>
              </w:rPr>
              <w:t>C++/Linux-based; sub-millisecond latency; replaced TradElect</w:t>
            </w:r>
          </w:p>
        </w:tc>
      </w:tr>
    </w:tbl>
    <w:p/>
    <w:p>
      <w:pPr>
        <w:pStyle w:val="Heading3"/>
      </w:pPr>
      <w:r>
        <w:t>Technology Stack</w:t>
      </w:r>
    </w:p>
    <w:p>
      <w:pPr>
        <w:pStyle w:val="ListBullet"/>
      </w:pPr>
      <w:r>
        <w:t>Operating System: Novell SUSE Linux Enterprise</w:t>
      </w:r>
    </w:p>
    <w:p>
      <w:pPr>
        <w:pStyle w:val="ListBullet"/>
      </w:pPr>
      <w:r>
        <w:t>Programming Language: C++</w:t>
      </w:r>
    </w:p>
    <w:p>
      <w:pPr>
        <w:pStyle w:val="ListBullet"/>
      </w:pPr>
      <w:r>
        <w:t>Network Protocol: TCP/IP for trading gateways; UDP/IP multicast for market data dissemination</w:t>
      </w:r>
    </w:p>
    <w:p>
      <w:pPr>
        <w:pStyle w:val="ListBullet"/>
      </w:pPr>
      <w:r>
        <w:t>Hardware: Commodity x86 servers (no proprietary hardware dependency)</w:t>
      </w:r>
    </w:p>
    <w:p>
      <w:pPr>
        <w:pStyle w:val="ListBullet"/>
      </w:pPr>
      <w:r>
        <w:t>Trading Gateways: Native (binary, lowest latency) and FIX 5.0 SP2 (industry standard)</w:t>
      </w:r>
    </w:p>
    <w:p>
      <w:pPr>
        <w:pStyle w:val="ListBullet"/>
      </w:pPr>
      <w:r>
        <w:t>Market Data Distribution: MITCH protocol (LSE variant of ITCH) via UDP multicast</w:t>
      </w:r>
    </w:p>
    <w:p>
      <w:pPr>
        <w:pStyle w:val="Heading3"/>
      </w:pPr>
      <w:r>
        <w:t>Disaster Recovery / Business Continuity</w:t>
      </w:r>
    </w:p>
    <w:p>
      <w:pPr>
        <w:pStyle w:val="ListBullet"/>
      </w:pPr>
      <w:r>
        <w:t>Fully redundant matching engine architecture with real-time replication</w:t>
      </w:r>
    </w:p>
    <w:p>
      <w:pPr>
        <w:pStyle w:val="ListBullet"/>
      </w:pPr>
      <w:r>
        <w:t>Primary and secondary data centers with failover capability</w:t>
      </w:r>
    </w:p>
    <w:p>
      <w:pPr>
        <w:pStyle w:val="ListBullet"/>
      </w:pPr>
      <w:r>
        <w:t>Dual market data feeds (Feed A and Feed B) -- identically sequenced for client-side arbitration</w:t>
      </w:r>
    </w:p>
    <w:p>
      <w:pPr>
        <w:pStyle w:val="ListBullet"/>
      </w:pPr>
      <w:r>
        <w:t>Business continuity plans tested regularly as required by FCA regulation</w:t>
      </w:r>
    </w:p>
    <w:p>
      <w:pPr>
        <w:pStyle w:val="ListBullet"/>
      </w:pPr>
      <w:r>
        <w:t>Recovery point objective (RPO) and recovery time objective (RTO) aligned with regulatory expectations [specific values not publicly disclosed]</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MITCH (Level 2)</w:t>
            </w:r>
          </w:p>
        </w:tc>
        <w:tc>
          <w:tcPr>
            <w:tcW w:type="dxa" w:w="2880"/>
          </w:tcPr>
          <w:p>
            <w:pPr/>
            <w:r>
              <w:rPr>
                <w:sz w:val="18"/>
              </w:rPr>
              <w:t>LSE's native binary market data protocol, based on ITCH; full order-by-order depth</w:t>
            </w:r>
          </w:p>
        </w:tc>
        <w:tc>
          <w:tcPr>
            <w:tcW w:type="dxa" w:w="2880"/>
          </w:tcPr>
          <w:p>
            <w:pPr/>
            <w:r>
              <w:rPr>
                <w:sz w:val="18"/>
              </w:rPr>
              <w:t>Ultra-low latency market data for algorithmic and high-frequency trading</w:t>
            </w:r>
          </w:p>
        </w:tc>
      </w:tr>
      <w:tr>
        <w:tc>
          <w:tcPr>
            <w:tcW w:type="dxa" w:w="2880"/>
          </w:tcPr>
          <w:p>
            <w:pPr/>
            <w:r>
              <w:rPr>
                <w:sz w:val="18"/>
              </w:rPr>
              <w:t>MITCH (Level 1)</w:t>
            </w:r>
          </w:p>
        </w:tc>
        <w:tc>
          <w:tcPr>
            <w:tcW w:type="dxa" w:w="2880"/>
          </w:tcPr>
          <w:p>
            <w:pPr/>
            <w:r>
              <w:rPr>
                <w:sz w:val="18"/>
              </w:rPr>
              <w:t>Aggregated best bid/offer and trade data in MITCH binary format</w:t>
            </w:r>
          </w:p>
        </w:tc>
        <w:tc>
          <w:tcPr>
            <w:tcW w:type="dxa" w:w="2880"/>
          </w:tcPr>
          <w:p>
            <w:pPr/>
            <w:r>
              <w:rPr>
                <w:sz w:val="18"/>
              </w:rPr>
              <w:t>Real-time top-of-book for trading applications</w:t>
            </w:r>
          </w:p>
        </w:tc>
      </w:tr>
      <w:tr>
        <w:tc>
          <w:tcPr>
            <w:tcW w:type="dxa" w:w="2880"/>
          </w:tcPr>
          <w:p>
            <w:pPr/>
            <w:r>
              <w:rPr>
                <w:sz w:val="18"/>
              </w:rPr>
              <w:t>FIX Market Data</w:t>
            </w:r>
          </w:p>
        </w:tc>
        <w:tc>
          <w:tcPr>
            <w:tcW w:type="dxa" w:w="2880"/>
          </w:tcPr>
          <w:p>
            <w:pPr/>
            <w:r>
              <w:rPr>
                <w:sz w:val="18"/>
              </w:rPr>
              <w:t>Market data via FIX protocol</w:t>
            </w:r>
          </w:p>
        </w:tc>
        <w:tc>
          <w:tcPr>
            <w:tcW w:type="dxa" w:w="2880"/>
          </w:tcPr>
          <w:p>
            <w:pPr/>
            <w:r>
              <w:rPr>
                <w:sz w:val="18"/>
              </w:rPr>
              <w:t>Firms preferring standardized FIX connectivity</w:t>
            </w:r>
          </w:p>
        </w:tc>
      </w:tr>
      <w:tr>
        <w:tc>
          <w:tcPr>
            <w:tcW w:type="dxa" w:w="2880"/>
          </w:tcPr>
          <w:p>
            <w:pPr/>
            <w:r>
              <w:rPr>
                <w:sz w:val="18"/>
              </w:rPr>
              <w:t>RDF (Reference Data Feed)</w:t>
            </w:r>
          </w:p>
        </w:tc>
        <w:tc>
          <w:tcPr>
            <w:tcW w:type="dxa" w:w="2880"/>
          </w:tcPr>
          <w:p>
            <w:pPr/>
            <w:r>
              <w:rPr>
                <w:sz w:val="18"/>
              </w:rPr>
              <w:t>Daily reference data files for instrument parameters, tick tables, trading calendars</w:t>
            </w:r>
          </w:p>
        </w:tc>
        <w:tc>
          <w:tcPr>
            <w:tcW w:type="dxa" w:w="2880"/>
          </w:tcPr>
          <w:p>
            <w:pPr/>
            <w:r>
              <w:rPr>
                <w:sz w:val="18"/>
              </w:rPr>
              <w:t>Pre-trade setup, instrument static data</w:t>
            </w:r>
          </w:p>
        </w:tc>
      </w:tr>
    </w:tbl>
    <w:p/>
    <w:p>
      <w:pPr>
        <w:pStyle w:val="Heading3"/>
      </w:pPr>
      <w:r>
        <w:t>6.2 Data Levels</w:t>
      </w:r>
    </w:p>
    <w:p>
      <w:pPr>
        <w:pStyle w:val="ListBullet"/>
      </w:pPr>
      <w:r>
        <w:t>Level 1: Best bid/offer (BBO), last trade price, volume, VWAP; available as real-time or delayed (15-minute delay for free)</w:t>
      </w:r>
    </w:p>
    <w:p>
      <w:pPr>
        <w:pStyle w:val="ListBullet"/>
      </w:pPr>
      <w:r>
        <w:t>Level 2: Full order book depth (all visible orders at every price level); order-by-order granularity via MITCH</w:t>
      </w:r>
    </w:p>
    <w:p>
      <w:pPr>
        <w:pStyle w:val="ListBullet"/>
      </w:pPr>
      <w:r>
        <w:t>Level 3: Not applicable (Level 2 provides full depth on LSE)</w:t>
      </w:r>
    </w:p>
    <w:p>
      <w:pPr>
        <w:pStyle w:val="Heading3"/>
      </w:pPr>
      <w:r>
        <w:t>6.3 Distribution Infrastructure</w:t>
      </w:r>
    </w:p>
    <w:p>
      <w:pPr>
        <w:pStyle w:val="ListBullet"/>
      </w:pPr>
      <w:r>
        <w:t>Market data disseminated via UDP multicast over IP version 4 (IPv4)</w:t>
      </w:r>
    </w:p>
    <w:p>
      <w:pPr>
        <w:pStyle w:val="ListBullet"/>
      </w:pPr>
      <w:r>
        <w:t>Dual redundant feeds: Feed A and Feed B (identically sequenced)</w:t>
      </w:r>
    </w:p>
    <w:p>
      <w:pPr>
        <w:pStyle w:val="ListBullet"/>
      </w:pPr>
      <w:r>
        <w:t>Each UDP packet contains one Unit Header</w:t>
      </w:r>
    </w:p>
    <w:p>
      <w:pPr>
        <w:pStyle w:val="ListBullet"/>
      </w:pPr>
      <w:r>
        <w:t>Load balanced across multiple IP multicast channels</w:t>
      </w:r>
    </w:p>
    <w:p>
      <w:pPr>
        <w:pStyle w:val="ListBullet"/>
      </w:pPr>
      <w:r>
        <w:t>TCP/IP replay service for gap recovery (up to 65,000 most recent messages)</w:t>
      </w:r>
    </w:p>
    <w:p>
      <w:pPr>
        <w:pStyle w:val="ListBullet"/>
      </w:pPr>
      <w:r>
        <w:t>Snapshot recovery service for initial state rebuild</w:t>
      </w:r>
    </w:p>
    <w:p>
      <w:pPr>
        <w:pStyle w:val="Heading3"/>
      </w:pPr>
      <w:r>
        <w:t>6.4 Historical Data</w:t>
      </w:r>
    </w:p>
    <w:p>
      <w:pPr>
        <w:pStyle w:val="ListBullet"/>
      </w:pPr>
      <w:r>
        <w:t>Historical tick data available through LSEG (Refinitiv) Tick History</w:t>
      </w:r>
    </w:p>
    <w:p>
      <w:pPr>
        <w:pStyle w:val="ListBullet"/>
      </w:pPr>
      <w:r>
        <w:t>End-of-day data, corporate actions, reference data available</w:t>
      </w:r>
    </w:p>
    <w:p>
      <w:pPr>
        <w:pStyle w:val="ListBullet"/>
      </w:pPr>
      <w:r>
        <w:t>Data accessible via LSEG Data Platform, Workspace, and third-party vendors</w:t>
      </w:r>
    </w:p>
    <w:p>
      <w:pPr>
        <w:pStyle w:val="ListBullet"/>
      </w:pPr>
      <w:r>
        <w:t>Academic and research access available through partnerships</w:t>
      </w:r>
    </w:p>
    <w:p>
      <w:r>
        <w:t>────────────────────────────────────────────────────────────</w:t>
      </w:r>
    </w:p>
    <w:p>
      <w:pPr>
        <w:pStyle w:val="Heading2"/>
      </w:pPr>
      <w:r>
        <w:t>7. Connectivity &amp; Access</w:t>
      </w:r>
    </w:p>
    <w:p>
      <w:pPr>
        <w:pStyle w:val="Heading3"/>
      </w:pPr>
      <w:r>
        <w:t>7.1 Membership / Participation</w:t>
      </w:r>
    </w:p>
    <w:p>
      <w:pPr>
        <w:pStyle w:val="ListBullet"/>
      </w:pPr>
      <w:r>
        <w:t>Member Firms: Must be authorized by the FCA (or equivalent EU/EEA regulator with passporting arrangements); apply to LSE for membership</w:t>
      </w:r>
    </w:p>
    <w:p>
      <w:pPr>
        <w:pStyle w:val="ListBullet"/>
      </w:pPr>
      <w:r>
        <w:t>Types of Membership: Trading members (direct electronic access), market makers, sponsored access (via a sponsoring member firm)</w:t>
      </w:r>
    </w:p>
    <w:p>
      <w:pPr>
        <w:pStyle w:val="ListBullet"/>
      </w:pPr>
      <w:r>
        <w:t>Requirements: Adequate financial resources, competent personnel, robust systems and controls, compliance arrangements</w:t>
      </w:r>
    </w:p>
    <w:p>
      <w:pPr>
        <w:pStyle w:val="ListBullet"/>
      </w:pPr>
      <w:r>
        <w:t>General Clearing Members (GCMs): Must be members of the designated CCP (LCH or other) to clear trades</w:t>
      </w:r>
    </w:p>
    <w:p>
      <w:pPr>
        <w:pStyle w:val="Heading3"/>
      </w:pPr>
      <w:r>
        <w:t>7.2 Connection Methods</w:t>
      </w:r>
    </w:p>
    <w:p>
      <w:pPr>
        <w:pStyle w:val="ListBullet"/>
      </w:pPr>
      <w:r>
        <w:t>LSE Extranet: Dedicated managed network service for reliable connectivity</w:t>
      </w:r>
    </w:p>
    <w:p>
      <w:pPr>
        <w:pStyle w:val="ListBullet"/>
      </w:pPr>
      <w:r>
        <w:t>Co-location / Proximity Hosting: Direct cross-connect from co-located racks in the primary data center</w:t>
      </w:r>
    </w:p>
    <w:p>
      <w:pPr>
        <w:pStyle w:val="ListBullet"/>
      </w:pPr>
      <w:r>
        <w:t>Third-party Networks: Via approved network providers (BT Radianz, IPC, etc.)</w:t>
      </w:r>
    </w:p>
    <w:p>
      <w:pPr>
        <w:pStyle w:val="ListBullet"/>
      </w:pPr>
      <w:r>
        <w:t>VPN: Secure VPN connectivity option for lower-volume participants [unverified]</w:t>
      </w:r>
    </w:p>
    <w:p>
      <w:pPr>
        <w:pStyle w:val="ListBullet"/>
      </w:pPr>
      <w:r>
        <w:t>Internet: Not typically used for production trading; may be available for testing/UAT</w:t>
      </w:r>
    </w:p>
    <w:p>
      <w:pPr>
        <w:pStyle w:val="Heading3"/>
      </w:pPr>
      <w:r>
        <w:t>7.3 Co-location / Proximity Services</w:t>
      </w:r>
    </w:p>
    <w:p>
      <w:pPr>
        <w:pStyle w:val="ListBullet"/>
      </w:pPr>
      <w:r>
        <w:t>Primary Data Center: Located at Interxion LON1 (City of London) for proximity to matching engine [unverified -- some sources cite LD4 Slough for certain LSEG venues]</w:t>
      </w:r>
    </w:p>
    <w:p>
      <w:pPr>
        <w:pStyle w:val="ListBullet"/>
      </w:pPr>
      <w:r>
        <w:t>Cross-connect: Direct fibre cross-connects available for lowest latency</w:t>
      </w:r>
    </w:p>
    <w:p>
      <w:pPr>
        <w:pStyle w:val="ListBullet"/>
      </w:pPr>
      <w:r>
        <w:t>Proximity Hosting: Rack space, power, and cooling in the same data center as the matching engine</w:t>
      </w:r>
    </w:p>
    <w:p>
      <w:pPr>
        <w:pStyle w:val="ListBullet"/>
      </w:pPr>
      <w:r>
        <w:t>Additional Venues: Equinix LD4 (Slough) hosts related venues including Turquoise and BATS Chi-X Europe</w:t>
      </w:r>
    </w:p>
    <w:p>
      <w:pPr>
        <w:pStyle w:val="ListBullet"/>
      </w:pPr>
      <w:r>
        <w:t>Managed hosting services available through third-party providers (e.g., Beeks Group)</w:t>
      </w:r>
    </w:p>
    <w:p>
      <w:pPr>
        <w:pStyle w:val="Heading3"/>
      </w:pPr>
      <w:r>
        <w:t>7.4 API Protocols</w:t>
      </w:r>
    </w:p>
    <w:p>
      <w:pPr>
        <w:pStyle w:val="ListBullet"/>
      </w:pPr>
      <w:r>
        <w:t>Native Trading Gateway: Proprietary binary protocol (SAIL); lowest latency (~126 microseconds); MIT203 specification</w:t>
      </w:r>
    </w:p>
    <w:p>
      <w:pPr>
        <w:pStyle w:val="ListBullet"/>
      </w:pPr>
      <w:r>
        <w:t>FIX 5.0 SP2 Trading Gateway: Industry-standard FIX protocol for order entry and execution; MIT202 specification</w:t>
      </w:r>
    </w:p>
    <w:p>
      <w:pPr>
        <w:pStyle w:val="ListBullet"/>
      </w:pPr>
      <w:r>
        <w:t>Drop Copy Gateway: FIX 5.0 based; real-time copy of executions and order updates; MIT205 specification</w:t>
      </w:r>
    </w:p>
    <w:p>
      <w:pPr>
        <w:pStyle w:val="ListBullet"/>
      </w:pPr>
      <w:r>
        <w:t>MITCH Market Data: Binary protocol for Level 1 and Level 2 market data (MIT303)</w:t>
      </w:r>
    </w:p>
    <w:p>
      <w:pPr>
        <w:pStyle w:val="ListBullet"/>
      </w:pPr>
      <w:r>
        <w:t>Reference Data Service: MIT401 specification for instrument reference data</w:t>
      </w:r>
    </w:p>
    <w:p>
      <w:pPr>
        <w:pStyle w:val="Heading3"/>
      </w:pPr>
      <w:r>
        <w:t>7.5 Certification / Testing</w:t>
      </w:r>
    </w:p>
    <w:p>
      <w:pPr>
        <w:pStyle w:val="ListBullet"/>
      </w:pPr>
      <w:r>
        <w:t>Customer Development Service (CDS): Test environment replicating production functionality for member firms to test connectivity and order management</w:t>
      </w:r>
    </w:p>
    <w:p>
      <w:pPr>
        <w:pStyle w:val="ListBullet"/>
      </w:pPr>
      <w:r>
        <w:t>Conformance Testing: Required before production access; validates correct message handling, order management, and error handling</w:t>
      </w:r>
    </w:p>
    <w:p>
      <w:pPr>
        <w:pStyle w:val="ListBullet"/>
      </w:pPr>
      <w:r>
        <w:t>New Release Testing: Member firms given advance notice and testing windows for system upgrades</w:t>
      </w:r>
    </w:p>
    <w:p>
      <w:pPr>
        <w:pStyle w:val="ListBullet"/>
      </w:pPr>
      <w:r>
        <w:t>Technical Account Management Team: londontam@lseg.com -- supports onboarding and certification</w:t>
      </w:r>
    </w:p>
    <w:p>
      <w:r>
        <w:t>────────────────────────────────────────────────────────────</w:t>
      </w:r>
    </w:p>
    <w:p>
      <w:pPr>
        <w:pStyle w:val="Heading2"/>
      </w:pPr>
      <w:r>
        <w:t>8. Risk Controls &amp; Circuit Breakers</w:t>
      </w:r>
    </w:p>
    <w:p>
      <w:pPr>
        <w:pStyle w:val="Heading3"/>
      </w:pPr>
      <w:r>
        <w:t>8.1 Price Limits</w:t>
      </w:r>
    </w:p>
    <w:p>
      <w:pPr>
        <w:pStyle w:val="ListBullet"/>
      </w:pPr>
      <w:r>
        <w:t>LSE does not impose fixed daily price limits (no hard up/down limit)</w:t>
      </w:r>
    </w:p>
    <w:p>
      <w:pPr>
        <w:pStyle w:val="ListBullet"/>
      </w:pPr>
      <w:r>
        <w:t>Instead, uses dynamic and static price monitoring bands to detect abnormal price movements</w:t>
      </w:r>
    </w:p>
    <w:p>
      <w:pPr>
        <w:pStyle w:val="ListBullet"/>
      </w:pPr>
      <w:r>
        <w:t>Price monitoring thresholds are set per instrument and reviewed periodically</w:t>
      </w:r>
    </w:p>
    <w:p>
      <w:pPr>
        <w:pStyle w:val="Heading3"/>
      </w:pPr>
      <w:r>
        <w:t>8.2 Circuit Breakers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Trigger</w:t>
            </w:r>
          </w:p>
        </w:tc>
        <w:tc>
          <w:tcPr>
            <w:tcW w:type="dxa" w:w="2880"/>
          </w:tcPr>
          <w:p>
            <w:pPr/>
            <w:r>
              <w:rPr>
                <w:b/>
                <w:sz w:val="18"/>
              </w:rPr>
              <w:t>Response</w:t>
            </w:r>
          </w:p>
        </w:tc>
      </w:tr>
      <w:tr>
        <w:tc>
          <w:tcPr>
            <w:tcW w:type="dxa" w:w="2880"/>
          </w:tcPr>
          <w:p>
            <w:pPr/>
            <w:r>
              <w:rPr>
                <w:sz w:val="18"/>
              </w:rPr>
              <w:t>Dynamic Circuit Breaker</w:t>
            </w:r>
          </w:p>
        </w:tc>
        <w:tc>
          <w:tcPr>
            <w:tcW w:type="dxa" w:w="2880"/>
          </w:tcPr>
          <w:p>
            <w:pPr/>
            <w:r>
              <w:rPr>
                <w:sz w:val="18"/>
              </w:rPr>
              <w:t>Potential execution price deviates beyond a dynamic threshold from a continuously updating reference price (based on recent trades)</w:t>
            </w:r>
          </w:p>
        </w:tc>
        <w:tc>
          <w:tcPr>
            <w:tcW w:type="dxa" w:w="2880"/>
          </w:tcPr>
          <w:p>
            <w:pPr/>
            <w:r>
              <w:rPr>
                <w:sz w:val="18"/>
              </w:rPr>
              <w:t>Trading automatically suspended; instrument enters a volatility auction (call period)</w:t>
            </w:r>
          </w:p>
        </w:tc>
      </w:tr>
      <w:tr>
        <w:tc>
          <w:tcPr>
            <w:tcW w:type="dxa" w:w="2880"/>
          </w:tcPr>
          <w:p>
            <w:pPr/>
            <w:r>
              <w:rPr>
                <w:sz w:val="18"/>
              </w:rPr>
              <w:t>Static Circuit Breaker</w:t>
            </w:r>
          </w:p>
        </w:tc>
        <w:tc>
          <w:tcPr>
            <w:tcW w:type="dxa" w:w="2880"/>
          </w:tcPr>
          <w:p>
            <w:pPr/>
            <w:r>
              <w:rPr>
                <w:sz w:val="18"/>
              </w:rPr>
              <w:t>Potential execution price deviates beyond a static threshold from the last auction uncrossing price (opening/closing)</w:t>
            </w:r>
          </w:p>
        </w:tc>
        <w:tc>
          <w:tcPr>
            <w:tcW w:type="dxa" w:w="2880"/>
          </w:tcPr>
          <w:p>
            <w:pPr/>
            <w:r>
              <w:rPr>
                <w:sz w:val="18"/>
              </w:rPr>
              <w:t>Trading automatically suspended; instrument enters a volatility auction</w:t>
            </w:r>
          </w:p>
        </w:tc>
      </w:tr>
      <w:tr>
        <w:tc>
          <w:tcPr>
            <w:tcW w:type="dxa" w:w="2880"/>
          </w:tcPr>
          <w:p>
            <w:pPr/>
            <w:r>
              <w:rPr>
                <w:sz w:val="18"/>
              </w:rPr>
              <w:t>FTSE 100 stocks</w:t>
            </w:r>
          </w:p>
        </w:tc>
        <w:tc>
          <w:tcPr>
            <w:tcW w:type="dxa" w:w="2880"/>
          </w:tcPr>
          <w:p>
            <w:pPr/>
            <w:r>
              <w:rPr>
                <w:sz w:val="18"/>
              </w:rPr>
              <w:t>~8% deviation from opening auction price triggers static circuit breaker</w:t>
            </w:r>
          </w:p>
        </w:tc>
        <w:tc>
          <w:tcPr>
            <w:tcW w:type="dxa" w:w="2880"/>
          </w:tcPr>
          <w:p>
            <w:pPr/>
            <w:r>
              <w:rPr>
                <w:sz w:val="18"/>
              </w:rPr>
              <w:t>Volatility auction initiated</w:t>
            </w:r>
          </w:p>
        </w:tc>
      </w:tr>
      <w:tr>
        <w:tc>
          <w:tcPr>
            <w:tcW w:type="dxa" w:w="2880"/>
          </w:tcPr>
          <w:p>
            <w:pPr/>
            <w:r>
              <w:rPr>
                <w:sz w:val="18"/>
              </w:rPr>
              <w:t>Auction Extension</w:t>
            </w:r>
          </w:p>
        </w:tc>
        <w:tc>
          <w:tcPr>
            <w:tcW w:type="dxa" w:w="2880"/>
          </w:tcPr>
          <w:p>
            <w:pPr/>
            <w:r>
              <w:rPr>
                <w:sz w:val="18"/>
              </w:rPr>
              <w:t>If the indicative uncrossing price of a volatility auction would breach monitoring thresholds again</w:t>
            </w:r>
          </w:p>
        </w:tc>
        <w:tc>
          <w:tcPr>
            <w:tcW w:type="dxa" w:w="2880"/>
          </w:tcPr>
          <w:p>
            <w:pPr/>
            <w:r>
              <w:rPr>
                <w:sz w:val="18"/>
              </w:rPr>
              <w:t>Auction call period is extended</w:t>
            </w:r>
          </w:p>
        </w:tc>
      </w:tr>
      <w:tr>
        <w:tc>
          <w:tcPr>
            <w:tcW w:type="dxa" w:w="2880"/>
          </w:tcPr>
          <w:p>
            <w:pPr/>
            <w:r>
              <w:rPr>
                <w:sz w:val="18"/>
              </w:rPr>
              <w:t>Market Order Extension</w:t>
            </w:r>
          </w:p>
        </w:tc>
        <w:tc>
          <w:tcPr>
            <w:tcW w:type="dxa" w:w="2880"/>
          </w:tcPr>
          <w:p>
            <w:pPr/>
            <w:r>
              <w:rPr>
                <w:sz w:val="18"/>
              </w:rPr>
              <w:t>2-minute extension at end of final Price Monitoring Event (PME) if market orders would remain unexecuted</w:t>
            </w:r>
          </w:p>
        </w:tc>
        <w:tc>
          <w:tcPr>
            <w:tcW w:type="dxa" w:w="2880"/>
          </w:tcPr>
          <w:p>
            <w:pPr/>
            <w:r>
              <w:rPr>
                <w:sz w:val="18"/>
              </w:rPr>
              <w:t>Followed by a random end period of up to 30 seconds</w:t>
            </w:r>
          </w:p>
        </w:tc>
      </w:tr>
    </w:tbl>
    <w:p/>
    <w:p>
      <w:pPr>
        <w:pStyle w:val="Heading3"/>
      </w:pPr>
      <w:r>
        <w:t>8.3 Pre-trade Risk Controls</w:t>
      </w:r>
    </w:p>
    <w:p>
      <w:pPr>
        <w:pStyle w:val="ListBullet"/>
      </w:pPr>
      <w:r>
        <w:t>Maximum Order Value: Configurable per firm/gateway; orders exceeding threshold are rejected</w:t>
      </w:r>
    </w:p>
    <w:p>
      <w:pPr>
        <w:pStyle w:val="ListBullet"/>
      </w:pPr>
      <w:r>
        <w:t>Maximum Order Quantity: Limits on the maximum number of shares in a single order</w:t>
      </w:r>
    </w:p>
    <w:p>
      <w:pPr>
        <w:pStyle w:val="ListBullet"/>
      </w:pPr>
      <w:r>
        <w:t>Maximum Gross Consideration: Sum of the value of all trades today plus value of all open orders/quotes; controllable at global and instrument group level</w:t>
      </w:r>
    </w:p>
    <w:p>
      <w:pPr>
        <w:pStyle w:val="ListBullet"/>
      </w:pPr>
      <w:r>
        <w:t>Message Throttling: Rate limits on order submissions per second to prevent system overload</w:t>
      </w:r>
    </w:p>
    <w:p>
      <w:pPr>
        <w:pStyle w:val="ListBullet"/>
      </w:pPr>
      <w:r>
        <w:t>Price Collar Checks: Orders with prices significantly away from the current market may be rejected</w:t>
      </w:r>
    </w:p>
    <w:p>
      <w:pPr>
        <w:pStyle w:val="ListBullet"/>
      </w:pPr>
      <w:r>
        <w:t>Risk Controllers: Typically the General Clearing Member (GCM), CCP, or the member firm itself can set and monitor pre-trade limits in real time via GUI</w:t>
      </w:r>
    </w:p>
    <w:p>
      <w:pPr>
        <w:pStyle w:val="Heading3"/>
      </w:pPr>
      <w:r>
        <w:t>8.4 Kill Switch</w:t>
      </w:r>
    </w:p>
    <w:p>
      <w:pPr>
        <w:pStyle w:val="ListBullet"/>
      </w:pPr>
      <w:r>
        <w:t>GUI Kill Switch: Available through the risk management interface; allows authorized personnel to cancel all outstanding orders for a specific CompID or user</w:t>
      </w:r>
    </w:p>
    <w:p>
      <w:pPr>
        <w:pStyle w:val="ListBullet"/>
      </w:pPr>
      <w:r>
        <w:t>Telephone Kill Switch: Can be activated by contacting LSE market operations; must be followed up with written (email) confirmation for audit purposes</w:t>
      </w:r>
    </w:p>
    <w:p>
      <w:pPr>
        <w:pStyle w:val="ListBullet"/>
      </w:pPr>
      <w:r>
        <w:t>Scope: Can cancel all orders for a trading gateway CompID, a Native UserID, or across the entire firm</w:t>
      </w:r>
    </w:p>
    <w:p>
      <w:pPr>
        <w:pStyle w:val="ListBullet"/>
      </w:pPr>
      <w:r>
        <w:t>Real-time Monitoring: Risk exposure monitored in real time; alerts sent when configured thresholds are breached</w:t>
      </w:r>
    </w:p>
    <w:p>
      <w:r>
        <w:t>────────────────────────────────────────────────────────────</w:t>
      </w:r>
    </w:p>
    <w:p>
      <w:pPr>
        <w:pStyle w:val="Heading2"/>
      </w:pPr>
      <w:r>
        <w:t>9. Regulatory Framework</w:t>
      </w:r>
    </w:p>
    <w:p>
      <w:pPr>
        <w:pStyle w:val="Heading3"/>
      </w:pPr>
      <w:r>
        <w:t>9.1 Supervising Authority</w:t>
      </w:r>
    </w:p>
    <w:p>
      <w:pPr>
        <w:pStyle w:val="ListBullet"/>
      </w:pPr>
      <w:r>
        <w:t>Financial Conduct Authority (FCA): Primary regulator for LSE as a Recognised Investment Exchange (RIE) under the Financial Services and Markets Act 2000 (FSMA)</w:t>
      </w:r>
    </w:p>
    <w:p>
      <w:pPr>
        <w:pStyle w:val="ListBullet"/>
      </w:pPr>
      <w:r>
        <w:t>Bank of England / Prudential Regulation Authority (PRA): Prudential oversight of systemically important financial infrastructure</w:t>
      </w:r>
    </w:p>
    <w:p>
      <w:pPr>
        <w:pStyle w:val="ListBullet"/>
      </w:pPr>
      <w:r>
        <w:t>HM Treasury: Sets the legislative framework (e.g., onshoring EU regulations post-Brexit)</w:t>
      </w:r>
    </w:p>
    <w:p>
      <w:pPr>
        <w:pStyle w:val="Heading3"/>
      </w:pPr>
      <w:r>
        <w:t>9.2 Key Regulations</w:t>
      </w:r>
    </w:p>
    <w:p>
      <w:pPr>
        <w:pStyle w:val="ListBullet"/>
      </w:pPr>
      <w:r>
        <w:t>UK MiFID Framework: Onshored version of MiFID II/MiFIR post-Brexit, governing trading venues, transparency, and investor protection</w:t>
      </w:r>
    </w:p>
    <w:p>
      <w:pPr>
        <w:pStyle w:val="ListBullet"/>
      </w:pPr>
      <w:r>
        <w:t>Market Abuse Regulation (UK MAR): Prohibits insider dealing, market manipulation, and unlawful disclosure of inside information</w:t>
      </w:r>
    </w:p>
    <w:p>
      <w:pPr>
        <w:pStyle w:val="ListBullet"/>
      </w:pPr>
      <w:r>
        <w:t>Financial Services and Markets Act 2000 (FSMA): Primary legislation governing UK financial services; provides RIE recognition framework</w:t>
      </w:r>
    </w:p>
    <w:p>
      <w:pPr>
        <w:pStyle w:val="ListBullet"/>
      </w:pPr>
      <w:r>
        <w:t>Listing Rules / Prospectus Regulation: FCA Listing Rules govern admission to the Official List; UK Prospectus Regulation governs public offers of securities</w:t>
      </w:r>
    </w:p>
    <w:p>
      <w:pPr>
        <w:pStyle w:val="ListBullet"/>
      </w:pPr>
      <w:r>
        <w:t>Transparency Directive (DTRs): Disclosure and Transparency Rules for issuers of listed securities</w:t>
      </w:r>
    </w:p>
    <w:p>
      <w:pPr>
        <w:pStyle w:val="ListBullet"/>
      </w:pPr>
      <w:r>
        <w:t>Settlement Discipline Regime: UK CSDR provisions for settlement efficiency</w:t>
      </w:r>
    </w:p>
    <w:p>
      <w:pPr>
        <w:pStyle w:val="Heading3"/>
      </w:pPr>
      <w:r>
        <w:t>9.3 Market Surveillance</w:t>
      </w:r>
    </w:p>
    <w:p>
      <w:pPr>
        <w:pStyle w:val="ListBullet"/>
      </w:pPr>
      <w:r>
        <w:t>LSE Market Surveillance: Real-time monitoring of trading activity for suspicious patterns, potential market abuse, and rule violations using Millennium Surveillance technology</w:t>
      </w:r>
    </w:p>
    <w:p>
      <w:pPr>
        <w:pStyle w:val="ListBullet"/>
      </w:pPr>
      <w:r>
        <w:t>FCA Market Monitoring: FCA conducts its own surveillance using transaction reporting data submitted by firms under UK MiFIR Article 26</w:t>
      </w:r>
    </w:p>
    <w:p>
      <w:pPr>
        <w:pStyle w:val="ListBullet"/>
      </w:pPr>
      <w:r>
        <w:t>Suspicious Transaction and Order Reports (STORs): Member firms required to report suspicious activity to the FCA</w:t>
      </w:r>
    </w:p>
    <w:p>
      <w:pPr>
        <w:pStyle w:val="ListBullet"/>
      </w:pPr>
      <w:r>
        <w:t>Cross-market Surveillance: Coordination with other UK and international regulators</w:t>
      </w:r>
    </w:p>
    <w:p>
      <w:pPr>
        <w:pStyle w:val="Heading3"/>
      </w:pPr>
      <w:r>
        <w:t>9.4 Reporting Requirements</w:t>
      </w:r>
    </w:p>
    <w:p>
      <w:pPr>
        <w:pStyle w:val="ListBullet"/>
      </w:pPr>
      <w:r>
        <w:t>Transaction Reporting: Investment firms must report 65 data fields per transaction to the FCA by T+1 (end of following working day) under UK MiFIR Article 26</w:t>
      </w:r>
    </w:p>
    <w:p>
      <w:pPr>
        <w:pStyle w:val="ListBullet"/>
      </w:pPr>
      <w:r>
        <w:t>Post-trade Transparency: Real-time publication of trade details (price, volume, timestamp) as close to real-time as possible; deferrals available for large-in-scale and illiquid instruments</w:t>
      </w:r>
    </w:p>
    <w:p>
      <w:pPr>
        <w:pStyle w:val="ListBullet"/>
      </w:pPr>
      <w:r>
        <w:t>Pre-trade Transparency: Display of bid/offer prices and depth for order book instruments</w:t>
      </w:r>
    </w:p>
    <w:p>
      <w:pPr>
        <w:pStyle w:val="ListBullet"/>
      </w:pPr>
      <w:r>
        <w:t>Short Selling Disclosure: Net short positions above 0.2% of issued share capital reported to FCA; above 0.5% disclosed publicly</w:t>
      </w:r>
    </w:p>
    <w:p>
      <w:pPr>
        <w:pStyle w:val="ListBullet"/>
      </w:pPr>
      <w:r>
        <w:t>Major Shareholding Notifications: Disclosure required when crossing 3% and subsequent 1% thresholds of voting rights (DTR 5)</w:t>
      </w:r>
    </w:p>
    <w:p>
      <w:pPr>
        <w:pStyle w:val="ListBullet"/>
      </w:pPr>
      <w:r>
        <w:t>Annual/Semi-Annual Financial Reporting: Required for issuers under DTRs</w:t>
      </w:r>
    </w:p>
    <w:p>
      <w:pPr>
        <w:pStyle w:val="Heading3"/>
      </w:pPr>
      <w:r>
        <w:t>9.5 Cross-border Arrangements</w:t>
      </w:r>
    </w:p>
    <w:p>
      <w:pPr>
        <w:pStyle w:val="ListBullet"/>
      </w:pPr>
      <w:r>
        <w:t>Post-Brexit, the UK operates an independent regulatory framework; EU equivalence decisions remain limited</w:t>
      </w:r>
    </w:p>
    <w:p>
      <w:pPr>
        <w:pStyle w:val="ListBullet"/>
      </w:pPr>
      <w:r>
        <w:t>UK-domiciled firms can access EU venues under local EU member state rules (no blanket passporting)</w:t>
      </w:r>
    </w:p>
    <w:p>
      <w:pPr>
        <w:pStyle w:val="ListBullet"/>
      </w:pPr>
      <w:r>
        <w:t>Overseas firms can apply for recognition by the FCA to access LSE</w:t>
      </w:r>
    </w:p>
    <w:p>
      <w:pPr>
        <w:pStyle w:val="ListBullet"/>
      </w:pPr>
      <w:r>
        <w:t>Memoranda of Understanding (MoUs) with international regulators for information sharing and supervisory cooperation</w:t>
      </w:r>
    </w:p>
    <w:p>
      <w:pPr>
        <w:pStyle w:val="ListBullet"/>
      </w:pPr>
      <w:r>
        <w:t>IOSCO MMOU signatory</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Execution Fee (Equities/ETFs)</w:t>
            </w:r>
          </w:p>
        </w:tc>
        <w:tc>
          <w:tcPr>
            <w:tcW w:type="dxa" w:w="2880"/>
          </w:tcPr>
          <w:p>
            <w:pPr/>
            <w:r>
              <w:rPr>
                <w:sz w:val="18"/>
              </w:rPr>
              <w:t>Value-based (ad valorem)</w:t>
            </w:r>
          </w:p>
        </w:tc>
        <w:tc>
          <w:tcPr>
            <w:tcW w:type="dxa" w:w="2880"/>
          </w:tcPr>
          <w:p>
            <w:pPr/>
            <w:r>
              <w:rPr>
                <w:sz w:val="18"/>
              </w:rPr>
              <w:t>~0.45 bps of trade value (varies by pricing package and volume tier) [estimated]</w:t>
            </w:r>
          </w:p>
        </w:tc>
      </w:tr>
      <w:tr>
        <w:tc>
          <w:tcPr>
            <w:tcW w:type="dxa" w:w="2880"/>
          </w:tcPr>
          <w:p>
            <w:pPr/>
            <w:r>
              <w:rPr>
                <w:sz w:val="18"/>
              </w:rPr>
              <w:t>Exchange Fee (via Interactive Brokers)</w:t>
            </w:r>
          </w:p>
        </w:tc>
        <w:tc>
          <w:tcPr>
            <w:tcW w:type="dxa" w:w="2880"/>
          </w:tcPr>
          <w:p>
            <w:pPr/>
            <w:r>
              <w:rPr>
                <w:sz w:val="18"/>
              </w:rPr>
              <w:t>Per trade, value-based</w:t>
            </w:r>
          </w:p>
        </w:tc>
        <w:tc>
          <w:tcPr>
            <w:tcW w:type="dxa" w:w="2880"/>
          </w:tcPr>
          <w:p>
            <w:pPr/>
            <w:r>
              <w:rPr>
                <w:sz w:val="18"/>
              </w:rPr>
              <w:t>Trade Value x 0.000045 (0.45 bps), min GBP 0.10-0.11 per order</w:t>
            </w:r>
          </w:p>
        </w:tc>
      </w:tr>
      <w:tr>
        <w:tc>
          <w:tcPr>
            <w:tcW w:type="dxa" w:w="2880"/>
          </w:tcPr>
          <w:p>
            <w:pPr/>
            <w:r>
              <w:rPr>
                <w:sz w:val="18"/>
              </w:rPr>
              <w:t>Hidden/Iceberg Order Fee</w:t>
            </w:r>
          </w:p>
        </w:tc>
        <w:tc>
          <w:tcPr>
            <w:tcW w:type="dxa" w:w="2880"/>
          </w:tcPr>
          <w:p>
            <w:pPr/>
            <w:r>
              <w:rPr>
                <w:sz w:val="18"/>
              </w:rPr>
              <w:t>Value-based</w:t>
            </w:r>
          </w:p>
        </w:tc>
        <w:tc>
          <w:tcPr>
            <w:tcW w:type="dxa" w:w="2880"/>
          </w:tcPr>
          <w:p>
            <w:pPr/>
            <w:r>
              <w:rPr>
                <w:sz w:val="18"/>
              </w:rPr>
              <w:t>Trade Value x 0.000025 (0.25 bps), no minimum</w:t>
            </w:r>
          </w:p>
        </w:tc>
      </w:tr>
      <w:tr>
        <w:tc>
          <w:tcPr>
            <w:tcW w:type="dxa" w:w="2880"/>
          </w:tcPr>
          <w:p>
            <w:pPr/>
            <w:r>
              <w:rPr>
                <w:sz w:val="18"/>
              </w:rPr>
              <w:t>Retail Order Fee</w:t>
            </w:r>
          </w:p>
        </w:tc>
        <w:tc>
          <w:tcPr>
            <w:tcW w:type="dxa" w:w="2880"/>
          </w:tcPr>
          <w:p>
            <w:pPr/>
            <w:r>
              <w:rPr>
                <w:sz w:val="18"/>
              </w:rPr>
              <w:t>Reduced/waived for designated retail flow</w:t>
            </w:r>
          </w:p>
        </w:tc>
        <w:tc>
          <w:tcPr>
            <w:tcW w:type="dxa" w:w="2880"/>
          </w:tcPr>
          <w:p>
            <w:pPr/>
            <w:r>
              <w:rPr>
                <w:sz w:val="18"/>
              </w:rPr>
              <w:t>Trade Value x 0.0000 (free via certain schemes)</w:t>
            </w:r>
          </w:p>
        </w:tc>
      </w:tr>
      <w:tr>
        <w:tc>
          <w:tcPr>
            <w:tcW w:type="dxa" w:w="2880"/>
          </w:tcPr>
          <w:p>
            <w:pPr/>
            <w:r>
              <w:rPr>
                <w:sz w:val="18"/>
              </w:rPr>
              <w:t>Clearing Fee</w:t>
            </w:r>
          </w:p>
        </w:tc>
        <w:tc>
          <w:tcPr>
            <w:tcW w:type="dxa" w:w="2880"/>
          </w:tcPr>
          <w:p>
            <w:pPr/>
            <w:r>
              <w:rPr>
                <w:sz w:val="18"/>
              </w:rPr>
              <w:t>Per trade</w:t>
            </w:r>
          </w:p>
        </w:tc>
        <w:tc>
          <w:tcPr>
            <w:tcW w:type="dxa" w:w="2880"/>
          </w:tcPr>
          <w:p>
            <w:pPr/>
            <w:r>
              <w:rPr>
                <w:sz w:val="18"/>
              </w:rPr>
              <w:t>GBP 0.06 per trade (LCH EquityClear)</w:t>
            </w:r>
          </w:p>
        </w:tc>
      </w:tr>
      <w:tr>
        <w:tc>
          <w:tcPr>
            <w:tcW w:type="dxa" w:w="2880"/>
          </w:tcPr>
          <w:p>
            <w:pPr/>
            <w:r>
              <w:rPr>
                <w:sz w:val="18"/>
              </w:rPr>
              <w:t>SETSqx / SEAQ Trades</w:t>
            </w:r>
          </w:p>
        </w:tc>
        <w:tc>
          <w:tcPr>
            <w:tcW w:type="dxa" w:w="2880"/>
          </w:tcPr>
          <w:p>
            <w:pPr/>
            <w:r>
              <w:rPr>
                <w:sz w:val="18"/>
              </w:rPr>
              <w:t>Value-based</w:t>
            </w:r>
          </w:p>
        </w:tc>
        <w:tc>
          <w:tcPr>
            <w:tcW w:type="dxa" w:w="2880"/>
          </w:tcPr>
          <w:p>
            <w:pPr/>
            <w:r>
              <w:rPr>
                <w:sz w:val="18"/>
              </w:rPr>
              <w:t>Different rate schedule from SETS [specific rates not publicly confirmed]</w:t>
            </w:r>
          </w:p>
        </w:tc>
      </w:tr>
    </w:tbl>
    <w:p/>
    <w:p>
      <w:pPr>
        <w:pStyle w:val="Heading3"/>
      </w:pPr>
      <w:r>
        <w:t>10.2 Other Fees</w:t>
      </w:r>
    </w:p>
    <w:p>
      <w:pPr>
        <w:pStyle w:val="ListBullet"/>
      </w:pPr>
      <w:r>
        <w:t>Membership / Annual Fees: Annual trading membership fee; varies by firm category [specific amounts not publicly disclosed]</w:t>
      </w:r>
    </w:p>
    <w:p>
      <w:pPr>
        <w:pStyle w:val="ListBullet"/>
      </w:pPr>
      <w:r>
        <w:t>Connectivity Fees: Charges for each trading gateway connection, market data connection, and co-location cross-connect</w:t>
      </w:r>
    </w:p>
    <w:p>
      <w:pPr>
        <w:pStyle w:val="ListBullet"/>
      </w:pPr>
      <w:r>
        <w:t>Market Data Fees: Per-user and enterprise licensing for Level 1 and Level 2 data; separate pricing for real-time vs. delayed</w:t>
      </w:r>
    </w:p>
    <w:p>
      <w:pPr>
        <w:pStyle w:val="ListBullet"/>
      </w:pPr>
      <w:r>
        <w:t>Listing Fees (Initial): Varies by market cap; Main Market initial listing fee starts from several thousand GBP</w:t>
      </w:r>
    </w:p>
    <w:p>
      <w:pPr>
        <w:pStyle w:val="ListBullet"/>
      </w:pPr>
      <w:r>
        <w:t>Listing Fees (Annual): Annual fee for maintaining listing; starts at GBP 1,525 pro-rata in year of admission (for smaller issuers); scales with market cap</w:t>
      </w:r>
    </w:p>
    <w:p>
      <w:pPr>
        <w:pStyle w:val="ListBullet"/>
      </w:pPr>
      <w:r>
        <w:t>Testing/Certification Fees: Charges for use of Customer Development Service (CDS) test environment</w:t>
      </w:r>
    </w:p>
    <w:p>
      <w:pPr>
        <w:pStyle w:val="ListBullet"/>
      </w:pPr>
      <w:r>
        <w:t>Pricing Packages: LSE offers volume-based pricing packages; firms can change packages monthly by notifying clients@lseg.com by 15:00 on the last business day of the prior month</w:t>
      </w:r>
    </w:p>
    <w:p>
      <w:r>
        <w:t>────────────────────────────────────────────────────────────</w:t>
      </w:r>
    </w:p>
    <w:p>
      <w:pPr>
        <w:pStyle w:val="Heading2"/>
      </w:pPr>
      <w:r>
        <w:t>11. Recent Developments</w:t>
      </w:r>
    </w:p>
    <w:p>
      <w:pPr>
        <w:pStyle w:val="Heading3"/>
      </w:pPr>
      <w:r>
        <w:t>System Upgrades (Last 5 Years)</w:t>
      </w:r>
    </w:p>
    <w:p>
      <w:pPr>
        <w:pStyle w:val="ListBullet"/>
      </w:pPr>
      <w:r>
        <w:t>2021-2022: Continued Millennium Exchange enhancements; LCH EquityClear migrated to new LSEG Technology post-trade platform</w:t>
      </w:r>
    </w:p>
    <w:p>
      <w:pPr>
        <w:pStyle w:val="ListBullet"/>
      </w:pPr>
      <w:r>
        <w:t>2023: Ongoing latency reduction and capacity upgrades to matching engine [unverified specific details]</w:t>
      </w:r>
    </w:p>
    <w:p>
      <w:pPr>
        <w:pStyle w:val="ListBullet"/>
      </w:pPr>
      <w:r>
        <w:t>2024: Material enhancements to LSEG Workspace platform; first products from Microsoft Cloud partnership made generally available; strong pipeline for 2025 cloud-based data delivery</w:t>
      </w:r>
    </w:p>
    <w:p>
      <w:pPr>
        <w:pStyle w:val="ListBullet"/>
      </w:pPr>
      <w:r>
        <w:t>2025: Trading system stability improvements; enhanced market data infrastructure [unverified]</w:t>
      </w:r>
    </w:p>
    <w:p>
      <w:pPr>
        <w:pStyle w:val="ListBullet"/>
      </w:pPr>
      <w:r>
        <w:t>2026: Digital Markets Infrastructure (DMI) on-chain settlement initiative announced, leveraging Microsoft Azure distributed ledger technology, pending regulatory approval</w:t>
      </w:r>
    </w:p>
    <w:p>
      <w:pPr>
        <w:pStyle w:val="Heading3"/>
      </w:pPr>
      <w:r>
        <w:t>New Products / Segments</w:t>
      </w:r>
    </w:p>
    <w:p>
      <w:pPr>
        <w:pStyle w:val="ListBullet"/>
      </w:pPr>
      <w:r>
        <w:t>Voluntary Carbon Market (VCM): LSE launched a Voluntary Carbon Market in 2024 [unverified]</w:t>
      </w:r>
    </w:p>
    <w:p>
      <w:pPr>
        <w:pStyle w:val="ListBullet"/>
      </w:pPr>
      <w:r>
        <w:t>PISCES (Private Intermittent Securities and Capital Exchange System): UK government-backed initiative for private company share trading via LSE; sandbox launched 2024 [unverified]</w:t>
      </w:r>
    </w:p>
    <w:p>
      <w:pPr>
        <w:pStyle w:val="ListBullet"/>
      </w:pPr>
      <w:r>
        <w:t>LSEG Sustainability Ratings and Data: Launched March 2026, providing ESG scores and sustainability analytics for investors</w:t>
      </w:r>
    </w:p>
    <w:p>
      <w:pPr>
        <w:pStyle w:val="ListBullet"/>
      </w:pPr>
      <w:r>
        <w:t>Closing Price Crossing Session: Enhancement to closing auction process</w:t>
      </w:r>
    </w:p>
    <w:p>
      <w:pPr>
        <w:pStyle w:val="Heading3"/>
      </w:pPr>
      <w:r>
        <w:t>Regulatory Changes</w:t>
      </w:r>
    </w:p>
    <w:p>
      <w:pPr>
        <w:pStyle w:val="ListBullet"/>
      </w:pPr>
      <w:r>
        <w:t>UK Listing Rules Reform: FCA completed major listing regime reform in 2024, merging Premium and Standard segments into a single listing category effective July 2024</w:t>
      </w:r>
    </w:p>
    <w:p>
      <w:pPr>
        <w:pStyle w:val="ListBullet"/>
      </w:pPr>
      <w:r>
        <w:t>UK MiFIR Review: FCA Discussion Paper on improving UK Transaction Reporting Regime (feedback closed February 2025); Consultation Paper expected 2025-2026</w:t>
      </w:r>
    </w:p>
    <w:p>
      <w:pPr>
        <w:pStyle w:val="ListBullet"/>
      </w:pPr>
      <w:r>
        <w:t>Edinburgh Reforms: UK government's broader financial services reform package post-Brexit, impacting listing, prospectus, and trading venue regulation</w:t>
      </w:r>
    </w:p>
    <w:p>
      <w:pPr>
        <w:pStyle w:val="ListBullet"/>
      </w:pPr>
      <w:r>
        <w:t>Settlement Cycle: Industry discussions on moving from T+2 to T+1 settlement in the UK (potentially aligned with EU timeline, expected 2027)</w:t>
      </w:r>
    </w:p>
    <w:p>
      <w:pPr>
        <w:pStyle w:val="ListBullet"/>
      </w:pPr>
      <w:r>
        <w:t>Short Selling Regulation: UK reforming its short selling regime post-Brexit with updated FCA rules</w:t>
      </w:r>
    </w:p>
    <w:p>
      <w:pPr>
        <w:pStyle w:val="Heading3"/>
      </w:pPr>
      <w:r>
        <w:t>Strategic Initiatives</w:t>
      </w:r>
    </w:p>
    <w:p>
      <w:pPr>
        <w:pStyle w:val="ListBullet"/>
      </w:pPr>
      <w:r>
        <w:t>Microsoft Partnership: Deep strategic partnership for cloud infrastructure, data delivery, and AI integration; products delivered through Microsoft Azure and Teams</w:t>
      </w:r>
    </w:p>
    <w:p>
      <w:pPr>
        <w:pStyle w:val="ListBullet"/>
      </w:pPr>
      <w:r>
        <w:t>AI &amp; ChatGPT Integration: LSEG financial data integrated into OpenAI's ChatGPT (announced December 2025); positioning data and analytics for AI consumption</w:t>
      </w:r>
    </w:p>
    <w:p>
      <w:pPr>
        <w:pStyle w:val="ListBullet"/>
      </w:pPr>
      <w:r>
        <w:t>Share Buyback Programme: GBP 2.1 billion returned to shareholders in 2025; GBP 3 billion programme to be completed by February 2027</w:t>
      </w:r>
    </w:p>
    <w:p>
      <w:pPr>
        <w:pStyle w:val="ListBullet"/>
      </w:pPr>
      <w:r>
        <w:t>2027-2029 Growth Framework: Targeting mid-to-high single digit organic constant currency growth in total income annually; acceleration in subscription-based revenues</w:t>
      </w:r>
    </w:p>
    <w:p>
      <w:pPr>
        <w:pStyle w:val="ListBullet"/>
      </w:pPr>
      <w:r>
        <w:t>IPO Pipeline: London IPO market rebounding in Q4 2025 into 2026, with improved pipeline following years of subdued issuance</w:t>
      </w:r>
    </w:p>
    <w:p>
      <w:pPr>
        <w:pStyle w:val="ListBullet"/>
      </w:pPr>
      <w:r>
        <w:t>Data &amp; Analytics Dominance: Post-Refinitiv, data and analytics represents ~70% of LSEG revenue; continued investment in datasets, cloud delivery, and real-time capabilities</w:t>
      </w:r>
    </w:p>
    <w:p>
      <w:r>
        <w:t>────────────────────────────────────────────────────────────</w:t>
      </w:r>
    </w:p>
    <w:p>
      <w:pPr>
        <w:pStyle w:val="Heading2"/>
      </w:pPr>
      <w:r>
        <w:t>Sources</w:t>
      </w:r>
    </w:p>
    <w:p>
      <w:r>
        <w:t>[Source: London Stock Exchange Official Website, "londonstockexchange.com", accessed 2026-04-03]</w:t>
      </w:r>
    </w:p>
    <w:p>
      <w:r>
        <w:t>[Source: LSEG Official Website, "lseg.com - About Us / History", accessed 2026-04-03]</w:t>
      </w:r>
    </w:p>
    <w:p>
      <w:r>
        <w:t>[Source: LSEG, "Preliminary Results for Year Ended 31 December 2025", accessed 2026-04-03]</w:t>
      </w:r>
    </w:p>
    <w:p>
      <w:r>
        <w:t>[Source: LSEG, "Preliminary Results for Year Ended 31 December 2024", accessed 2026-04-03]</w:t>
      </w:r>
    </w:p>
    <w:p>
      <w:r>
        <w:t>[Source: LSE Docs, "MIT201 - Guide to the Trading System Issue 15.6", accessed 2026-04-03]</w:t>
      </w:r>
    </w:p>
    <w:p>
      <w:r>
        <w:t>[Source: LSE Docs, "Trading Services Price List, Effective 01 January 2025", accessed 2026-04-03]</w:t>
      </w:r>
    </w:p>
    <w:p>
      <w:r>
        <w:t>[Source: LSE Docs, "Fees for Issuers, Effective 01 January 2026", accessed 2026-04-03]</w:t>
      </w:r>
    </w:p>
    <w:p>
      <w:r>
        <w:t>[Source: LSE Docs, "MIT303 - Level 2 MITCH Specification Issue 11.9", accessed 2026-04-03]</w:t>
      </w:r>
    </w:p>
    <w:p>
      <w:r>
        <w:t>[Source: LSE Docs, "MIT202 - FIX Trading Gateway (FIX 5.0) Issue 13.1", accessed 2026-04-03]</w:t>
      </w:r>
    </w:p>
    <w:p>
      <w:r>
        <w:t>[Source: LSE Docs, "MIT203 - Native Trading Gateway Specification Issue 17", accessed 2026-04-03]</w:t>
      </w:r>
    </w:p>
    <w:p>
      <w:r>
        <w:t>[Source: LSE Docs, "MIT301 - Guide to Market Data Services Issue 10.1", accessed 2026-04-03]</w:t>
      </w:r>
    </w:p>
    <w:p>
      <w:r>
        <w:t>[Source: LSE Docs, "MIT401 - Guide to Reference Data Services Issue 18.1", accessed 2026-04-03]</w:t>
      </w:r>
    </w:p>
    <w:p>
      <w:r>
        <w:t>[Source: LSE Docs, "MIT1001 - Connectivity Guide Issue 4.2", accessed 2026-04-03]</w:t>
      </w:r>
    </w:p>
    <w:p>
      <w:r>
        <w:t>[Source: LSE Docs, "Maintaining Orderly Markets - Circuit Breakers Explained", accessed 2026-04-03]</w:t>
      </w:r>
    </w:p>
    <w:p>
      <w:r>
        <w:t>[Source: LSE Docs, "ETP Price Monitoring Mechanisms", accessed 2026-04-03]</w:t>
      </w:r>
    </w:p>
    <w:p>
      <w:r>
        <w:t>[Source: LSE Docs, "Exchange Level Controls - Enhanced Pre-Trade Risk Controls Technical Description", accessed 2026-04-03]</w:t>
      </w:r>
    </w:p>
    <w:p>
      <w:r>
        <w:t>[Source: LSE Docs, "Secondary Markets Factsheet June 2025", accessed 2026-04-03]</w:t>
      </w:r>
    </w:p>
    <w:p>
      <w:r>
        <w:t>[Source: Interactive Brokers, "LSE Stock Exchange Fees", accessed 2026-04-03]</w:t>
      </w:r>
    </w:p>
    <w:p>
      <w:r>
        <w:t>[Source: AIM-Watch, "LSE Auctions Explained", accessed 2026-04-03]</w:t>
      </w:r>
    </w:p>
    <w:p>
      <w:r>
        <w:t>[Source: AIM-Watch, "SEAQ, SETS &amp; SETSqx Trading Systems Explained", accessed 2026-04-03]</w:t>
      </w:r>
    </w:p>
    <w:p>
      <w:r>
        <w:t>[Source: Computerworld, "London Stock Exchange declares Millennium IT migration successful", accessed 2026-04-03]</w:t>
      </w:r>
    </w:p>
    <w:p>
      <w:r>
        <w:t>[Source: IEEE Spectrum, "London Stock Exchange New Trading Platform Twice as Fast as Rivals", accessed 2026-04-03]</w:t>
      </w:r>
    </w:p>
    <w:p>
      <w:r>
        <w:t>[Source: Statista, "London Stock Exchange statistics &amp; facts", accessed 2026-04-03]</w:t>
      </w:r>
    </w:p>
    <w:p>
      <w:r>
        <w:t>[Source: FCA, "Regulation of markets in financial instruments", accessed 2026-04-03]</w:t>
      </w:r>
    </w:p>
    <w:p>
      <w:r>
        <w:t>[Source: ESMA, "MiFID II Article 49 Tick Sizes / RTS 11", accessed 2026-04-03]</w:t>
      </w:r>
    </w:p>
    <w:p>
      <w:r>
        <w:t>[Source: Crowdfund Insider, "LSEG Enhances Digital Markets Infrastructure With On-Chain Settlement", February 2026, accessed 2026-04-03]</w:t>
      </w:r>
    </w:p>
    <w:p>
      <w:r>
        <w:t>[Source: Ballotpedia News, "LSEG launches new ESG scores", March 2026, accessed 2026-04-03]</w:t>
      </w:r>
    </w:p>
    <w:p>
      <w:r>
        <w:t>[Source: EY UK, "IPO Eye Q4 2025 - London Stock Exchange", January 2026, accessed 2026-04-03]</w:t>
      </w:r>
    </w:p>
    <w:p>
      <w:r>
        <w:t>[Source: TS2 Tech, "LSEG Stock: ChatGPT Deal, Buyback and 2026 Price Targets", December 2025, accessed 2026-04-03]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