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Borsa Italiana (Euronext Milan)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Borsa Italiana S.p.A.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BIt / MIL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 MIC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XMIL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https://www.borsaitaliana.it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1808년 (나폴레옹 이탈리아왕국 부왕 Eugene de Beauharnais의 칙령에 의해 Borsa di commercio di Milano로 설립)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이탈리아 / 밀라노 (Palazzo Mezzanotte, Piazza degli Affari)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N.V.의 완전 자회사 (2021년 4월 이후)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 (종목코드: ENX, Euronext Amsterdam 상장)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CONSOB (Commissione Nazionale per le Societa e la Borsa)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12월 기준 약 1,042억 유로 / 약 1.15조 달러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 시장 부문 합산 약 375개사 이상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벤치마크 지수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FTSE MIB (가장 유동적이고 시가총액이 큰 이탈리아 주식 40개, 국내 시가총액의 약 80% 커버)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[미확인 -- 통합 형태로 미공개]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[미확인 -- 통합 형태로 미공개]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1808년: 나폴레옹 칙령에 의해 Borsa di commercio di Milano 설립 (1808년 1월 16일 및 2월 6일)</w:t>
      </w:r>
    </w:p>
    <w:p>
      <w:pPr>
        <w:pStyle w:val="ListBullet"/>
      </w:pPr>
      <w:r>
        <w:t>1808-1996년: 정부 규제 공공기관으로 운영; Palazzo Mezzanotte의 실물 거래장에서 매매</w:t>
      </w:r>
    </w:p>
    <w:p>
      <w:pPr>
        <w:pStyle w:val="ListBullet"/>
      </w:pPr>
      <w:r>
        <w:t>1991년: 장내매매와 병행하여 전자매매 도입</w:t>
      </w:r>
    </w:p>
    <w:p>
      <w:pPr>
        <w:pStyle w:val="ListBullet"/>
      </w:pPr>
      <w:r>
        <w:t>1994년: 장내매매 종료; 전자시스템으로 완전 이전</w:t>
      </w:r>
    </w:p>
    <w:p>
      <w:pPr>
        <w:pStyle w:val="ListBullet"/>
      </w:pPr>
      <w:r>
        <w:t>1997년: 이탈리아 증권거래소 민영화; Borsa Italiana S.p.A. 정식 설립</w:t>
      </w:r>
    </w:p>
    <w:p>
      <w:pPr>
        <w:pStyle w:val="ListBullet"/>
      </w:pPr>
      <w:r>
        <w:t>1998년: Borsa Italiana S.p.A.가 민간 법인으로 발효 (1998년 1월 2일), 모든 이탈리아 규제시장 통합</w:t>
      </w:r>
    </w:p>
    <w:p>
      <w:pPr>
        <w:pStyle w:val="ListBullet"/>
      </w:pPr>
      <w:r>
        <w:t>2007년: London Stock Exchange Group (LSEG)이 16억 유로에 Borsa Italiana 인수 (2007년 6월 23일), LSEG 형성</w:t>
      </w:r>
    </w:p>
    <w:p>
      <w:pPr>
        <w:pStyle w:val="ListBullet"/>
      </w:pPr>
      <w:r>
        <w:t>2010년: LSEG 소유 하에 MTA 명칭 변경 및 현대화; Millennium Exchange 기술 배치</w:t>
      </w:r>
    </w:p>
    <w:p>
      <w:pPr>
        <w:pStyle w:val="ListBullet"/>
      </w:pPr>
      <w:r>
        <w:t>2020년: LSEG가 EU 독점규제 충족을 위해 Borsa Italiana Group을 Euronext에 43.25억 유로에 매각 합의 (2020년 10월 9일), LSEG의 Refinitiv 인수 조건</w:t>
      </w:r>
    </w:p>
    <w:p>
      <w:pPr>
        <w:pStyle w:val="ListBullet"/>
      </w:pPr>
      <w:r>
        <w:t>2021년: Euronext, Borsa Italiana Group 인수 완료 (2021년 4월 29일); 핵심 데이터센터의 Basildon(영국)에서 이탈리아 Bergamo의 Aruba IT3로 이전 발표</w:t>
      </w:r>
    </w:p>
    <w:p>
      <w:pPr>
        <w:pStyle w:val="ListBullet"/>
      </w:pPr>
      <w:r>
        <w:t>2022년: Bergamo로의 핵심 데이터센터 이전 완료</w:t>
      </w:r>
    </w:p>
    <w:p>
      <w:pPr>
        <w:pStyle w:val="ListBullet"/>
      </w:pPr>
      <w:r>
        <w:t>2023년: Phase 1 Optiq 이전 -- 주식 및 ETF를 Euronext Optiq 플랫폼으로 이전 (2023년 3월 27일); Phase 2 -- 채권, 워런트, 인증서 이전 (2023년 9월 11일); 시장 부문 리브랜딩 (MTA를 Euronext Milan으로, AIM Italia를 Euronext Growth Milan으로)</w:t>
      </w:r>
    </w:p>
    <w:p>
      <w:pPr>
        <w:pStyle w:val="ListBullet"/>
      </w:pPr>
      <w:r>
        <w:t>2024년: Phase 3 Optiq 이전 -- 이탈리아 파생상품 이전 (2024년 4월); Euronext 단일 매매 플랫폼으로의 완전 통합 완료</w:t>
      </w:r>
    </w:p>
    <w:p>
      <w:pPr>
        <w:pStyle w:val="ListBullet"/>
      </w:pPr>
      <w:r>
        <w:t>2025년: 시가총액 1조 유로 돌파; 2025년 Euronext 71번째 상장</w:t>
      </w:r>
    </w:p>
    <w:p>
      <w:r>
        <w:rPr>
          <w:i/>
          <w:sz w:val="18"/>
        </w:rPr>
        <w:t>**LSEG에서 Euronext로의 전환 참고**: Borsa Italiana 매각은 LSEG의 270억 달러 규모 Refinitiv 인수에 EU 독점규제 당국이 부과한 조건에 의해 추동되었다. Euronext의 인수에는 Borsa Italiana 시장뿐 아니라 CC&amp;G(중앙거래상대방, 현 Euronext Clearing) 및 Monte Titoli(중앙예탁기관)도 포함되었다. LSEG의 Millennium 플랫폼에서 Euronext의 Optiq 플랫폼으로의 전면 기술 이전은 인수 후 3년 이내인 2023-2024년에 걸쳐 3단계로 완료되었다.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Milan** (구 MTA)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대형 및 중형주를 위한 주요 규제시장; 이탈리아 주식의 대표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예상 시가총액 4,000만 유로; 3년간 감사된 재무제표; 최소 25% 유동주식비율; 스폰서 필요; CONSOB 승인 투자설명서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STAR Milan**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Milan 내 중형주 부문으로, 높은 투명성, 지배구조, 유동성 기준을 준수하는 기업 대상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Milan 요건 전부 + 강화된 기업지배구조, 최소 애널리스트 커버리지, 전담 전문가/유동성공급자 필요; 약 61개사, 총 시가총액 약 390억 유로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Growth Milan** (구 AIM Italia)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완화된 상장 요건의 SME용 MTF; 소형 및 성장기업의 진입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시가총액 없음; 최소 영업실적 없음; Euronext Growth Advisor (구 Nomad) 지정 필요; 최소 유동주식비율 10% [미확인]; 입회서류(전체 투자설명서 아님)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Access Milan**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마이크로캡 및 스타트업을 위한 입문 시장; 가장 완화된 요건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간소화된 입회; 상장 스폰서 필요; 최소한의 지속적 의무 [미확인]</w:t>
            </w:r>
          </w:p>
        </w:tc>
      </w:tr>
    </w:tbl>
    <w:p/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(CET/CEST)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(겨울 / 여름)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 / 주문접수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07:00 - 08:00 / 06:00 - 07:00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입력, 수정, 취소 가능; 매칭 미발생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09:00 - 09:00+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/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단일가매매에 의한 시가 결정; 조작 방지를 위한 랜덤 종료 기간 포함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~09:00 - 17:25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~08:00 - 16:25 / ~07:00 - 15:25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가격/시간 우선원칙에 의한 주문주도형 연속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종가단일가매매(장마감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17:25 - 17:30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16:25 - 16:30 / 15:25 - 15:30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단일가매매에 의한 종가 결정; 랜덤 종료 기간 포함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17:30 - 17:30+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/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확정된 종가에서만 주문 체결 가능 [미확인 정확한 종료 시간]</w:t>
            </w:r>
          </w:p>
        </w:tc>
      </w:tr>
    </w:tbl>
    <w:p/>
    <w:p>
      <w:r>
        <w:t>참고: 이탈리아는 3월 말~10월 말 CEST (UTC+2), 기타 기간 CET (UTC+1) 적용. 상기 시간은 근사치이며, 정확한 단계 경계는 랜덤 경매 종료 기간으로 인해 수 분 차이가 날 수 있다.</w:t>
      </w:r>
    </w:p>
    <w:p>
      <w:pPr>
        <w:pStyle w:val="Heading3"/>
      </w:pPr>
      <w:r>
        <w:t>2.3 호가단위 (Tick Sizes)</w:t>
      </w:r>
    </w:p>
    <w:p>
      <w:r>
        <w:t>Borsa Italiana / Euronext Milan은 모든 Euronext 시장에 걸쳐 사용되는 MiFID II 호가단위(최소가격변동폭) 체제 (RTS 11)를 따른다. 호가단위(최소가격변동폭)는 상품의 가격 수준과 유동성 밴드(일평균거래건수 기준)에 따라 결정된다.</w:t>
      </w:r>
    </w:p>
    <w:p>
      <w:r>
        <w:t>대표 값 (Euronext 전체 및 EU 전체 MiFID II 호가단위(최소가격변동폭) 표와 동일):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가격 범위 (유로)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1 (&lt; 10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3 (80-600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6 (&gt;= 9000 ADNT)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0 - 0.4999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2 - 4.9999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10 - 49.9999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0.2-0.5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0.1-0.2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0.02-0.05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50 - 99.9999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</w:tr>
    </w:tbl>
    <w:p/>
    <w:p>
      <w:r>
        <w:t>[출처: ESMA RTS 11; 6개 유동성 밴드 및 13개 가격 범위의 대표 값]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Euronext Milan 주식의 경우 1주</w:t>
      </w:r>
    </w:p>
    <w:p>
      <w:pPr>
        <w:pStyle w:val="ListBullet"/>
      </w:pPr>
      <w:r>
        <w:t>접속매매(연속매매) 호가장 매매에 최소 매매단위(거래단위) 없음</w:t>
      </w:r>
    </w:p>
    <w:p>
      <w:pPr>
        <w:pStyle w:val="ListBullet"/>
      </w:pPr>
      <w:r>
        <w:t>MiFID II 대규모(LIS) 면제에 의한 대량매매 기준 정의</w:t>
      </w:r>
    </w:p>
    <w:p>
      <w:pPr>
        <w:pStyle w:val="Heading3"/>
      </w:pPr>
      <w:r>
        <w:t>2.5 시장조성자(마켓메이커) / 유동성공급자 프로그램 (Market Maker / Liquidity Provider Programs)</w:t>
      </w:r>
    </w:p>
    <w:p>
      <w:pPr>
        <w:pStyle w:val="ListBullet"/>
      </w:pPr>
      <w:r>
        <w:t>전문가 / 유동성공급자: 특정 증권에 대해 지정된 시장조성자(마켓메이커)가 매매시간 중 지속적 양방향 호가 제공; Euronext STAR Milan 부문에 필수</w:t>
      </w:r>
    </w:p>
    <w:p>
      <w:pPr>
        <w:pStyle w:val="ListBullet"/>
      </w:pPr>
      <w:r>
        <w:t>시장조성자(마켓메이커) 수수료 인센티브: Euronext가 등록 유동성공급자에게 매매 수수료 할인 제공</w:t>
      </w:r>
    </w:p>
    <w:p>
      <w:pPr>
        <w:pStyle w:val="ListBullet"/>
      </w:pPr>
      <w:r>
        <w:t>Euronext Growth Milan: 각 발행자는 유동성 지원을 위한 전문가 지정 필수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시가단일가매매(개장 경매): 장전 주문 집적 단계 이후 시작. 주문이 집적되고 언크로싱 알고리즘이 체결 가능 수량을 최대화하는 가격을 결정. 최후 순간 조작 방지를 위한 랜덤 종료 기간(통상 최대 30초) 포함</w:t>
      </w:r>
    </w:p>
    <w:p>
      <w:pPr>
        <w:pStyle w:val="ListBullet"/>
      </w:pPr>
      <w:r>
        <w:t>종가단일가매매(장마감 경매): 17:25에 접속매매(연속매매)가 중단되고 종가 경매 기간 시작. 언크로싱이 공식 종가(지수 제공업체, 펀드 매니저, NAV 산출에 사용) 결정. 랜덤 종료 기간 포함</w:t>
      </w:r>
    </w:p>
    <w:p>
      <w:pPr>
        <w:pStyle w:val="ListBullet"/>
      </w:pPr>
      <w:r>
        <w:t>변동성 경매: 잠재적 체결이 동적 또는 정적 가격 모니터링 기준(서킷브레이커(매매거래중단))을 위반할 때 발동. 매매가 중단되고 질서 있는 가격 발견을 위한 단일가매매 실시. 최소 5분; 예상 가격이 기준을 다시 위반할 경우 연장 가능 (Borsa Italiana의 역사적 평균 약 10분, 최대 50분까지 연장 관측)</w:t>
      </w:r>
    </w:p>
    <w:p>
      <w:pPr>
        <w:pStyle w:val="ListBullet"/>
      </w:pPr>
      <w:r>
        <w:t>종가매매: 종가단일가매매(장마감 경매) 이후 확정된 종가에서만 체결 가능한 짧은 세션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접속매매(연속매매) 세션(약 09:00-17:25 CET) 동안 가격/시간 우선원칙 매칭의 주문주도형 시장</w:t>
      </w:r>
    </w:p>
    <w:p>
      <w:pPr>
        <w:pStyle w:val="ListBullet"/>
      </w:pPr>
      <w:r>
        <w:t>각 신규 주문은 호가장의 반대 측 주문과 즉시 매칭; 미매칭 부분은 호가장에 잔류</w:t>
      </w:r>
    </w:p>
    <w:p>
      <w:pPr>
        <w:pStyle w:val="ListBullet"/>
      </w:pPr>
      <w:r>
        <w:t>선택적 시장조성자(마켓메이커) 참여로 추가 유동성 제공</w:t>
      </w:r>
    </w:p>
    <w:p>
      <w:pPr>
        <w:pStyle w:val="ListBullet"/>
      </w:pPr>
      <w:r>
        <w:t>2023년 3월 이후 주식에 대해 Euronext Optiq 매매체결엔진(매칭엔진) 사용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가격 발견은 주로 시가 및 종가 경매와 접속매매(연속매매) 호가장 상호작용을 통해 발생</w:t>
      </w:r>
    </w:p>
    <w:p>
      <w:pPr>
        <w:pStyle w:val="ListBullet"/>
      </w:pPr>
      <w:r>
        <w:t>언크로싱 알고리즘은 체결 가능 수량을 최대화한 후, 잉여를 최소화하고, 직전 가격을 참조</w:t>
      </w:r>
    </w:p>
    <w:p>
      <w:pPr>
        <w:pStyle w:val="ListBullet"/>
      </w:pPr>
      <w:r>
        <w:t>서킷브레이커(매매거래중단)의 기준가는 경매 언크로싱 가격에서 도출되고 접속매매(연속매매) 중 동적으로 갱신</w:t>
      </w:r>
    </w:p>
    <w:p>
      <w:pPr>
        <w:pStyle w:val="ListBullet"/>
      </w:pPr>
      <w:r>
        <w:t>종가(종가단일가매매(장마감 경매)에서 결정)는 지수, 결제, 펀드 평가를 위한 주요 기준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r>
        <w:t>간략 수록 (Tier 3)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매수/매도; 즉시 매칭되지 않으면 호가장에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체결; 미매칭 부분은 설정에 따라 취소될 수 있음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빙산주문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공개 피크 수량만 표시; 숨겨진 예비 물량이 자동 보충. 피크는 최소 매매단위(거래단위)의 10배; 총 금액은 10,000유로 이상이어야 하며, 미달 시 투명 지정가주문으로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조건부주문 (시장가/지정가)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시장이 지정된 조건부 가격에 도달하면 발동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연동가주문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기본 연동은 최우선 매수/매도 호가 추적; 중간가 연동은 BBO의 중간가 추적. 기준 변경에 따라 지속 재설정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 (GFD)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Date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만기일까지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Cancelled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취소 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체결; 잔량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Fill or Kill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전체 취소</w:t>
            </w:r>
          </w:p>
        </w:tc>
      </w:tr>
    </w:tbl>
    <w:p/>
    <w:p>
      <w:pPr>
        <w:pStyle w:val="Heading3"/>
      </w:pPr>
      <w:r>
        <w:t>4.4 주문 수정 / 취소 (Order Modification / Cancellation)</w:t>
      </w:r>
    </w:p>
    <w:p>
      <w:pPr>
        <w:pStyle w:val="ListBullet"/>
      </w:pPr>
      <w:r>
        <w:t>FIX 또는 SBE (네이티브) 게이트웨이를 통해 매매 세션 중 주문 수정 또는 취소 가능</w:t>
      </w:r>
    </w:p>
    <w:p>
      <w:pPr>
        <w:pStyle w:val="ListBullet"/>
      </w:pPr>
      <w:r>
        <w:t>우선순위를 개선하는 가격 수정은 새로운 타임스탬프 부여(시간 우선순위 상실)</w:t>
      </w:r>
    </w:p>
    <w:p>
      <w:pPr>
        <w:pStyle w:val="ListBullet"/>
      </w:pPr>
      <w:r>
        <w:t>자기거래방지(STP) 메커니즘으로 동일 회사 주문 간 매칭 방지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Optiq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(Euronext 개발)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이전 시스템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Millennium Exchange (LSEG/MillenniumIT) -- 2023년 3월 주식 부문까지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고성능, 저지연 매매체결엔진(매칭엔진); 이벤트 구동형 아키텍처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가격/시간 우선원칙의 중앙 매매체결엔진(매칭엔진); 다중 자산군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평균 약 15마이크로초 (주문 왕복 및 시장 데이터)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최대 100만 메시지; 확장형 아키텍처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 (Borsa Italiana)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Phase 1: 2023년 3월 (주식, ETF); Phase 2: 2023년 9월 (채권, 워런트, 인증서); Phase 3: 2024년 4월 (파생상품)</w:t>
            </w:r>
          </w:p>
        </w:tc>
      </w:tr>
    </w:tbl>
    <w:p/>
    <w:p>
      <w:pPr>
        <w:pStyle w:val="Heading3"/>
      </w:pPr>
      <w:r>
        <w:t>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1994년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Palazzo Mezzanotte의 실물 거래장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1991-1994년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전자/장내 병행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장내매매와 병행하여 전자매매 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1994-2007년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전자식 (이탈리아 독자 시스템)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장내매매 종료; 전자 호가장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2007-2023년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Millennium Exchange (LSEG 소유)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LSEG 인수 후 배치; C++/Linux 기반; 밀리초 미만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2023년-현재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Optiq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3단계에 걸친 이전 완료 (2023년 3월 - 2024년 4월)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매매 플랫폼: Optiq (전 Euronext 시장에 걸친 Euronext의 통합 매매 플랫폼)</w:t>
      </w:r>
    </w:p>
    <w:p>
      <w:pPr>
        <w:pStyle w:val="ListBullet"/>
      </w:pPr>
      <w:r>
        <w:t>매매 게이트웨이: FIX 5.0 SP2 및 네이티브 SBE (Simple Binary Encoding) -- 최저 지연시간용</w:t>
      </w:r>
    </w:p>
    <w:p>
      <w:pPr>
        <w:pStyle w:val="ListBullet"/>
      </w:pPr>
      <w:r>
        <w:t>시장 데이터 배포: Optiq MDG (Market Data Gateway); 실시간 데이터용 UDP 멀티캐스트</w:t>
      </w:r>
    </w:p>
    <w:p>
      <w:pPr>
        <w:pStyle w:val="ListBullet"/>
      </w:pPr>
      <w:r>
        <w:t>주 데이터센터: Aruba Global Cloud Data Centre IT3, 이탈리아 Bergamo (2022년 영국 Basildon에서 이전)</w:t>
      </w:r>
    </w:p>
    <w:p>
      <w:pPr>
        <w:pStyle w:val="ListBullet"/>
      </w:pPr>
      <w:r>
        <w:t>전력: 데이터센터 전체가 녹색 에너지로 가동 [미확인 -- Euronext 발표 기준]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실시간 복제의 이중화 매매체결엔진(매칭엔진) 아키텍처</w:t>
      </w:r>
    </w:p>
    <w:p>
      <w:pPr>
        <w:pStyle w:val="ListBullet"/>
      </w:pPr>
      <w:r>
        <w:t>클라이언트 측 중재를 위한 이중 시장 데이터 피드</w:t>
      </w:r>
    </w:p>
    <w:p>
      <w:pPr>
        <w:pStyle w:val="ListBullet"/>
      </w:pPr>
      <w:r>
        <w:t>Euronext 그룹 전체 기준 및 규제 요건에 부합하는 업무연속성</w:t>
      </w:r>
    </w:p>
    <w:p>
      <w:pPr>
        <w:pStyle w:val="ListBullet"/>
      </w:pPr>
      <w:r>
        <w:t>[구체적 DR 세부사항 미공개]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r>
        <w:t>간략 수록 (Tier 3)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 MDG (Level 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전체 주문별 호가 깊이의 네이티브 바이너리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저지연 알고리즘 매매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 MDG (Level 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집계된 BBO 및 체결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최우선 호가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프로토콜에 의한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표준화된 접속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1: 최우선 매수/매도 호가, 최근 체결가, 거래량</w:t>
      </w:r>
    </w:p>
    <w:p>
      <w:pPr>
        <w:pStyle w:val="ListBullet"/>
      </w:pPr>
      <w:r>
        <w:t>Level 2: 전체 호가장 깊이</w:t>
      </w:r>
    </w:p>
    <w:p>
      <w:pPr>
        <w:pStyle w:val="ListBullet"/>
      </w:pPr>
      <w:r>
        <w:t>Euronext 데이터 서비스 및 서드파티 벤더를 통한 과거 및 기준 데이터 이용 가능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Bergamo 데이터센터에서 전용 네트워크를 통한 UDP 멀티캐스트</w:t>
      </w:r>
    </w:p>
    <w:p>
      <w:pPr>
        <w:pStyle w:val="ListBullet"/>
      </w:pPr>
      <w:r>
        <w:t>이중화 피드</w:t>
      </w:r>
    </w:p>
    <w:p>
      <w:pPr>
        <w:pStyle w:val="ListBullet"/>
      </w:pPr>
      <w:r>
        <w:t>Aruba IT3 Bergamo에서 코로케이션(전산센터 공동입주) 및 근접 호스팅 이용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r>
        <w:t>간략 수록 (Tier 3)</w:t>
      </w:r>
    </w:p>
    <w:p>
      <w:pPr>
        <w:pStyle w:val="Heading3"/>
      </w:pPr>
      <w:r>
        <w:t>7.1 회원 / 참가 (Membership / Participation)</w:t>
      </w:r>
    </w:p>
    <w:p>
      <w:pPr>
        <w:pStyle w:val="ListBullet"/>
      </w:pPr>
      <w:r>
        <w:t>회원사는 CONSOB (또는 MiFID II 패스포팅에 의한 동등한 EU/EEA 규제기관)의 인가 필요</w:t>
      </w:r>
    </w:p>
    <w:p>
      <w:pPr>
        <w:pStyle w:val="ListBullet"/>
      </w:pPr>
      <w:r>
        <w:t>Borsa Italiana / Euronext에 매매 회원 신청</w:t>
      </w:r>
    </w:p>
    <w:p>
      <w:pPr>
        <w:pStyle w:val="ListBullet"/>
      </w:pPr>
      <w:r>
        <w:t>이탈리아 외 소재 회사에 대한 원격 회원 가능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Euronext 코로케이션(전산센터 공동입주)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Aruba IT3, Bergamo에서 직접 크로스커넥트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Client Managed Connectivity (CMC)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Interxion LON1, Equinix LD4의 Euronext PoP 경유 또는 Aruba IT-DC3 직접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데이터센터 캐리어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Bergamo로의 접속을 제공하는 전문 네트워크 제공업체</w:t>
            </w:r>
          </w:p>
        </w:tc>
      </w:tr>
    </w:tbl>
    <w:p/>
    <w:p>
      <w:pPr>
        <w:pStyle w:val="Heading3"/>
      </w:pPr>
      <w:r>
        <w:t>7.3 코로케이션(전산센터 공동입주) / 근접 서비스 (Co-location / Proximity Services)</w:t>
      </w:r>
    </w:p>
    <w:p>
      <w:pPr>
        <w:pStyle w:val="ListBullet"/>
      </w:pPr>
      <w:r>
        <w:t>주 위치: Aruba Global Cloud Data Centre IT3, 이탈리아 Bergamo</w:t>
      </w:r>
    </w:p>
    <w:p>
      <w:pPr>
        <w:pStyle w:val="ListBullet"/>
      </w:pPr>
      <w:r>
        <w:t>서비스: 랙 공간, 전력, 냉각, 매매체결엔진(매칭엔진)에 대한 직접 광섬유 크로스커넥트</w:t>
      </w:r>
    </w:p>
    <w:p>
      <w:pPr>
        <w:pStyle w:val="ListBullet"/>
      </w:pPr>
      <w:r>
        <w:t>Bergamo 코로케이션(전산센터 공동입주)을 통해 달성 가능한 최저 지연시간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OEG SBE (네이티브 바이너리)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지연시간 주문 입력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OEG FIX 5.0 SP2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 주문 입력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MDG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배포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pPr>
        <w:pStyle w:val="Heading3"/>
      </w:pPr>
      <w:r>
        <w:t>8.1 가격제한 (Price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**동적 칼라**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동적 기준가(최근 체결가)에서 +/-5%; 주요 지수 구성종목(예: FTSE MIB)은 +/-3%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중단; 해당 종목 변동성 경매 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**정적 칼라**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정적 기준가(최근 경매 언크로싱 가격)에서 +/-10%; 주요 지수 구성종목은 +/-8%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중단; 해당 종목 변동성 경매 진입</w:t>
            </w:r>
          </w:p>
        </w:tc>
      </w:tr>
    </w:tbl>
    <w:p/>
    <w:p>
      <w:pPr>
        <w:pStyle w:val="Heading3"/>
      </w:pPr>
      <w:r>
        <w:t>8.2 서킷브레이커(매매거래중단) (Circuit Breakers)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중단 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동적 칼라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잠재적 체결가가 동적 기준 초과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경매; 최소 약 5분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정적 칼라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잠재적 체결가가 정적 기준 초과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경매; 최소 약 5분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경매 연장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예상 언크로싱 가격이 기준을 재차 위반 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 호출 기간 연장</w:t>
            </w:r>
          </w:p>
        </w:tc>
      </w:tr>
    </w:tbl>
    <w:p/>
    <w:p>
      <w:pPr>
        <w:pStyle w:val="ListBullet"/>
      </w:pPr>
      <w:r>
        <w:t>Borsa Italiana는 Euronext 시장 중 역사적으로 가장 긴 평균 서킷브레이커(매매거래중단) 기간 기록 (평균 약 10분, 5~50분 범위)</w:t>
      </w:r>
    </w:p>
    <w:p>
      <w:pPr>
        <w:pStyle w:val="ListBullet"/>
      </w:pPr>
      <w:r>
        <w:t>서킷브레이커(매매거래중단)는 시장 전체가 아닌 개별 종목에 적용</w:t>
      </w:r>
    </w:p>
    <w:p>
      <w:pPr>
        <w:pStyle w:val="Heading3"/>
      </w:pPr>
      <w:r>
        <w:t>8.3 사전 위험 통제 (Pre-trade Risk Controls)</w:t>
      </w:r>
    </w:p>
    <w:p>
      <w:pPr>
        <w:pStyle w:val="ListBullet"/>
      </w:pPr>
      <w:r>
        <w:t>최대 주문 금액: 회사/게이트웨이별 설정 가능; 기준 초과 주문 거부</w:t>
      </w:r>
    </w:p>
    <w:p>
      <w:pPr>
        <w:pStyle w:val="ListBullet"/>
      </w:pPr>
      <w:r>
        <w:t>최대 주문 수량: 단일 주문당 주식 수 제한</w:t>
      </w:r>
    </w:p>
    <w:p>
      <w:pPr>
        <w:pStyle w:val="ListBullet"/>
      </w:pPr>
      <w:r>
        <w:t>메시지 제한 조절: 접속당 초당 주문 접수율 제한 (Optiq OEG 제한 조절 메커니즘)</w:t>
      </w:r>
    </w:p>
    <w:p>
      <w:pPr>
        <w:pStyle w:val="ListBullet"/>
      </w:pPr>
      <w:r>
        <w:t>가격 칼라 점검: 현재 시장에서 현저히 벗어난 주문 거부 가능</w:t>
      </w:r>
    </w:p>
    <w:p>
      <w:pPr>
        <w:pStyle w:val="ListBullet"/>
      </w:pPr>
      <w:r>
        <w:t>자기거래방지 (STP): 동일 회사의 매수-매도 주문 간 매칭 방지</w:t>
      </w:r>
    </w:p>
    <w:p>
      <w:pPr>
        <w:pStyle w:val="ListBullet"/>
      </w:pPr>
      <w:r>
        <w:t>긴급 차단: GUI 또는 Euronext Market Operations 연락을 통해 회사, CompID, 또는 사용자 수준의 전체 미체결 주문 취소 가능</w:t>
      </w:r>
    </w:p>
    <w:p>
      <w:pPr>
        <w:pStyle w:val="Heading3"/>
      </w:pPr>
      <w:r>
        <w:t>8.4 긴급 차단 (Kill Switch)</w:t>
      </w:r>
    </w:p>
    <w:p>
      <w:pPr>
        <w:pStyle w:val="ListBullet"/>
      </w:pPr>
      <w:r>
        <w:t>GUI 기반 및 전화 기반 긴급 차단 이용 가능</w:t>
      </w:r>
    </w:p>
    <w:p>
      <w:pPr>
        <w:pStyle w:val="ListBullet"/>
      </w:pPr>
      <w:r>
        <w:t>회사, 게이트웨이, 또는 사용자 수준에서 전체 주문 취소 가능</w:t>
      </w:r>
    </w:p>
    <w:p>
      <w:pPr>
        <w:pStyle w:val="ListBullet"/>
      </w:pPr>
      <w:r>
        <w:t>설정 가능한 경보 기준의 실시간 위험 모니터링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pPr>
        <w:pStyle w:val="ListBullet"/>
      </w:pPr>
      <w:r>
        <w:t>CONSOB (Commissione Nazionale per le Societa e la Borsa): 이탈리아 증권시장의 주요 규제기관; 1974년 설립. 증권시장 및 발행자 규제 감독, 상장 및 공모 투자설명서 승인, 시장남용 규정 집행 담당</w:t>
      </w:r>
    </w:p>
    <w:p>
      <w:pPr>
        <w:pStyle w:val="ListBullet"/>
      </w:pPr>
      <w:r>
        <w:t>이탈리아 중앙은행 (Banca d'Italia): 금융중개기관에 대한 건전성 감독; 시장 인프라 안정성 감독</w:t>
      </w:r>
    </w:p>
    <w:p>
      <w:pPr>
        <w:pStyle w:val="ListBullet"/>
      </w:pPr>
      <w:r>
        <w:t>ESMA (European Securities and Markets Authority): MiFID II/MiFIR 프레임워크에 의한 EU 수준 조율 및 감독</w:t>
      </w:r>
    </w:p>
    <w:p>
      <w:pPr>
        <w:pStyle w:val="Heading3"/>
      </w:pPr>
      <w:r>
        <w:t>9.2 주요 규정 (Key Regulations)</w:t>
      </w:r>
    </w:p>
    <w:p>
      <w:pPr>
        <w:pStyle w:val="ListBullet"/>
      </w:pPr>
      <w:r>
        <w:t>금융통합법 (Testo Unico della Finanza, TUF -- 1998년 입법령 58호): 금융시장, 중개기관, 발행자, 시장남용을 관할하는 이탈리아 주요 법률. 이탈리아 증권 규제의 기본법</w:t>
      </w:r>
    </w:p>
    <w:p>
      <w:pPr>
        <w:pStyle w:val="ListBullet"/>
      </w:pPr>
      <w:r>
        <w:t>MiFID II / MiFIR (EU 지침 2014/65/EU 및 규정 600/2014): 매매장소, 투명성, 투자자 보호, 시장 구조를 관할하는 EU 전체 프레임워크; 이탈리아에 직접 적용</w:t>
      </w:r>
    </w:p>
    <w:p>
      <w:pPr>
        <w:pStyle w:val="ListBullet"/>
      </w:pPr>
      <w:r>
        <w:t>시장남용규정 (EU MAR -- 규정 596/2014): 내부자거래, 시장 조작, 내부정보의 불법 공개 금지</w:t>
      </w:r>
    </w:p>
    <w:p>
      <w:pPr>
        <w:pStyle w:val="ListBullet"/>
      </w:pPr>
      <w:r>
        <w:t>Borsa Italiana 시장규정: CONSOB 승인 거래소 수준 규정; 상장, 매매, 회원자격 관할</w:t>
      </w:r>
    </w:p>
    <w:p>
      <w:pPr>
        <w:pStyle w:val="ListBullet"/>
      </w:pPr>
      <w:r>
        <w:t>EU 투자설명서규정 (규정 2017/1129): 공모 및 매매 입회를 위한 투자설명서 요건 관할</w:t>
      </w:r>
    </w:p>
    <w:p>
      <w:pPr>
        <w:pStyle w:val="ListBullet"/>
      </w:pPr>
      <w:r>
        <w:t>CSDR (중앙예탁기관규정): 결제 규율 및 CSD 운영 관할 (Monte Titoli / Euronext Securities Milan 적용)</w:t>
      </w:r>
    </w:p>
    <w:p>
      <w:pPr>
        <w:pStyle w:val="Heading3"/>
      </w:pPr>
      <w:r>
        <w:t>9.3 시장 감시 (Market Surveillance)</w:t>
      </w:r>
    </w:p>
    <w:p>
      <w:pPr>
        <w:pStyle w:val="ListBullet"/>
      </w:pPr>
      <w:r>
        <w:t>Borsa Italiana 시장감시: 의심스러운 패턴, 잠재적 시장남용, 규정 위반에 대한 실시간 매매 활동 모니터링</w:t>
      </w:r>
    </w:p>
    <w:p>
      <w:pPr>
        <w:pStyle w:val="ListBullet"/>
      </w:pPr>
      <w:r>
        <w:t>CONSOB 감시: 거래 보고 데이터를 활용한 독립적 시장 모니터링; MAR 집행</w:t>
      </w:r>
    </w:p>
    <w:p>
      <w:pPr>
        <w:pStyle w:val="ListBullet"/>
      </w:pPr>
      <w:r>
        <w:t>의심거래 및 주문 보고 (STORs): 회원사는 의심 활동을 CONSOB에 보고 의무</w:t>
      </w:r>
    </w:p>
    <w:p>
      <w:pPr>
        <w:pStyle w:val="ListBullet"/>
      </w:pPr>
      <w:r>
        <w:t>시장간 조율: ESMA 및 기타 EU/국제 규제기관과의 양자 MoU를 통한 조율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거래 보고: 투자회사는 MiFIR 제26조에 따라 CONSOB에 거래 보고 (65개 데이터 필드, T+1 기한)</w:t>
      </w:r>
    </w:p>
    <w:p>
      <w:pPr>
        <w:pStyle w:val="ListBullet"/>
      </w:pPr>
      <w:r>
        <w:t>사후거래 투명성: MiFID II에 의한 거래 세부사항 실시간 공표; 대규모 및 비유동적 상품에 대한 유예</w:t>
      </w:r>
    </w:p>
    <w:p>
      <w:pPr>
        <w:pStyle w:val="ListBullet"/>
      </w:pPr>
      <w:r>
        <w:t>사전거래 투명성: 호가장 상품에 대한 매수/매도 호가 및 깊이 표시</w:t>
      </w:r>
    </w:p>
    <w:p>
      <w:pPr>
        <w:pStyle w:val="ListBullet"/>
      </w:pPr>
      <w:r>
        <w:t>공매도 공시: EU 공매도 규정에 따라; 순 공매도 포지션 0.2% 초과 시 CONSOB에 보고, 0.5% 초과 시 공개 공시</w:t>
      </w:r>
    </w:p>
    <w:p>
      <w:pPr>
        <w:pStyle w:val="ListBullet"/>
      </w:pPr>
      <w:r>
        <w:t>주요 지분 통지: 의결권 지정 기준 초과 시 공시 필요 (TUF 및 투명성 지침에 따라)</w:t>
      </w:r>
    </w:p>
    <w:p>
      <w:pPr>
        <w:pStyle w:val="ListBullet"/>
      </w:pPr>
      <w:r>
        <w:t>이탈리아 금융거래세 (FTT): 이탈리아 주식 거래에 적용; 규제시장 거래 0.10%, OTC 거래 0.20% [미확인 현행 정확한 요율]</w:t>
      </w:r>
    </w:p>
    <w:p>
      <w:pPr>
        <w:pStyle w:val="Heading3"/>
      </w:pPr>
      <w:r>
        <w:t>9.5 역외 거래 제도 (Cross-border Arrangements)</w:t>
      </w:r>
    </w:p>
    <w:p>
      <w:pPr>
        <w:pStyle w:val="ListBullet"/>
      </w:pPr>
      <w:r>
        <w:t>EU MiFID II 패스포팅에 의해 EU/EEA 회원국에서 인가된 투자회사가 원격 회원으로 Borsa Italiana 접근 가능</w:t>
      </w:r>
    </w:p>
    <w:p>
      <w:pPr>
        <w:pStyle w:val="ListBullet"/>
      </w:pPr>
      <w:r>
        <w:t>Euronext는 자사 시장(Amsterdam, Brussels, Dublin, Lisbon, Milan, Oslo, Paris) 전체에 걸쳐 조화된 규정의 단일 역외 거래소 그룹으로 운영</w:t>
      </w:r>
    </w:p>
    <w:p>
      <w:pPr>
        <w:pStyle w:val="ListBullet"/>
      </w:pPr>
      <w:r>
        <w:t>CONSOB는 국제 규제 협력을 위한 IOSCO MMOU 서명국</w:t>
      </w:r>
    </w:p>
    <w:p>
      <w:pPr>
        <w:pStyle w:val="ListBullet"/>
      </w:pPr>
      <w:r>
        <w:t>ESMA가 EU 내 역외 감독 조율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r>
        <w:t>간략 수록 (Tier 3)</w:t>
      </w:r>
    </w:p>
    <w:p>
      <w:pPr>
        <w:pStyle w:val="Heading3"/>
      </w:pPr>
      <w:r>
        <w:t>10.1 매매 수수료 (Trading Fees)</w:t>
      </w:r>
    </w:p>
    <w:p>
      <w:pPr>
        <w:pStyle w:val="ListBullet"/>
      </w:pPr>
      <w:r>
        <w:t>Euronext Cash Markets Trading Fee Guide 적용 (2026년 4월 기준)</w:t>
      </w:r>
    </w:p>
    <w:p>
      <w:pPr>
        <w:pStyle w:val="ListBullet"/>
      </w:pPr>
      <w:r>
        <w:t>월간 매매량 기반 차등 가격의 거래대금 비례(ad valorem) 수수료 구조</w:t>
      </w:r>
    </w:p>
    <w:p>
      <w:pPr>
        <w:pStyle w:val="ListBullet"/>
      </w:pPr>
      <w:r>
        <w:t>시장조성자(마켓메이커) / 유동성공급자 수수료 인센티브 이용 가능 (체결 수수료 할인)</w:t>
      </w:r>
    </w:p>
    <w:p>
      <w:pPr>
        <w:pStyle w:val="ListBullet"/>
      </w:pPr>
      <w:r>
        <w:t>[거래당 구체적 요율은 여기에 상세하지 않음; Euronext Cash Markets Trading Fee Guide 참조]</w:t>
      </w:r>
    </w:p>
    <w:p>
      <w:pPr>
        <w:pStyle w:val="Heading3"/>
      </w:pPr>
      <w:r>
        <w:t>10.2 기타 수수료 (Other Fees)</w:t>
      </w:r>
    </w:p>
    <w:p>
      <w:pPr>
        <w:pStyle w:val="ListBullet"/>
      </w:pPr>
      <w:r>
        <w:t>상장 수수료 (초기): 시가총액 100만 유로당 250유로; 최소 40,000유로(시가총액 10억 유로 이하) 또는 100,000유로(10억 유로 초과); 최대 1,000,000유로. 해외 시장 기상장 기업: 최소 20,000유로, 최대 200,000유로</w:t>
      </w:r>
    </w:p>
    <w:p>
      <w:pPr>
        <w:pStyle w:val="ListBullet"/>
      </w:pPr>
      <w:r>
        <w:t>Euronext STAR Milan 가산금: 추가 초기 수수료 5,000유로; 연간 수수료 2,500유로</w:t>
      </w:r>
    </w:p>
    <w:p>
      <w:pPr>
        <w:pStyle w:val="ListBullet"/>
      </w:pPr>
      <w:r>
        <w:t>연간 상장 수수료: 시가총액에 비례 [구체적 체계는 Borsa Italiana Price List 참조]</w:t>
      </w:r>
    </w:p>
    <w:p>
      <w:pPr>
        <w:pStyle w:val="ListBullet"/>
      </w:pPr>
      <w:r>
        <w:t>접속 및 코로케이션(전산센터 공동입주) 수수료: 게이트웨이 접속, 시장 데이터, Bergamo 코로케이션(전산센터 공동입주) 비용</w:t>
      </w:r>
    </w:p>
    <w:p>
      <w:pPr>
        <w:pStyle w:val="ListBullet"/>
      </w:pPr>
      <w:r>
        <w:t>시장 데이터 수수료: Level 1 및 Level 2 데이터에 대한 사용자별 및 기업 라이선스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2021년: Euronext, Borsa Italiana Group 인수(4월); Basildon(영국)에서 Bergamo(이탈리아)로 데이터센터 이전 발표</w:t>
      </w:r>
    </w:p>
    <w:p>
      <w:pPr>
        <w:pStyle w:val="ListBullet"/>
      </w:pPr>
      <w:r>
        <w:t>2022년: Aruba IT3, Bergamo로 핵심 데이터센터 이전 완료</w:t>
      </w:r>
    </w:p>
    <w:p>
      <w:pPr>
        <w:pStyle w:val="ListBullet"/>
      </w:pPr>
      <w:r>
        <w:t>2023년: Phase 1 Optiq 이전 -- 주식 및 ETF(2023년 3월); Phase 2 -- 채권, 워런트, 인증서(2023년 9월); 시장 리브랜딩(MTA를 Euronext Milan으로, AIM Italia를 Euronext Growth Milan으로)</w:t>
      </w:r>
    </w:p>
    <w:p>
      <w:pPr>
        <w:pStyle w:val="ListBullet"/>
      </w:pPr>
      <w:r>
        <w:t>2024년: Phase 3 Optiq 이전 -- 이탈리아 파생상품(2024년 4월); Euronext 단일 매매 플랫폼으로의 완전 통합 완료, 목표 시너지 1.15억 유로에 기여</w:t>
      </w:r>
    </w:p>
    <w:p>
      <w:pPr>
        <w:pStyle w:val="ListBullet"/>
      </w:pPr>
      <w:r>
        <w:t>2025년: CC&amp;G가 Euronext Clearing으로 리브랜딩; 청산 서비스 이전 진행 중(2025년 4월까지 고객 테스트)</w:t>
      </w:r>
    </w:p>
    <w:p>
      <w:pPr>
        <w:pStyle w:val="Heading3"/>
      </w:pPr>
      <w:r>
        <w:t>신상품 / 신시장 (New Products / Segments)</w:t>
      </w:r>
    </w:p>
    <w:p>
      <w:pPr>
        <w:pStyle w:val="ListBullet"/>
      </w:pPr>
      <w:r>
        <w:t>Euronext STAR Conference: 이탈리아 중형주를 국제 투자자에게 소개하는 제25회 연례 행사 2026년 개최</w:t>
      </w:r>
    </w:p>
    <w:p>
      <w:pPr>
        <w:pStyle w:val="ListBullet"/>
      </w:pPr>
      <w:r>
        <w:t>SME 상장 세액공제: 이탈리아 정부, 2025년까지 SME IPO 비용에 대한 세액공제 연장</w:t>
      </w:r>
    </w:p>
    <w:p>
      <w:pPr>
        <w:pStyle w:val="ListBullet"/>
      </w:pPr>
      <w:r>
        <w:t>"Fondo di Fondi": IPO 파이프라인을 지원하는 이탈리아 경제재무부 이니셔티브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MiFID II 호가단위(최소가격변동폭) 체제: Euronext 조화 프레임워크 하에 완전 채택</w:t>
      </w:r>
    </w:p>
    <w:p>
      <w:pPr>
        <w:pStyle w:val="ListBullet"/>
      </w:pPr>
      <w:r>
        <w:t>결제 규율: Monte Titoli / Euronext Securities Milan을 통한 CSDR 조항 적용</w:t>
      </w:r>
    </w:p>
    <w:p>
      <w:pPr>
        <w:pStyle w:val="ListBullet"/>
      </w:pPr>
      <w:r>
        <w:t>이탈리아 FTT: 이탈리아 주식 거래에 금융거래세 계속 적용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Euronext 그룹 통합: Borsa Italiana가 Euronext의 단일 매매 플랫폼, 단일 데이터센터, 조화된 규정에 완전 통합</w:t>
      </w:r>
    </w:p>
    <w:p>
      <w:pPr>
        <w:pStyle w:val="ListBullet"/>
      </w:pPr>
      <w:r>
        <w:t>Euronext Clearing: CC&amp;G(현 Euronext Clearing)가 모든 현물 주식, 금융 및 상품 파생상품을 위한 Euronext 그룹 전체 CCP로 자리매김</w:t>
      </w:r>
    </w:p>
    <w:p>
      <w:pPr>
        <w:pStyle w:val="ListBullet"/>
      </w:pPr>
      <w:r>
        <w:t>녹색 데이터센터: Bergamo 데이터센터 전체가 녹색 에너지로 가동 [Euronext 발표 기준]</w:t>
      </w:r>
    </w:p>
    <w:p>
      <w:pPr>
        <w:pStyle w:val="ListBullet"/>
      </w:pPr>
      <w:r>
        <w:t>시가총액 성장: 이탈리아 시장이 2025년 시가총액 1조 유로를 돌파, 투자자 신뢰 회복을 반영하는 중요한 이정표</w:t>
      </w:r>
    </w:p>
    <w:p>
      <w:pPr>
        <w:pStyle w:val="ListBullet"/>
      </w:pPr>
      <w:r>
        <w:t>IPO 파이프라인: 375개 이상 상장기업으로 지속적 활동; 정부 인센티브를 통한 SME 상장 지원 환경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Euronext, "Milan | Euronext", https://www.euronext.com/en/markets/milan, accessed 2026-04-06]</w:t>
      </w:r>
    </w:p>
    <w:p>
      <w:r>
        <w:t>[Source: Borsa Italiana, "Trading on Euronext Milan and Euronext Growth Milan", https://www.borsaitaliana.it/azioni/mercati/negoziazioni/negoziazioni/negoziazioni.en.htm, accessed 2026-04-06]</w:t>
      </w:r>
    </w:p>
    <w:p>
      <w:r>
        <w:t>[Source: Borsa Italiana, "Trading Calendar and Hours", https://www.borsaitaliana.it/borsaitaliana/calendario-e-orari-di-negoziazione/calendario-borsa-orari-di-negoziazione.en.htm, accessed 2026-04-06]</w:t>
      </w:r>
    </w:p>
    <w:p>
      <w:r>
        <w:t>[Source: Borsa Italiana, "Euronext Milan market characteristics", https://www.borsaitaliana.it/azioni/mercati/euronext-milan/home/caratteristiche.en.htm, accessed 2026-04-06]</w:t>
      </w:r>
    </w:p>
    <w:p>
      <w:r>
        <w:t>[Source: Borsa Italiana, "Euronext Growth Milan market characteristics", https://www.borsaitaliana.it/azioni/mercati/euronext-growth-milan/home/caratteristiche.en.htm, accessed 2026-04-06]</w:t>
      </w:r>
    </w:p>
    <w:p>
      <w:r>
        <w:t>[Source: Euronext, "Successful completion of the migration of Borsa Italiana to Optiq", https://www.euronext.com/en/about/media/euronext-press-releases/successful-completion-migration-borsa-italiana-optiqr-trading, accessed 2026-04-06]</w:t>
      </w:r>
    </w:p>
    <w:p>
      <w:r>
        <w:t>[Source: Euronext, "Successful migration of Borsa Italiana equity and ETF markets to Optiq", https://www.euronext.com/en/about/media/euronext-press-releases/successful-migration-borsa-italiana-equity-and-etf-markets, accessed 2026-04-06]</w:t>
      </w:r>
    </w:p>
    <w:p>
      <w:r>
        <w:t>[Source: Euronext, "Borsa Italiana Optiq migration: successful completion of Phase Two", https://www.euronext.com/en/news/euronext-optiq-migration-successful-completion-phase-two-for-borsa-italiana-markets, accessed 2026-04-06]</w:t>
      </w:r>
    </w:p>
    <w:p>
      <w:r>
        <w:t>[Source: Euronext, "Euronext introduces Optiq, the new technology platform", https://www.euronext.com/en/about/media/euronext-press-releases/euronext-introduces-optiq-new-technology-platform-powering-cash, accessed 2026-04-06]</w:t>
      </w:r>
    </w:p>
    <w:p>
      <w:r>
        <w:t>[Source: Euronext, "Trading safeguards on the Euronext markets", https://www.euronext.com/en/trading/market-quality/trading-safeguards-euronext-markets, accessed 2026-04-06]</w:t>
      </w:r>
    </w:p>
    <w:p>
      <w:r>
        <w:t>[Source: Euronext, "Euronext Data Centre", https://www.euronext.com/en/technology/euronext-data-centre, accessed 2026-04-06]</w:t>
      </w:r>
    </w:p>
    <w:p>
      <w:r>
        <w:t>[Source: Euronext, "Data Centre migration completed", https://www.euronext.com/en/news/data-centre-migration, accessed 2026-04-06]</w:t>
      </w:r>
    </w:p>
    <w:p>
      <w:r>
        <w:t>[Source: Euronext, "Trading fees and charges", https://www.euronext.com/en/trading/fees-charges, accessed 2026-04-06]</w:t>
      </w:r>
    </w:p>
    <w:p>
      <w:r>
        <w:t>[Source: Euronext, "Trading hours &amp; holidays", https://www.euronext.com/en/trading/trading-hours-holidays, accessed 2026-04-06]</w:t>
      </w:r>
    </w:p>
    <w:p>
      <w:r>
        <w:t>[Source: Euronext, "Euronext Clearing", https://www.euronext.com/en/clearing, accessed 2026-04-06]</w:t>
      </w:r>
    </w:p>
    <w:p>
      <w:r>
        <w:t>[Source: Euronext, "Euronext Clearing: one clearing house for Europe", https://www.euronext.com/en/news/euronext-clearing-one-clearing-house-for-europe, accessed 2026-04-06]</w:t>
      </w:r>
    </w:p>
    <w:p>
      <w:r>
        <w:t>[Source: Borsa Italiana, "Price List -- Issuers listed before 1 January 2025", https://www.borsaitaliana.it/azioni/mercati/mercati-landingpage/01-01-2025-price-list-milan.en.pdf, accessed 2026-04-06]</w:t>
      </w:r>
    </w:p>
    <w:p>
      <w:r>
        <w:t>[Source: Borsa Italiana, "Connectivity", https://www.borsaitaliana.it/borsaitaliana/gestione-mercati/connettivita/connettivita.en.htm, accessed 2026-04-06]</w:t>
      </w:r>
    </w:p>
    <w:p>
      <w:r>
        <w:t>[Source: CONSOB, "Laws and regulations", https://www.consob.it/web/consob-and-its-activities/laws-and-regulations, accessed 2026-04-06]</w:t>
      </w:r>
    </w:p>
    <w:p>
      <w:r>
        <w:t>[Source: Wikipedia, "Borsa Italiana", https://en.wikipedia.org/wiki/Borsa_Italiana, accessed 2026-04-06]</w:t>
      </w:r>
    </w:p>
    <w:p>
      <w:r>
        <w:t>[Source: Wikipedia, "Euronext Clearing", https://en.wikipedia.org/wiki/Euronext_Clearing, accessed 2026-04-06]</w:t>
      </w:r>
    </w:p>
    <w:p>
      <w:r>
        <w:t>[Source: ESMA, "MiFID II Article 49 Tick Sizes / RTS 11", accessed 2026-04-06]</w:t>
      </w:r>
    </w:p>
    <w:p>
      <w:r>
        <w:t>[Source: MarketScreener, "Milan Stock Exchange Capitalization Surpasses EUR 1 Trillion in 2025", accessed 2026-04-06]</w:t>
      </w:r>
    </w:p>
    <w:p>
      <w:r>
        <w:t>[Source: AMAN-ANSA, "Milan bourse market capitalization rises to EUR 1,042 billion in 2025", accessed 2026-04-06]</w:t>
      </w:r>
    </w:p>
    <w:p>
      <w:r>
        <w:t>[Source: Disfold, "Largest FTSE MIB Companies by Market Capitalization in 2026", accessed 2026-04-06]</w:t>
      </w:r>
    </w:p>
    <w:p>
      <w:r>
        <w:t>[Source: ESMA Working Paper No. 1, 2020, "Market impacts of circuit breakers -- Evidence from EU trading venues", accessed 2026-04-06]</w:t>
      </w:r>
    </w:p>
    <w:p>
      <w:r>
        <w:t>[Source: DLA Piper, "Italy Investment Rules", accessed 2026-04-06]</w:t>
      </w:r>
    </w:p>
    <w:p>
      <w:r>
        <w:t>[Source: Confluent, "Euronext builds high-speed trading platform",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