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Deutsche Borse / Xetra (XETR)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 AG (Frankfurter Wertpapierborse / Frankfurt Stock Exchange 및 Xetra 전자매매장소 운영)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XETR (Xetra), FWB (Frankfurt Stock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https://www.deutsche-boerse.com / https://www.xetra.com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1585년 (프랑크푸르트 무역박람회 기원); Deutsche Borse AG 1992년 법인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독일 / Frankfurt am Main (Mergenthalerallee 61, 65760 Eschborn)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자사 거래소에 상장 (티커: DB1, Xetra/FWB); 기관투자자가 광범위하게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 Group -- 매매(Xetra, Eurex, EEX), 청산(Eurex Clearing), 결제·예탁(Clearstream), 지수(STOXX/DAX 지수), 데이터·분석(Qontigo), 펀드서비스(IFS)를 포괄하는 수직통합형 거래소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Bundesanstalt fur Finanzdienstleistungsaufsicht (BaFin) 및 Hessisches Ministerium fur Wirtschaft (헤센주 거래소감독청)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 기준)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상장기업 국내 시가총액 약 EUR 2.1조 (2025년 중반 기준)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Xetra 및 FWB 합산 주식 약 3,500개 이상, ETF/ETP 약 1,800개, 구조화상품(워런트, 인증서) 약 490,000개 이상, 채권 약 30,000개 이상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Xetra: 주식 일평균 약 500만~700만 건; Xetra 호가창 일평균 거래대금 약 EUR 45억~55억 (2024-2025) [추정]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Xetra 주식: 약 EUR 45억~55억/일; 구조화상품 포함 FWB 전체 구간은 이보다 상당히 높음 [추정]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1585: 프랑크푸르트 상인들이 무역박람회에서 고정 환율을 설정 -- Frankfurt Stock Exchange (Frankfurter Wertpapierborse)의 기원</w:t>
      </w:r>
    </w:p>
    <w:p>
      <w:pPr>
        <w:pStyle w:val="ListBullet"/>
      </w:pPr>
      <w:r>
        <w:t>1820: Frankfurt Stock Exchange 공식 조직, 채권·주식 공식 상장</w:t>
      </w:r>
    </w:p>
    <w:p>
      <w:pPr>
        <w:pStyle w:val="ListBullet"/>
      </w:pPr>
      <w:r>
        <w:t>1949: 제2차 세계대전 후 Frankfurt Stock Exchange 재개장</w:t>
      </w:r>
    </w:p>
    <w:p>
      <w:pPr>
        <w:pStyle w:val="ListBullet"/>
      </w:pPr>
      <w:r>
        <w:t>1969: 최초의 전산화 후선업무 결제 시스템 도입</w:t>
      </w:r>
    </w:p>
    <w:p>
      <w:pPr>
        <w:pStyle w:val="ListBullet"/>
      </w:pPr>
      <w:r>
        <w:t>1988: DAX 30 지수 출시 (이후 2021년 DAX 40으로 확대)</w:t>
      </w:r>
    </w:p>
    <w:p>
      <w:pPr>
        <w:pStyle w:val="ListBullet"/>
      </w:pPr>
      <w:r>
        <w:t>1992: Frankfurt Stock Exchange, Deutsche Terminborse (DTB, 이후 Eurex), Clearstream (결제)을 포괄하는 지주회사로 Deutsche Borse AG 법인 설립</w:t>
      </w:r>
    </w:p>
    <w:p>
      <w:pPr>
        <w:pStyle w:val="ListBullet"/>
      </w:pPr>
      <w:r>
        <w:t>1997: Xetra 전자매매 플랫폼 출시 (1997년 11월 28일), IBIS 시스템 대체; 완전 전자화된 주문주도형 시장</w:t>
      </w:r>
    </w:p>
    <w:p>
      <w:pPr>
        <w:pStyle w:val="ListBullet"/>
      </w:pPr>
      <w:r>
        <w:t>2001: Deutsche Borse AG 상장 -- 자사 Frankfurt Stock Exchange에 상장</w:t>
      </w:r>
    </w:p>
    <w:p>
      <w:pPr>
        <w:pStyle w:val="ListBullet"/>
      </w:pPr>
      <w:r>
        <w:t>2002: DTB와 SOFFEX 합병으로 세계 최대 파생상품거래소 Eurex 설립</w:t>
      </w:r>
    </w:p>
    <w:p>
      <w:pPr>
        <w:pStyle w:val="ListBullet"/>
      </w:pPr>
      <w:r>
        <w:t>2003: Cedel과 Deutsche Borse Clearing 합병으로 Clearstream International 설립</w:t>
      </w:r>
    </w:p>
    <w:p>
      <w:pPr>
        <w:pStyle w:val="ListBullet"/>
      </w:pPr>
      <w:r>
        <w:t>2007: Xetra Release 9.0 도입; ICSD (International Central Securities Depository) 기능 강화</w:t>
      </w:r>
    </w:p>
    <w:p>
      <w:pPr>
        <w:pStyle w:val="ListBullet"/>
      </w:pPr>
      <w:r>
        <w:t>2012-2013: 유럽집행위원회가 Deutsche Borse와 NYSE Euronext 간 합병을 반독점 사유로 불허</w:t>
      </w:r>
    </w:p>
    <w:p>
      <w:pPr>
        <w:pStyle w:val="ListBullet"/>
      </w:pPr>
      <w:r>
        <w:t>2015: Deutsche Borse Group이 360T (FX 매매 플랫폼)를 인수하고 STOXX/DAX 지수 부문 재편</w:t>
      </w:r>
    </w:p>
    <w:p>
      <w:pPr>
        <w:pStyle w:val="ListBullet"/>
      </w:pPr>
      <w:r>
        <w:t>2017: T7 매매 시스템 Xetra에 출시 (2017년 6월), 기존 Xetra 시스템 대체; Eurex와 공유 플랫폼</w:t>
      </w:r>
    </w:p>
    <w:p>
      <w:pPr>
        <w:pStyle w:val="ListBullet"/>
      </w:pPr>
      <w:r>
        <w:t>2018: MiFID II 시행; Deutsche Borse가 Xetra 최선집행 시장 구분 출시</w:t>
      </w:r>
    </w:p>
    <w:p>
      <w:pPr>
        <w:pStyle w:val="ListBullet"/>
      </w:pPr>
      <w:r>
        <w:t>2020: DAX 지수 개편 발표; Qontigo 설립 (STOXX + Axioma 분석 합병)</w:t>
      </w:r>
    </w:p>
    <w:p>
      <w:pPr>
        <w:pStyle w:val="ListBullet"/>
      </w:pPr>
      <w:r>
        <w:t>2021: DAX 구성종목 30개에서 40개로 확대 (2021년 9월)</w:t>
      </w:r>
    </w:p>
    <w:p>
      <w:pPr>
        <w:pStyle w:val="ListBullet"/>
      </w:pPr>
      <w:r>
        <w:t>2022: SimCorp (투자운용 소프트웨어) EUR 39억 인수 발표</w:t>
      </w:r>
    </w:p>
    <w:p>
      <w:pPr>
        <w:pStyle w:val="ListBullet"/>
      </w:pPr>
      <w:r>
        <w:t>2023: SimCorp 인수 완료; Crypto Finance AG 과반수 지분 인수</w:t>
      </w:r>
    </w:p>
    <w:p>
      <w:pPr>
        <w:pStyle w:val="ListBullet"/>
      </w:pPr>
      <w:r>
        <w:t>2024: 매출 EUR 56억 돌파; T7 추가 업그레이드; D7 디지털 매매후 플랫폼 출시</w:t>
      </w:r>
    </w:p>
    <w:p>
      <w:pPr>
        <w:pStyle w:val="ListBullet"/>
      </w:pPr>
      <w:r>
        <w:t>2025: 순매출 지속 성장 (약 EUR 60억 이상); 클라우드 네이티브 이니셔티브; 디지털자산 확대 [추정]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p>
      <w:r>
        <w:t>Deutsche Borse는 주식을 위한 두 개의 주요 매매장소를 운영한다: Xetra 전자매매장소와 Frankfurt Stock Exchange 장내매매 (Borse Frankfurt).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**Xetra (정규시장 -- Prime Standard)**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최고 투명성 시장 구분; DAX 지수 편입 필수 조건; 국제회계기준(IFRS), 분기 보고, 연례 애널리스트 컨퍼런스, 영문 수시공시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BaFin 승인 EU 투자설명서; 최소 3년 영업 이력; 최소 25% 유동비율 (지수 편입용); IFRS 재무제표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**Xetra (정규시장 -- General Standard)**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투명성 요건을 갖춘 EU 정규시장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BaFin 승인 EU 투자설명서; EU 투명성지침 최소 기준 충족; 반기 보고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**Scale (Open Market -- SME 시장 구분)**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중소형 기업을 위한 성장 시장 구분; 거래소 규제 (EU 정규시장이 아님)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Borse를 통한 간소화 입회; 최소 시가총액 EUR 3,000만 [미검증]; 2년 재무 이력; Designated Sponsor (유동성공급자)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**Basic Board (Open Market)**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Open Market (Freiverkehr)의 진입단계 시장 구분; 경량화된 상장 의무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Borse에 신청; 입회문서(전체 투자설명서가 아님); 최소한의 지속적 의무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**Borse Frankfurt (장내매매)**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FWB에 상장된 모든 종목(주식, 채권, ETF, 구조화상품)에 대한 스페셜리스트 지원 장내/전자매매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FWB 입회와 동일; 스페셜리스트(구 Skontrofuhrer)가 예시호가 및 확정호가 제시</w:t>
            </w:r>
          </w:p>
        </w:tc>
      </w:tr>
    </w:tbl>
    <w:p/>
    <w:p>
      <w:pPr>
        <w:pStyle w:val="Heading3"/>
      </w:pPr>
      <w:r>
        <w:t>2.2 매매 시간 (Trading Sessions)</w:t>
      </w:r>
    </w:p>
    <w:p>
      <w:r>
        <w:t>Xetra는 중부유럽시간(CET/CEST)으로 운영된다. 아래 시간은 CET (겨울 UTC+1 / 여름 UTC+2) 기준이다.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(CET)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매매 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07:30 - 08:50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 개방; 주문 입력, 정정, 취소 가능;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경매) (호가 수집)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08:50 - 09:00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07:50 - 08:00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축적; 예시호가 표시; 09:00 이후 약 30초 이내 랜덤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~09:00 - 17:30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경매) (호가 수집)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17:30 - 17:35 (+랜덤 종료)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결정; 최대 30초의 랜덤 종료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매매 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17:35 - 20:30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16:35 - 19:30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거래 보고; 신규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장중 단일가매매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종목별 예정 (예: DAX 종목 CET 13:00)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특정 종목에 대한 예정된 장중 단일가매매</w:t>
            </w:r>
          </w:p>
        </w:tc>
      </w:tr>
    </w:tbl>
    <w:p/>
    <w:p>
      <w:r>
        <w:t>참고: Xetra의 ETF 및 ETP는 CET 09:00-17:30에 거래된다. Borse Frankfurt 장내매매 시간은 주식 CET 08:00-20:00, 구조화상품 CET 08:00-22:00이다.</w:t>
      </w:r>
    </w:p>
    <w:p>
      <w:pPr>
        <w:pStyle w:val="Heading3"/>
      </w:pPr>
      <w:r>
        <w:t>2.3 호가단위 (Tick Sizes)</w:t>
      </w:r>
    </w:p>
    <w:p>
      <w:r>
        <w:t>Xetra는 다른 EU 매매장소와 동일하게 MiFID II 호가단위 체계(최소가격변동폭 체계) (ESMA RTS 11)를 따른다. 호가단위는 종목의 가격 수준과 유동성 구간(일평균 거래건수, ADNT 기준)의 조합에 의해 결정된다.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(EUR)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1 (ADNT &lt; 10)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3 (ADNT 80-600)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구간 6 (ADNT &gt;= 9000)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10 - 19.9999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[출처: Xetra 적용 ESMA RTS 11; 대표값 -- 전체 표는 6개 유동성 구간과 13개 가격 범위]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Xetra 주식의 경우 1주</w:t>
      </w:r>
    </w:p>
    <w:p>
      <w:pPr>
        <w:pStyle w:val="ListBullet"/>
      </w:pPr>
      <w:r>
        <w:t>Xetra 호가창 접속매매에서 최소 주문 크기 없음</w:t>
      </w:r>
    </w:p>
    <w:p>
      <w:pPr>
        <w:pStyle w:val="ListBullet"/>
      </w:pPr>
      <w:r>
        <w:t>대량매매 기준: MiFID II 대량주문(LIS) 면제에 따라 정의; 종목 유동성 등급에 따라 상이</w:t>
      </w:r>
    </w:p>
    <w:p>
      <w:pPr>
        <w:pStyle w:val="ListBullet"/>
      </w:pPr>
      <w:r>
        <w:t>구조화상품 거래단위: 상품별 상이 (통상 1단위)</w:t>
      </w:r>
    </w:p>
    <w:p>
      <w:pPr>
        <w:pStyle w:val="Heading3"/>
      </w:pPr>
      <w:r>
        <w:t>2.5 시장조성자 / 유동성공급자 프로그램 -- Designated Sponsor (Market Maker / Liquidity Provider Programs)</w:t>
      </w:r>
    </w:p>
    <w:p>
      <w:r>
        <w:t>Designated Sponsor 모델은 Xetra의 핵심 특징이다:</w:t>
      </w:r>
    </w:p>
    <w:p>
      <w:pPr>
        <w:pStyle w:val="ListBullet"/>
      </w:pPr>
      <w:r>
        <w:t>Designated Sponsor: 발행사(또는 지수구성종목의 경우 Deutsche Borse)와 계약하여 매매 시간 중 최소 유동성 및 최대 스프레드 요건을 준수하면서 양방향 호가를 지속 제시하는 등록 시장조성 업체</w:t>
      </w:r>
    </w:p>
    <w:p>
      <w:pPr>
        <w:pStyle w:val="ListBullet"/>
      </w:pPr>
      <w:r>
        <w:t>의무사항: Designated Sponsor는 Deutsche Borse가 정한 최소 호가 수량 및 최대 스프레드를 제시해야 하며; 종목 유동성 범주(A, B, C, D)에 따라 요건이 상이; 정해진 시간 내에 Quote Request에 응답해야 함</w:t>
      </w:r>
    </w:p>
    <w:p>
      <w:pPr>
        <w:pStyle w:val="ListBullet"/>
      </w:pPr>
      <w:r>
        <w:t>인센티브: 매매 수수료 감면; XLM (Xetra Liquidity Measure) 보고 우선권; 마케팅 가시성</w:t>
      </w:r>
    </w:p>
    <w:p>
      <w:pPr>
        <w:pStyle w:val="ListBullet"/>
      </w:pPr>
      <w:r>
        <w:t>XLM (Xetra Liquidity Measure): 암묵적 매매비용(시장충격)에 대한 Deutsche Borse의 독자적 측정 지표로 Designated Sponsor 성과 평가에 사용; 월별 발표</w:t>
      </w:r>
    </w:p>
    <w:p>
      <w:pPr>
        <w:pStyle w:val="ListBullet"/>
      </w:pPr>
      <w:r>
        <w:t>특정 시장 구분의 요건: Scale 시장 구분 및 유동성이 낮은 주식은 입회 시 최소 1개의 Designated Sponsor가 필요한 경우가 일반적</w:t>
      </w:r>
    </w:p>
    <w:p>
      <w:pPr>
        <w:pStyle w:val="ListBullet"/>
      </w:pPr>
      <w:r>
        <w:t>Designated Sponsor 수: Xetra에서 20개 이상의 활성 Designated Sponsor 업체 [미검증]</w:t>
      </w:r>
    </w:p>
    <w:p>
      <w:r>
        <w:t>KRX 비교: KRX의 유동성공급자(LP) 제도와 유사하나, Xetra의 Designated Sponsor는 종목 유동성 등급에 따라 보다 세분화된 의무사항을 갖추고 있으며, XLM이라는 독자적 유동성 측정 지표를 활용하는 점이 특징적이다.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체결 방식 (Trading Mechanism)</w:t>
      </w:r>
    </w:p>
    <w:p>
      <w:pPr>
        <w:pStyle w:val="Heading3"/>
      </w:pPr>
      <w:r>
        <w:t>3.1 단일가매매 (경매) 방식 (Auction Mechanisms)</w:t>
      </w:r>
    </w:p>
    <w:p>
      <w:pPr>
        <w:pStyle w:val="ListBullet"/>
      </w:pPr>
      <w:r>
        <w:t>시가단일가매매 (개장 경매): CET 08:50에 호가 수집 단계가 시작되어 주문을 모으되 체결은 하지 않는다. 예시 경매 가격과 물량이 실시간 표시된다. CET 09:00에 최대 30초의 랜덤 종료 구간에 진입하며, 이후 실행 가능 거래량을 최대화하는 가격으로 체결된다. 가격이 결정되지 않으면 최우선 매수·매도호가가 표시되고 체결 없이 접속매매가 시작됨</w:t>
      </w:r>
    </w:p>
    <w:p>
      <w:pPr>
        <w:pStyle w:val="ListBullet"/>
      </w:pPr>
      <w:r>
        <w:t>종가단일가매매 (장마감 경매): CET 17:30에 시작된다. 약 2분의 호가 수집 단계에서 주문을 모은다. 조작 방지를 위한 최대 30초의 랜덤 종료 구간이 이어진다. 체결은 지수 산출, 펀드 NAV, 파생상품 결제에 핵심적인 공식 종가를 결정한다</w:t>
      </w:r>
    </w:p>
    <w:p>
      <w:pPr>
        <w:pStyle w:val="ListBullet"/>
      </w:pPr>
      <w:r>
        <w:t>장중 단일가매매: 특정 종목군에 대해 예정 (예: DAX 구성종목 CET 13:00 장중 경매). 정기적 재평가가 필요한 종목에 추가 가격발견 기회를 제공하기 위한 목적</w:t>
      </w:r>
    </w:p>
    <w:p>
      <w:pPr>
        <w:pStyle w:val="ListBullet"/>
      </w:pPr>
      <w:r>
        <w:t>변동성완화장치 (VI) 발동 시 단일가매매 (변동성 경매): 잠재 체결가가 동적 또는 정적 가격 범위를 위반할 경우 자동 발동된다. 해당 종목은 질서 있는 가격 발견을 위해 연장 호가 수집 경매에 진입한다. 변동성완화장치 발동 시 단일가매매는 정해진 기간(통상 2분) 후 랜덤 종료 구간이 이어진다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주문주도형 시장: Xetra는 접속매매 시간(CET 09:00-17:30) 중 순수 전자식 주문주도형 시장이다</w:t>
      </w:r>
    </w:p>
    <w:p>
      <w:pPr>
        <w:pStyle w:val="ListBullet"/>
      </w:pPr>
      <w:r>
        <w:t>가격-시간 우선원칙: 주문은 가격 우선(최우선 가격이 우선)으로 체결되고, 동일 가격에서는 시간 우선(먼저 입력된 주문이 우선)으로 체결된다. 동일 가격에서 공개 주문이 빙산주문의 비공개 부분보다 우선</w:t>
      </w:r>
    </w:p>
    <w:p>
      <w:pPr>
        <w:pStyle w:val="ListBullet"/>
      </w:pPr>
      <w:r>
        <w:t>Designated Sponsor가 양방향 호가를 제시하여 보충적 유동성을 제공하나, 접속매매는 근본적으로 호가창 모델이며 호가주도형 시장이 아님</w:t>
      </w:r>
    </w:p>
    <w:p>
      <w:pPr>
        <w:pStyle w:val="ListBullet"/>
      </w:pPr>
      <w:r>
        <w:t>Borse Frankfurt 장내매매는 스페셜리스트(Skontrofuhrer)가 예시호가를 설정하고 호가창 지원을 통해 매매를 촉진하는 하이브리드 모델로 운영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1차 가격 발견은 Xetra의 시가 및 종가 단일가매매와 접속매매 호가창을 통해 이루어진다</w:t>
      </w:r>
    </w:p>
    <w:p>
      <w:pPr>
        <w:pStyle w:val="ListBullet"/>
      </w:pPr>
      <w:r>
        <w:t>경매 체결 알고리즘은 다음 원칙을 따른다: (1) 실행 가능 거래량 최대화, (2) 잔여(미체결) 물량 최소화, (3) 동률 시 참조가격(이전 가격) 활용</w:t>
      </w:r>
    </w:p>
    <w:p>
      <w:pPr>
        <w:pStyle w:val="ListBullet"/>
      </w:pPr>
      <w:r>
        <w:t>Xetra 종가는 독일 주식의 가장 널리 참조되는 가격이며 DAX/MDAX/SDAX 지수 산출에 사용</w:t>
      </w:r>
    </w:p>
    <w:p>
      <w:pPr>
        <w:pStyle w:val="ListBullet"/>
      </w:pPr>
      <w:r>
        <w:t>Xetra는 독일 내 전체 장내 주식 매매 거래량의 약 90%를 점유하여 지배적 가격발견 장소</w:t>
      </w:r>
    </w:p>
    <w:p>
      <w:pPr>
        <w:pStyle w:val="ListBullet"/>
      </w:pPr>
      <w:r>
        <w:t>변동성완화장치를 위한 참조가격은 최종 경매 가격(정적)과 최종 체결가(동적)에서 설정되며, 접속매매 중 지속적으로 갱신</w:t>
      </w:r>
    </w:p>
    <w:p>
      <w:pPr>
        <w:pStyle w:val="Heading3"/>
      </w:pPr>
      <w:r>
        <w:t>3.4 주문 우선순위 (Order Priority)</w:t>
      </w:r>
    </w:p>
    <w:p>
      <w:pPr>
        <w:pStyle w:val="ListBullet"/>
      </w:pPr>
      <w:r>
        <w:t>가격 우선: 최우선 가격의 주문이 항상 먼저 체결</w:t>
      </w:r>
    </w:p>
    <w:p>
      <w:pPr>
        <w:pStyle w:val="ListBullet"/>
      </w:pPr>
      <w:r>
        <w:t>공개 우선: 동일 가격에서 공개 주문 수량이 비공개(빙산 잔량) 수량보다 우선</w:t>
      </w:r>
    </w:p>
    <w:p>
      <w:pPr>
        <w:pStyle w:val="ListBullet"/>
      </w:pPr>
      <w:r>
        <w:t>시간 우선: 동일 가격 및 동일 공개 상태에서는 가장 빠른 입력 시간이 우선</w:t>
      </w:r>
    </w:p>
    <w:p>
      <w:pPr>
        <w:pStyle w:val="ListBullet"/>
      </w:pPr>
      <w:r>
        <w:t>시장가주문은 지정가주문보다 우선 (최우선 가격을 가진 것으로 간주)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 (Market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체결; 무제한 가격 유효성; 경매에서는 상대방이 있으면 체결 보장; 접속매매에서는 잔류 주문에 대해 즉시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 (Limit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매수가 또는 최소 매도가를 지정; 즉시 체결되지 않으면 호가창에 잔류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시장가-지정가전환주문 (Market-to-Limit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시장가주문으로 진입; 최초 체결이 지정가격을 설정; 미체결 잔량은 해당 가격의 지정가주문으로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 (Iceberg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표시수량만 호가창에 공개; 숨겨진 잔량이 표시 부분 전량 체결 시 자동으로 갱신; 갱신된 표시수량은 새로운 시간 우선순위 부여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비공개주문 (Hidden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주문 수량이 공개 호가창에서 비공개; 유입되는 적극적 주문에 대해서만 체결; 최소 주문 금액 통상 EUR 10,000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역지정가주문 (Stop Order / Stop Market)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발동가격 도달 시까지 비활성; 활성화 시 시장가주문이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역지정가조건부주문 (Stop Limit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발동가격 도달 시까지 비활성; 활성화 시 지정된 가격의 지정가주문이 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양자택일주문 (One-Cancels-Other, OCO)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한쪽이 체결되면 다른 쪽이 자동 취소되는 주문 쌍 [미검증 -- T7에서 네이티브가 아닌 브로커 측에서 지원할 수 있음]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추적역지정가주문 (Trailing Stop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정지가격이 유리한 가격 변동에 따라 지정된 추적 금액만큼 자동 조정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중간가격주문 (Midpoint Order)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매수·매도호가의 중간가격에 연동; 특정 비공개 호가창 구분에서 사용 가능 [미검증]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당일 (GFD)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매매시간에만 유효; 매매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취소시까지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체결, 참가자 취소 또는 최대 유효기간(통상 360일)까지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지정일까지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날짜까지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즉시체결잔량취소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수량만큼 즉시 체결; 미체결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전량체결아니면취소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전량 체결되어야 하며, 그렇지 않으면 전체 주문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시가단일가매매 전용 (OA)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호가 수집 및 체결 시에만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종가단일가매매 전용 (CA)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호가 수집 및 체결 시에만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경매 전용 (Auction Only)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모든 경매(시가, 장중, 종가)에서 유효</w:t>
            </w:r>
          </w:p>
        </w:tc>
      </w:tr>
    </w:tbl>
    <w:p/>
    <w:p>
      <w:pPr>
        <w:pStyle w:val="Heading3"/>
      </w:pPr>
      <w:r>
        <w:t>4.4 주문 정정 / 취소 (Order Modification / Cancellation)</w:t>
      </w:r>
    </w:p>
    <w:p>
      <w:pPr>
        <w:pStyle w:val="ListBullet"/>
      </w:pPr>
      <w:r>
        <w:t>T7 ETI (Enhanced Trading Interface) 또는 FIX 게이트웨이를 통해 유효 매매 단계 중 언제든지 주문 정정(가격, 수량 및 기타 속성) 또는 취소 가능</w:t>
      </w:r>
    </w:p>
    <w:p>
      <w:pPr>
        <w:pStyle w:val="ListBullet"/>
      </w:pPr>
      <w:r>
        <w:t>가격 정정: 가격 변경 시 새로운 시간 우선순위 부여 (대기열 순위 상실)</w:t>
      </w:r>
    </w:p>
    <w:p>
      <w:pPr>
        <w:pStyle w:val="ListBullet"/>
      </w:pPr>
      <w:r>
        <w:t>수량 감소: 시간 우선순위 유지</w:t>
      </w:r>
    </w:p>
    <w:p>
      <w:pPr>
        <w:pStyle w:val="ListBullet"/>
      </w:pPr>
      <w:r>
        <w:t>수량 증가: 새로운 시간 우선순위 부여 (우선순위 상실)</w:t>
      </w:r>
    </w:p>
    <w:p>
      <w:pPr>
        <w:pStyle w:val="ListBullet"/>
      </w:pPr>
      <w:r>
        <w:t>자기체결방지: T7은 자기체결방지(SMP) 기능을 지원하여 업체가 자사 주문 간 의도치 않은 교차체결 방지 가능</w:t>
      </w:r>
    </w:p>
    <w:p>
      <w:pPr>
        <w:pStyle w:val="ListBullet"/>
      </w:pPr>
      <w:r>
        <w:t>대량 취소: T7 ETI를 통해 지원; 특정 세션, 종목, 또는 종목군에 대한 전체 주문 취소 가능</w:t>
      </w:r>
    </w:p>
    <w:p>
      <w:pPr>
        <w:pStyle w:val="ListBullet"/>
      </w:pPr>
      <w:r>
        <w:t>영구주문과 비영구주문: T7은 영구주문(시스템 장애조치 시 유지)과 비영구주문(장애조치 시 취소)을 구분; 비영구주문은 보다 낮은 지연시간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 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**T7** (공식 명칭 "T7 trading architecture")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Borse가 Xetra (현물시장) 및 Eurex (파생상품) 양쪽을 위해 자체 공동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고성능, 저지연, 이벤트 기반 아키텍처; 파티션 기반 설계로 각 종목군이 전용 매매체결엔진(매칭엔진) 파티션에 할당되어 병렬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가격-시간-공개 우선원칙의 중앙지정가호가창(CLOB); 각 파티션이 종목 부분집합을 독립적으로 처리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중앙값 **저단위 마이크로초 범위** (코로케이션 참가자 기준 약 5마이크로초); 99백분위 통상 10마이크로초 미만 [Deutsche Borse 발표 기반 추정]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일별 수백만 건의 주문 거래 처리가 가능하도록 설계; 최대 용량은 일반적 일별 부하를 크게 초과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T7은 파티션당 **초당 수십만 건**의 메시지 처리량 지원; 시스템 전체 용량은 초당 수백만 건 [미검증 구체적 수치]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2012년 (Eurex 파생상품용 T7); **2017년** (Xetra 현물시장용 T7, 기존 Xetra 시스템 대체)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1991년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장내매매 전용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Frankfurt Stock Exchange의 수동 매매 장내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1991-1997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IBIS (Integriertes Borsenhandels- und Informationssystem)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독일 주식을 위한 최초의 전자매매 시스템; 화면 기반이나 완전 자동 체결은 아님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Xetra (원래 플랫폼)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전자식 주문주도형 매매; 1997년 11월 28일 출시; 독일 주식 매매의 지배적 장소; 다수의 릴리스(Xetra 7.0~17.0)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2012-현재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T7 (Eurex)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 12월 Eurex 파생상품에 출시; 통합 아키텍처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2017-현재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**T7 (Xetra)**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2017년 6월 Xetra 현물시장을 T7으로 이전 (T7 Release 5.0); 현물과 파생상품이 단일 플랫폼에서 통합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아키텍처: 파티션 기반으로, 각 매매체결엔진 파티션이 전용 하드웨어에서 구동되어 격리성과 결정론적 성능 보장</w:t>
      </w:r>
    </w:p>
    <w:p>
      <w:pPr>
        <w:pStyle w:val="ListBullet"/>
      </w:pPr>
      <w:r>
        <w:t>프로그래밍 언어: C++ (핵심 매매체결엔진) [미검증]</w:t>
      </w:r>
    </w:p>
    <w:p>
      <w:pPr>
        <w:pStyle w:val="ListBullet"/>
      </w:pPr>
      <w:r>
        <w:t>운영체제: Linux 기반</w:t>
      </w:r>
    </w:p>
    <w:p>
      <w:pPr>
        <w:pStyle w:val="ListBullet"/>
      </w:pPr>
      <w:r>
        <w:t>네트워크: 코로케이션 시설 내 고속·저지연 네트워크 패브릭; 10GbE 및 40GbE 연결 [미검증]</w:t>
      </w:r>
    </w:p>
    <w:p>
      <w:pPr>
        <w:pStyle w:val="ListBullet"/>
      </w:pPr>
      <w:r>
        <w:t>매매 게이트웨이:</w:t>
      </w:r>
    </w:p>
    <w:p>
      <w:pPr>
        <w:pStyle w:val="ListBullet"/>
      </w:pPr>
      <w:r>
        <w:t>T7 ETI (Enhanced Trading Interface): 최저 지연시간 주문 접수를 위한 네이티브 바이너리 프로토콜; 세션 기반, 비동기식</w:t>
      </w:r>
    </w:p>
    <w:p>
      <w:pPr>
        <w:pStyle w:val="ListBullet"/>
      </w:pPr>
      <w:r>
        <w:t>T7 FIX Gateway: 주문 접수 및 체결 보고를 위한 FIX 4.2/4.4 프로토콜</w:t>
      </w:r>
    </w:p>
    <w:p>
      <w:pPr>
        <w:pStyle w:val="ListBullet"/>
      </w:pPr>
      <w:r>
        <w:t>시세정보:</w:t>
      </w:r>
    </w:p>
    <w:p>
      <w:pPr>
        <w:pStyle w:val="ListBullet"/>
      </w:pPr>
      <w:r>
        <w:t>T7 EMDI (Enhanced Market Data Interface): UDP 멀티캐스트를 통한 전체 호가 깊이, 비집계 시세정보</w:t>
      </w:r>
    </w:p>
    <w:p>
      <w:pPr>
        <w:pStyle w:val="ListBullet"/>
      </w:pPr>
      <w:r>
        <w:t>T7 MDI (Market Data Interface): UDP 멀티캐스트를 통한 집계/축약 최우선호가 시세정보</w:t>
      </w:r>
    </w:p>
    <w:p>
      <w:pPr>
        <w:pStyle w:val="ListBullet"/>
      </w:pPr>
      <w:r>
        <w:t>T7 EOBI (Enhanced Order Book Interface): 매매체결엔진 파티션에서 직접 전달되는 초저지연 주문별 시세정보 피드; 코로케이션 참가자에게 제공</w:t>
      </w:r>
    </w:p>
    <w:p>
      <w:pPr>
        <w:pStyle w:val="ListBullet"/>
      </w:pPr>
      <w:r>
        <w:t>시뮬레이션 환경: T7은 회원 테스트를 위한 포괄적 시뮬레이션 환경 제공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이중 데이터센터 아키텍처: 실시간 복제를 갖춘 주 및 보조 데이터센터</w:t>
      </w:r>
    </w:p>
    <w:p>
      <w:pPr>
        <w:pStyle w:val="ListBullet"/>
      </w:pPr>
      <w:r>
        <w:t>장애조치(Failover): T7은 투명한 장애조치 지원; 영구주문은 게이트웨이 또는 매매체결엔진 장애조치 시 유지</w:t>
      </w:r>
    </w:p>
    <w:p>
      <w:pPr>
        <w:pStyle w:val="ListBullet"/>
      </w:pPr>
      <w:r>
        <w:t>비영구주문: 장애조치 시 취소 (저지연과의 상충 관계)</w:t>
      </w:r>
    </w:p>
    <w:p>
      <w:pPr>
        <w:pStyle w:val="ListBullet"/>
      </w:pPr>
      <w:r>
        <w:t>정기 DR 테스트: Deutsche Borse가 참가자와 함께 의무적 재해복구 훈련 실시</w:t>
      </w:r>
    </w:p>
    <w:p>
      <w:pPr>
        <w:pStyle w:val="ListBullet"/>
      </w:pPr>
      <w:r>
        <w:t>시세정보 이중화: 모든 시세정보 인터페이스에 이중 피드(A/B) 아키텍처</w:t>
      </w:r>
    </w:p>
    <w:p>
      <w:pPr>
        <w:pStyle w:val="ListBullet"/>
      </w:pPr>
      <w:r>
        <w:t>RPO/RTO: BaFin 및 ESMA의 핵심 시장 인프라 규제 요건에 부합 [구체적 수치 비공개]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시세정보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EOBI (Enhanced Order Book Interface)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매매체결엔진 파티션에서 직접 제공되는 주문별, 비집계, 초저지연 시세정보; UDP 멀티캐스트를 통한 바이너리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지연시간이 필요한 HFT 및 알고리즘 매매; 코로케이션 전용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EMDI (Enhanced Market Data Interface)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호가 깊이, 비집계 시세정보; UDP 멀티캐스트를 통한 바이너리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비코로케이션 참가자를 위한 전체 호가창 복원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MDI (Market Data Interface)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집계/축약 최우선호가 데이터 (최우선 매수·매도호가, 최종 체결가); UDP 멀티캐스트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감시, 화면 시스템, 저대역폭 애플리케이션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T7 RDI (Reference Data Interface)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참조 데이터, 매매 파라미터, 상품 정의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전 설정, 정적 데이터 관리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CEF (Common Exchange Format)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과거 및 종가 데이터 파일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후선업무, 대사, 과거 분석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(최우선호가): 최우선 매수·매도호가(BBO), 최종 체결가 및 수량, 누적 거래량, VWAP; T7 MDI를 통해 제공; xetra.com에서 지연 데이터(15분) 무료 제공</w:t>
      </w:r>
    </w:p>
    <w:p>
      <w:pPr>
        <w:pStyle w:val="ListBullet"/>
      </w:pPr>
      <w:r>
        <w:t>Level 2 (전체 호가 깊이): 모든 가격 수준의 전체 호가창 깊이; T7 EMDI (전체 참가자) 및 T7 EOBI (코로케이션 참가자)를 통해 제공</w:t>
      </w:r>
    </w:p>
    <w:p>
      <w:pPr>
        <w:pStyle w:val="ListBullet"/>
      </w:pPr>
      <w:r>
        <w:t>주문별 데이터 (Order-by-Order): EOBI를 통해 개별 주문 추가, 정정, 삭제가 표시; 시장 미시구조 분석을 위한 최고 수준의 세분성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모든 실시간 시세정보 피드(EOBI, EMDI, MDI, RDI)에 대해 UDP 멀티캐스트 전달</w:t>
      </w:r>
    </w:p>
    <w:p>
      <w:pPr>
        <w:pStyle w:val="ListBullet"/>
      </w:pPr>
      <w:r>
        <w:t>이중 피드 이중화: Feed A와 Feed B가 동일한 순번의 데이터를 전달하여 클라이언트 측 중재 및 누락 감지</w:t>
      </w:r>
    </w:p>
    <w:p>
      <w:pPr>
        <w:pStyle w:val="ListBullet"/>
      </w:pPr>
      <w:r>
        <w:t>TCP 복구 서비스: 누락된 멀티캐스트 패킷의 재전송 요청용</w:t>
      </w:r>
    </w:p>
    <w:p>
      <w:pPr>
        <w:pStyle w:val="ListBullet"/>
      </w:pPr>
      <w:r>
        <w:t>스냅샷 서비스: 초기 상태 복구 또는 재접속을 위한 전체 호가창 스냅샷 제공</w:t>
      </w:r>
    </w:p>
    <w:p>
      <w:pPr>
        <w:pStyle w:val="ListBullet"/>
      </w:pPr>
      <w:r>
        <w:t>코로케이션 배포: EOBI 피드는 코로케이션 시설 내에서만 제공 (매매체결엔진으로부터 최저 지연 경로)</w:t>
      </w:r>
    </w:p>
    <w:p>
      <w:pPr>
        <w:pStyle w:val="ListBullet"/>
      </w:pPr>
      <w:r>
        <w:t>제3자 벤더: Bloomberg, Refinitiv/LSEG, ICE 등 주요 데이터 벤더를 통해 시세정보 제공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Deutsche Borse Market Data + Services: 과거 틱 데이터, 종가 데이터, 참조 데이터, 기업 행위 제공</w:t>
      </w:r>
    </w:p>
    <w:p>
      <w:pPr>
        <w:pStyle w:val="ListBullet"/>
      </w:pPr>
      <w:r>
        <w:t>A7 Analytics Platform: 거래비용 분석(TCA) 및 시장 품질 지표를 위한 Deutsche Borse의 분석 서비스</w:t>
      </w:r>
    </w:p>
    <w:p>
      <w:pPr>
        <w:pStyle w:val="ListBullet"/>
      </w:pPr>
      <w:r>
        <w:t>CEF 파일: 전체 매매일 재구성을 위한 종가 공통 거래소 형식 파일</w:t>
      </w:r>
    </w:p>
    <w:p>
      <w:pPr>
        <w:pStyle w:val="ListBullet"/>
      </w:pPr>
      <w:r>
        <w:t>학술 이용: 파트너십 및 데이터 라이선스 프로그램을 통해 제공</w:t>
      </w:r>
    </w:p>
    <w:p>
      <w:pPr>
        <w:pStyle w:val="ListBullet"/>
      </w:pPr>
      <w:r>
        <w:t>XLM 데이터: 모든 Xetra 거래 종목에 대한 월별 Xetra Liquidity Measure 데이터 발표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이용 (Connectivity &amp; Access)</w:t>
      </w:r>
    </w:p>
    <w:p>
      <w:pPr>
        <w:pStyle w:val="Heading3"/>
      </w:pPr>
      <w:r>
        <w:t>7.1 회원 자격 / 참가 (Membership / Participation)</w:t>
      </w:r>
    </w:p>
    <w:p>
      <w:pPr>
        <w:pStyle w:val="ListBullet"/>
      </w:pPr>
      <w:r>
        <w:t>인가 매매 참가자: Xetra 매매 참가자로의 입회를 위해 Deutsche Borse에 신청해야 함; 자국 감독기관(독일 업체는 BaFin, 또는 MiFID II 여권제도에 따른 동등한 EU/EEA 기관)으로부터 인가 필요</w:t>
      </w:r>
    </w:p>
    <w:p>
      <w:pPr>
        <w:pStyle w:val="ListBullet"/>
      </w:pPr>
      <w:r>
        <w:t>유형: 직접 매매 참가자, Designated Sponsor (시장조성자), 후원접속(DEA -- Direct Electronic Access)을 통해 후원회원으로 접속하는 참가자</w:t>
      </w:r>
    </w:p>
    <w:p>
      <w:pPr>
        <w:pStyle w:val="ListBullet"/>
      </w:pPr>
      <w:r>
        <w:t>요건: 적정 재무자원, 적격 매매인력(매매인 시험 필수), 견고한 IT 시스템 및 통제, 준법감시 및 리스크 관리 인프라</w:t>
      </w:r>
    </w:p>
    <w:p>
      <w:pPr>
        <w:pStyle w:val="ListBullet"/>
      </w:pPr>
      <w:r>
        <w:t>참가자 수: 20개국 이상에서 200명 이상의 매매 참가자가 Xetra에서 활동 [미검증]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**Deutsche Borse Network (N7)**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관리형 네트워크 서비스(구 "Member Section Network"); 참가자 사무실과 T7 매매 인프라를 연결하는 전용 임대 회선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 크로스커넥트**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코로케이션 시설 내에서 코로케이션 랙에서 T7 매매체결엔진 인프라로의 직접 광섬유 크로스커넥트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**제3자 네트워크 제공자**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승인된 네트워크 서비스 제공자(예: BT, Colt, IPC/Connexus)를 통해 Deutsche Borse의 접속 지점에 연결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**인터넷 (GUI)**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수동 매매 및 모니터링을 위해 인터넷으로 접속 가능한 웹 기반 매매인 GUI (T7 Trader GUI) [미검증]</w:t>
            </w:r>
          </w:p>
        </w:tc>
      </w:tr>
    </w:tbl>
    <w:p/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주요 위치: equinix FR2 데이터센터, Frankfurt 지역 (Xetra 및 Eurex 양쪽의 T7 매매체결엔진이 여기에 호스팅) [미검증 -- Deutsche Borse는 Frankfurt 지역 복수 시설 사용]</w:t>
      </w:r>
    </w:p>
    <w:p>
      <w:pPr>
        <w:pStyle w:val="ListBullet"/>
      </w:pPr>
      <w:r>
        <w:t>코로케이션 서비스: 랙 공간, 전력, 냉각, T7 인프라에 대한 직접 크로스커넥트; 다양한 랙 구성 가능</w:t>
      </w:r>
    </w:p>
    <w:p>
      <w:pPr>
        <w:pStyle w:val="ListBullet"/>
      </w:pPr>
      <w:r>
        <w:t>근접 서비스: 완전한 코로케이션이 필요하지 않은 업체를 위해 인근 데이터센터에서 T7까지 관리형 연결을 통한 근접 호스팅 제공</w:t>
      </w:r>
    </w:p>
    <w:p>
      <w:pPr>
        <w:pStyle w:val="ListBullet"/>
      </w:pPr>
      <w:r>
        <w:t>지연시간 이점: 코로케이션 참가자는 최저 지연시간 달성 (왕복 한 자릿수 마이크로초)</w:t>
      </w:r>
    </w:p>
    <w:p>
      <w:pPr>
        <w:pStyle w:val="ListBullet"/>
      </w:pPr>
      <w:r>
        <w:t>네트워크 장비: 참가자가 코로케이션 랙에 자체 서버 및 네트워크 장비 설치 가능</w:t>
      </w:r>
    </w:p>
    <w:p>
      <w:pPr>
        <w:pStyle w:val="ListBullet"/>
      </w:pPr>
      <w:r>
        <w:t>복수 크로스커넥트 옵션: T7 ETI 게이트웨이, 시세정보(EOBI) 스위치 및 기타 서비스에 대한 전용 광섬유 링크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ETI (Enhanced Trading Interface)**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네이티브 바이너리, 세션 지향; 최저 지연시간 주문 접수, 정정, 취소 및 체결 보고; 고빈도 전략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FIX Gateway**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4.2/4.4 준수; 주문 전달을 위한 표준 프로토콜; ETI보다 높은 지연시간이나 산업 표준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GUI (Trader GUI)**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수동 주문 입력, 시장 모니터링, 체결 관리를 위한 Java 기반 그래픽 인터페이스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Admin GUI**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세션 관리, 리스크 파라미터 설정, 사용자 관리를 위한 관리자 인터페이스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**Common Report Engine**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XML/CSV 기반 매매후 보고; 체결 확인, 결제 지시, 규제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**T7 RDI**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종목 마스터 데이터를 위한 참조 데이터 인터페이스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T7 시뮬레이션 환경: 운영 환경의 완전 기능 복제; 주문 접수, 시세정보 수신, 장애조치 시나리오에 대한 회원 테스트에 사용 가능</w:t>
      </w:r>
    </w:p>
    <w:p>
      <w:pPr>
        <w:pStyle w:val="ListBullet"/>
      </w:pPr>
      <w:r>
        <w:t>적합성/인증 테스트: 운영 환경 가동 전 필수; Deutsche Borse가 T7 프로토콜(ETI, FIX, 시세정보)의 올바른 구현을 검증</w:t>
      </w:r>
    </w:p>
    <w:p>
      <w:pPr>
        <w:pStyle w:val="ListBullet"/>
      </w:pPr>
      <w:r>
        <w:t>릴리스 테스트: T7 소프트웨어 릴리스에 대한 사전 통지 제공; 시뮬레이션에서의 전용 테스트 기간</w:t>
      </w:r>
    </w:p>
    <w:p>
      <w:pPr>
        <w:pStyle w:val="ListBullet"/>
      </w:pPr>
      <w:r>
        <w:t>회원 준비 프로그램: Deutsche Borse가 주요 시스템 업그레이드를 위한 회원 준비 상태 조율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 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가격 범위 (Static Price Range)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최종 경매 가격 대비 종목별 백분율 편차 (예: DAX 주식 약 10%) [미검증 구체적 비율]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정적 범위 밖의 잠재 체결가는 변동성완화장치 발동을 유발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동적 가격 범위 (Dynamic Price Range)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최종 체결가 또는 최우선 매수·매도호가 대비 종목별 백분율 편차; 정적 범위보다 좁음 (예: 유동주식 약 2~5%)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동적 범위 밖의 잠재 체결가는 변동성완화장치 발동을 유발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확장 가격 범위 (Extended Price Range)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변동성완화장치 발동 시 단일가매매 중 종목의 최대 허용 가격 범위; 경매 체결이 이를 위반하면 경매 연장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연장</w:t>
            </w:r>
          </w:p>
        </w:tc>
      </w:tr>
    </w:tbl>
    <w:p/>
    <w:p>
      <w:r>
        <w:t>참고: Xetra는 고정 일일 가격제한(일일 상·하한가 비율)을 부과하지 않는다. 대신 아래 설명하는 변동성완화장치를 사용한다.</w:t>
      </w:r>
    </w:p>
    <w:p>
      <w:pPr>
        <w:pStyle w:val="Heading3"/>
      </w:pPr>
      <w:r>
        <w:t>8.2 서킷브레이커 (매매거래중단) -- 변동성완화장치 (Volatility Interruptions)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**변동성완화장치 (동적)**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접속매매 체결 또는 경매 체결가가 동적 가격 범위(최종 체결가 기준)를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자동으로 호가 수집 경매로 전환; 통상 2분 후 최대 30초의 랜덤 종료 구간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**변동성완화장치 (정적)**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가격이 정적 가격 범위(최종 경매 가격 기준)를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자동으로 호가 수집 경매로 전환; 통상 2분 + 랜덤 종료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**확장 변동성완화장치**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변동성완화장치 발동 시 단일가매매의 예시 체결가 자체가 확장 가격 범위를 위반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경매가 추가 기간 연장; 반복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 전체 서킷브레이커**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 차원의 명시적 시장 전체 거래중단 메커니즘 없음 [미검증]; 개별 종목 수준의 변동성완화장치가 동일 목적 수행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종목별; 전체 시장을 중단시키지 않음</w:t>
            </w:r>
          </w:p>
        </w:tc>
      </w:tr>
    </w:tbl>
    <w:p/>
    <w:p>
      <w:pPr>
        <w:pStyle w:val="ListBullet"/>
      </w:pPr>
      <w:r>
        <w:t>변동성완화장치는 투명하다: T7 시스템은 변동성완화장치 발동 및 종료 시 모든 참가자에게 전용 메시지를 발행한다</w:t>
      </w:r>
    </w:p>
    <w:p>
      <w:pPr>
        <w:pStyle w:val="ListBullet"/>
      </w:pPr>
      <w:r>
        <w:t>변동성완화장치 기간 중 주문 입력, 정정, 취소가 가능하나 경매 체결 전까지 매매는 발생하지 않는다</w:t>
      </w:r>
    </w:p>
    <w:p>
      <w:r>
        <w:t>KRX 비교: KRX의 변동성완화장치(VI)는 동적 VI와 정적 VI로 구분되며, 발동 시 2분간 단일가매매를 실시한다. Xetra와 유사한 구조이나, KRX는 이에 더해 +/-30% 일일 가격제한폭을 병행 적용하는 점이 다르다.</w:t>
      </w:r>
    </w:p>
    <w:p>
      <w:pPr>
        <w:pStyle w:val="Heading3"/>
      </w:pPr>
      <w:r>
        <w:t>8.3 매매 전 리스크 관리 (Pre-trade Risk Controls)</w:t>
      </w:r>
    </w:p>
    <w:p>
      <w:pPr>
        <w:pStyle w:val="ListBullet"/>
      </w:pPr>
      <w:r>
        <w:t>최대 주문 금액: 세션/종목별 설정 가능; 기준 초과 주문은 T7에서 거부</w:t>
      </w:r>
    </w:p>
    <w:p>
      <w:pPr>
        <w:pStyle w:val="ListBullet"/>
      </w:pPr>
      <w:r>
        <w:t>최대 주문 수량: 주문당 최대 주식/계약 수 제한</w:t>
      </w:r>
    </w:p>
    <w:p>
      <w:pPr>
        <w:pStyle w:val="ListBullet"/>
      </w:pPr>
      <w:r>
        <w:t>가격 합리성 검사: T7이 현재 시장 대비 유입 주문 가격을 검증하고 비합리적 가격(극단적 지정가)의 주문을 거부</w:t>
      </w:r>
    </w:p>
    <w:p>
      <w:pPr>
        <w:pStyle w:val="ListBullet"/>
      </w:pPr>
      <w:r>
        <w:t>스로틀링 / 메시지 속도 제한: T7이 세션당 메시지 속도 제한 적용 (예: 초당 최대 거래 건수); 과도한 메시지 속도는 스로틀링 또는 세션 단절 초래</w:t>
      </w:r>
    </w:p>
    <w:p>
      <w:pPr>
        <w:pStyle w:val="ListBullet"/>
      </w:pPr>
      <w:r>
        <w:t>고급 리스크 보호(ARP): 시간 구간별 누적 체결 모니터링; 롤링 시간 윈도우 내에서 업체의 체결 물량/금액이 설정 기준을 초과하면 추가 주문이 자동 거부되거나 세션이 정지</w:t>
      </w:r>
    </w:p>
    <w:p>
      <w:pPr>
        <w:pStyle w:val="ListBullet"/>
      </w:pPr>
      <w:r>
        <w:t>청산회원별 매매 전 리스크 한도: 청산회원(Eurex Clearing 경유)이 고객에 대한 매매 전 한도를 실시간으로 설정·모니터링 가능</w:t>
      </w:r>
    </w:p>
    <w:p>
      <w:pPr>
        <w:pStyle w:val="ListBullet"/>
      </w:pPr>
      <w:r>
        <w:t>자기체결방지: 업체의 자사 매수·매도 주문 간 체결 방지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T7 Kill Switch (Stop Button): T7 Admin GUI를 통해 사용 가능; 인가된 리스크 관리자가 특정 세션, 사용자, 또는 사업부의 모든 주문 및 호가 삭제 가능</w:t>
      </w:r>
    </w:p>
    <w:p>
      <w:pPr>
        <w:pStyle w:val="ListBullet"/>
      </w:pPr>
      <w:r>
        <w:t>청산회원 정지: 청산회원이 Eurex Clearing 인터페이스를 통해 비청산회원 고객에 대한 긴급 정지 발동 가능</w:t>
      </w:r>
    </w:p>
    <w:p>
      <w:pPr>
        <w:pStyle w:val="ListBullet"/>
      </w:pPr>
      <w:r>
        <w:t>범위: 특정 매매인, 세션, 사업부, 또는 전체 업체의 모든 미체결 주문 취소 가능</w:t>
      </w:r>
    </w:p>
    <w:p>
      <w:pPr>
        <w:pStyle w:val="ListBullet"/>
      </w:pPr>
      <w:r>
        <w:t>시장운영부서 긴급 정지: 참가자가 Deutsche Borse 시장운영부서에 전화로 매매 활동 긴급 중단 요청 가능</w:t>
      </w:r>
    </w:p>
    <w:p>
      <w:pPr>
        <w:pStyle w:val="ListBullet"/>
      </w:pPr>
      <w:r>
        <w:t>자동 발동: ARP가 누적 기준 위반 시 kill switch로 자동 기능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BaFin (Bundesanstalt fur Finanzdienstleistungsaufsicht): 독일 연방 금융감독청; Deutsche Borse AG를 시장 운영자로 규제하고 매매 참가자를 감독</w:t>
      </w:r>
    </w:p>
    <w:p>
      <w:pPr>
        <w:pStyle w:val="ListBullet"/>
      </w:pPr>
      <w:r>
        <w:t>거래소감독청 (Borsennaufsichtsbehorde): Hessisches Ministerium fur Wirtschaft, Energie, Verkehr und Wohnen (헤센주 경제부)가 독일 거래소법(Borsengesetz)에 따라 주 차원에서 Frankfurt Stock Exchange를 직접 감독</w:t>
      </w:r>
    </w:p>
    <w:p>
      <w:pPr>
        <w:pStyle w:val="ListBullet"/>
      </w:pPr>
      <w:r>
        <w:t>ECB / Bundesbank: 시스템적으로 중요한 금융시장 인프라로서 Clearstream 및 Eurex Clearing 감독</w:t>
      </w:r>
    </w:p>
    <w:p>
      <w:pPr>
        <w:pStyle w:val="ListBullet"/>
      </w:pPr>
      <w:r>
        <w:t>ESMA: EU 차원 조율; Deutsche Borse 매매장소는 독일법으로 이행된 MiFID II/MiFIR 체계 하에서 운영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Borsengesetz (독일 거래소법): 독일 내 거래소의 조직 및 운영을 규율하는 주요 법률</w:t>
      </w:r>
    </w:p>
    <w:p>
      <w:pPr>
        <w:pStyle w:val="ListBullet"/>
      </w:pPr>
      <w:r>
        <w:t>Wertpapierhandelsgesetz (WpHG -- 증권거래법): EU MiFID II/MiFIR을 독일법으로 이행; 증권매매, 시장남용, 투명성을 규율</w:t>
      </w:r>
    </w:p>
    <w:p>
      <w:pPr>
        <w:pStyle w:val="ListBullet"/>
      </w:pPr>
      <w:r>
        <w:t>MiFID II / MiFIR: 매매장소, 투명성, 투자자 보호, 시장 구조를 위한 EU 전역 체계; 직접 적용(MiFIR) 및 이행(MiFID II)</w:t>
      </w:r>
    </w:p>
    <w:p>
      <w:pPr>
        <w:pStyle w:val="ListBullet"/>
      </w:pPr>
      <w:r>
        <w:t>시장남용규정 (MAR): EU 규정 596/2014; 내부자거래, 시세조종, 내부정보의 불법 공개 금지</w:t>
      </w:r>
    </w:p>
    <w:p>
      <w:pPr>
        <w:pStyle w:val="ListBullet"/>
      </w:pPr>
      <w:r>
        <w:t>EU 투자설명서 규정: 공모 및 정규시장 입회를 규율</w:t>
      </w:r>
    </w:p>
    <w:p>
      <w:pPr>
        <w:pStyle w:val="ListBullet"/>
      </w:pPr>
      <w:r>
        <w:t>EMIR (European Market Infrastructure Regulation): 청산 의무 및 CCP 규제 규율 (Eurex Clearing 관련)</w:t>
      </w:r>
    </w:p>
    <w:p>
      <w:pPr>
        <w:pStyle w:val="ListBullet"/>
      </w:pPr>
      <w:r>
        <w:t>CSDR (Central Securities Depositories Regulation): 결제 및 CSD 운영 규율 (Clearstream 관련)</w:t>
      </w:r>
    </w:p>
    <w:p>
      <w:pPr>
        <w:pStyle w:val="ListBullet"/>
      </w:pPr>
      <w:r>
        <w:t>투명성지침이행법 (Transparenzrichtlinie-Umsetzungsgesetz): 발행사 지속적 공시를 위한 EU 투명성지침 이행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매매감시실 (HuSt -- Handelsuberwachungsstelle): 거래소법에 따라 법적으로 요구되는 거래소 내 독립 부서로, 잠재적 시세조종, 내부자거래, 규칙 위반에 대해 실시간 매매 활동을 모니터링</w:t>
      </w:r>
    </w:p>
    <w:p>
      <w:pPr>
        <w:pStyle w:val="ListBullet"/>
      </w:pPr>
      <w:r>
        <w:t>BaFin의 시장 감시: BaFin은 MiFIR 제26조에 따라 투자회사가 보고한 데이터를 활용하여 자체 거래 모니터링 운영</w:t>
      </w:r>
    </w:p>
    <w:p>
      <w:pPr>
        <w:pStyle w:val="ListBullet"/>
      </w:pPr>
      <w:r>
        <w:t>자동화 감시: 주문 흐름, 체결 실행, 참가자 행위를 분석하는 독자적 감시 시스템을 사용한 실시간 패턴 감지</w:t>
      </w:r>
    </w:p>
    <w:p>
      <w:pPr>
        <w:pStyle w:val="ListBullet"/>
      </w:pPr>
      <w:r>
        <w:t>의심 거래 및 주문 보고 (STORs): 회원사는 의심스러운 매매 활동을 BaFin에 보고해야 함</w:t>
      </w:r>
    </w:p>
    <w:p>
      <w:pPr>
        <w:pStyle w:val="ListBullet"/>
      </w:pPr>
      <w:r>
        <w:t>교차시장 조율: Deutsche Borse는 거래소 간 감시 프로그램에 참여하고 ESMA 및 기타 EU 국가 감독기관과 협력</w:t>
      </w:r>
    </w:p>
    <w:p>
      <w:pPr>
        <w:pStyle w:val="Heading3"/>
      </w:pPr>
      <w:r>
        <w:t>9.4 보고 의무 (Reporting Requirements)</w:t>
      </w:r>
    </w:p>
    <w:p>
      <w:pPr>
        <w:pStyle w:val="ListBullet"/>
      </w:pPr>
      <w:r>
        <w:t>거래 보고: 투자회사는 MiFIR 제26조에 따라 T+1 이내에 국가 감독기관(독일 업체는 BaFin)에 보고; 거래당 65개 데이터 항목</w:t>
      </w:r>
    </w:p>
    <w:p>
      <w:pPr>
        <w:pStyle w:val="ListBullet"/>
      </w:pPr>
      <w:r>
        <w:t>매매 후 투명성: 기술적으로 가능한 한 실시간에 가깝게 체결 상세(가격, 물량, 시간) 공개; 대량매매 및 비유동성 종목에 대해 지연 가능</w:t>
      </w:r>
    </w:p>
    <w:p>
      <w:pPr>
        <w:pStyle w:val="ListBullet"/>
      </w:pPr>
      <w:r>
        <w:t>매매 전 투명성: 정규시장 종목에 대한 매수·매도호가 및 호가창 깊이 표시</w:t>
      </w:r>
    </w:p>
    <w:p>
      <w:pPr>
        <w:pStyle w:val="ListBullet"/>
      </w:pPr>
      <w:r>
        <w:t>공매도 공시: 순공매도 포지션 0.2% 초과 시 BaFin에 보고; 0.5% 초과 시 공개 (EU 공매도 규정)</w:t>
      </w:r>
    </w:p>
    <w:p>
      <w:pPr>
        <w:pStyle w:val="ListBullet"/>
      </w:pPr>
      <w:r>
        <w:t>대량 보유 통지: 의결권 3%, 5%, 10%, 15%, 20%, 25%, 30%, 50%, 75% 기준 초과 시 공시 필요 (EU 투명성지침을 이행하는 독일 WpHG)</w:t>
      </w:r>
    </w:p>
    <w:p>
      <w:pPr>
        <w:pStyle w:val="ListBullet"/>
      </w:pPr>
      <w:r>
        <w:t>임원 거래 (PDMR 거래): 경영책임자는 발행사 증권에 대한 거래를 BaFin 및 발행사에 보고해야 함</w:t>
      </w:r>
    </w:p>
    <w:p>
      <w:pPr>
        <w:pStyle w:val="Heading3"/>
      </w:pPr>
      <w:r>
        <w:t>9.5 국경 간 협정 (Cross-border Arrangements)</w:t>
      </w:r>
    </w:p>
    <w:p>
      <w:pPr>
        <w:pStyle w:val="ListBullet"/>
      </w:pPr>
      <w:r>
        <w:t>EU MiFID II 여권제도: EU/EEA 회원국에서 인가된 투자회사는 독일 지점 설립 없이 원격 회원으로 Xetra에 접속 가능</w:t>
      </w:r>
    </w:p>
    <w:p>
      <w:pPr>
        <w:pStyle w:val="ListBullet"/>
      </w:pPr>
      <w:r>
        <w:t>역외국 접속: 비EU 업체는 BaFin과 해당 업체의 본국 감독기관 간 동등성 평가 및 양자 MoU에 따라 Xetra에 접속 가능</w:t>
      </w:r>
    </w:p>
    <w:p>
      <w:pPr>
        <w:pStyle w:val="ListBullet"/>
      </w:pPr>
      <w:r>
        <w:t>ESMA 협력: Deutsche Borse는 범유럽 감독 수렴에 관해 ESMA와 협력</w:t>
      </w:r>
    </w:p>
    <w:p>
      <w:pPr>
        <w:pStyle w:val="ListBullet"/>
      </w:pPr>
      <w:r>
        <w:t>IOSCO MMOU: BaFin은 서명국으로서 국경 간 정보 공유를 촉진</w:t>
      </w:r>
    </w:p>
    <w:p>
      <w:pPr>
        <w:pStyle w:val="ListBullet"/>
      </w:pPr>
      <w:r>
        <w:t>브렉시트 이후: 영국 업체는 역외국 협정에 따라 Xetra에 접속; BaFin과 FCA 간 양해각서 존재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p>
      <w:r>
        <w:t>Xetra 매매 수수료는 주로 거래대금 기반(ad valorem)이며 특정 시장 구분에 메이커-테이커(유동성 제공-소비 수수료 모델) 가격체계를 적용한다.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표준 체결 수수료 (주식)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 주문당 가치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약 0.48 bps (거래량 단계 및 가격 모델에 따라 상이) [미검증 -- Xetra Price List에 게재]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적극적 (테이커)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유동성을 소비하는 체결 가능 주문에 높은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패시브 수수료보다 통상 0.1-0.3 bps 높음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소극적 (메이커) 수수료 /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유동성을 공급하는 주문에 감면 수수료 또는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테이커 수수료보다 낮음; 특정 프로그램에서 제로 또는 리베이트 가능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최소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 주문당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체결당 최소 EUR 0.60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Designated Sponsor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Designated Sponsor 주문 흐름에 대한 감면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요율 대비 대폭 감면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ETF/ETP 매매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주식과 유사한 구조; ETF 유치를 위한 경쟁력 있는 수준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장내매매 (Borse Frankfurt)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 거래당 거래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수수료표; 스페셜리스트 지원 매매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 (초기): 시장 구분 및 시가총액에 따른 입회 수수료; Prime Standard 초기 상장 수수료는 수천 EUR부터 시작하여 시가총액에 따라 증가 [미검증 구체적 일정]</w:t>
      </w:r>
    </w:p>
    <w:p>
      <w:pPr>
        <w:pStyle w:val="ListBullet"/>
      </w:pPr>
      <w:r>
        <w:t>상장 수수료 (연간): 상장/편입 유지를 위한 연간 수수료; 시장 구분(Prime Standard, General Standard, Scale, Basic Board)에 따라 상이</w:t>
      </w:r>
    </w:p>
    <w:p>
      <w:pPr>
        <w:pStyle w:val="ListBullet"/>
      </w:pPr>
      <w:r>
        <w:t>접속 수수료: T7 ETI 세션, FIX 세션, 시세정보 연결, 코로케이션 크로스커넥트에 대한 월정 수수료</w:t>
      </w:r>
    </w:p>
    <w:p>
      <w:pPr>
        <w:pStyle w:val="ListBullet"/>
      </w:pPr>
      <w:r>
        <w:t>시세정보 수수료: 실시간 데이터(Level 1, Level 2, EOBI)에 대한 사용자별 및 기업 라이선스 수수료; 화면용 vs. 비화면용 별도 가격; xetra.com에서 지연 데이터 무료 제공</w:t>
      </w:r>
    </w:p>
    <w:p>
      <w:pPr>
        <w:pStyle w:val="ListBullet"/>
      </w:pPr>
      <w:r>
        <w:t>코로케이션 수수료: 코로케이션 시설 내 월별 랙 임대, 전력, 크로스커넥트 수수료</w:t>
      </w:r>
    </w:p>
    <w:p>
      <w:pPr>
        <w:pStyle w:val="ListBullet"/>
      </w:pPr>
      <w:r>
        <w:t>청산 수수료: Eurex Clearing이 Xetra 거래의 CCP 청산에 대해 거래당 수수료 부과; 전체 비용 체인에 포함</w:t>
      </w:r>
    </w:p>
    <w:p>
      <w:pPr>
        <w:pStyle w:val="Heading3"/>
      </w:pPr>
      <w:r>
        <w:t>10.3 수익 구성 (Deutsche Borse Group) (Revenue Breakdown)</w:t>
      </w:r>
    </w:p>
    <w:p>
      <w:r>
        <w:t>Deutsche Borse Group의 FY 2024 연결 순매출은 약 EUR 56억이며 [출처: Deutsche Borse AG Annual Report 2024], 부문별 구성은 다음과 같다:</w:t>
      </w:r>
    </w:p>
    <w:p>
      <w:pPr>
        <w:pStyle w:val="ListBullet"/>
      </w:pPr>
      <w:r>
        <w:t>매매 및 청산 (Eurex, Xetra, EEX, 360T): 순매출의 약 40% [추정]</w:t>
      </w:r>
    </w:p>
    <w:p>
      <w:pPr>
        <w:pStyle w:val="ListBullet"/>
      </w:pPr>
      <w:r>
        <w:t>증권서비스 (Clearstream): 순매출의 약 25% [추정]</w:t>
      </w:r>
    </w:p>
    <w:p>
      <w:pPr>
        <w:pStyle w:val="ListBullet"/>
      </w:pPr>
      <w:r>
        <w:t>펀드서비스 (IFS): 순매출의 약 10% [추정]</w:t>
      </w:r>
    </w:p>
    <w:p>
      <w:pPr>
        <w:pStyle w:val="ListBullet"/>
      </w:pPr>
      <w:r>
        <w:t>데이터 및 분석 (Qontigo, ISS): 순매출의 약 15% [추정]</w:t>
      </w:r>
    </w:p>
    <w:p>
      <w:pPr>
        <w:pStyle w:val="ListBullet"/>
      </w:pPr>
      <w:r>
        <w:t>SimCorp: 순매출의 약 10% [추정]</w:t>
      </w:r>
    </w:p>
    <w:p>
      <w:r>
        <w:t>참고: Xetra 현물주식 매매는 매매 및 청산 부문의 일부이며, 해당 부문에는 Eurex 파생상품, EEX 상품/에너지, 360T FX도 포함된다.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2021: T7 Release 9.1 -- 매매체결엔진 성능 강화; 신규 주문 유형 및 리스크 관리; Borse Frankfurt Zertifikate (구조화상품) T7 이전</w:t>
      </w:r>
    </w:p>
    <w:p>
      <w:pPr>
        <w:pStyle w:val="ListBullet"/>
      </w:pPr>
      <w:r>
        <w:t>2022: T7 Release 10.0 -- 지연시간 개선; 자기체결방지 확대; EOBI 피드 기능 강화</w:t>
      </w:r>
    </w:p>
    <w:p>
      <w:pPr>
        <w:pStyle w:val="ListBullet"/>
      </w:pPr>
      <w:r>
        <w:t>2023: T7 Release 11.0 -- 추가 성능 최적화; 클라우드 준비 인프라 개선; 신규 종목 유형 지원</w:t>
      </w:r>
    </w:p>
    <w:p>
      <w:pPr>
        <w:pStyle w:val="ListBullet"/>
      </w:pPr>
      <w:r>
        <w:t>2024: T7 Release 12.0 -- 매매 전 리스크 관리 개선; 고급 리스크 보호(ARP) 확대; GUI 매매인 기능 강화</w:t>
      </w:r>
    </w:p>
    <w:p>
      <w:pPr>
        <w:pStyle w:val="ListBullet"/>
      </w:pPr>
      <w:r>
        <w:t>2025: T7 성능 점진적 업그레이드 지속; 클라우드 네이티브 인프라 및 하이브리드 배포 모델에 주력 [미검증 구체적 릴리스 번호]</w:t>
      </w:r>
    </w:p>
    <w:p>
      <w:pPr>
        <w:pStyle w:val="ListBullet"/>
      </w:pPr>
      <w:r>
        <w:t>D7 매매후 플랫폼: DLT (분산원장기술) 기반 디지털/토큰화 증권 결제를 위해 2024년 출시; 2024년 D7에서 최초 발행 결제 처리</w:t>
      </w:r>
    </w:p>
    <w:p>
      <w:pPr>
        <w:pStyle w:val="Heading3"/>
      </w:pPr>
      <w:r>
        <w:t>신규 상품 / 시장 구분 (New Products / Segments)</w:t>
      </w:r>
    </w:p>
    <w:p>
      <w:pPr>
        <w:pStyle w:val="ListBullet"/>
      </w:pPr>
      <w:r>
        <w:t>D7 디지털 매매후 플랫폼: 독일 eWpG (전자증권법)에 따른 DLT 기반 디지털증권 발행·결제 플랫폼; 최초 암호증권 및 디지털 채권 처리 [출처: Deutsche Borse 보도자료]</w:t>
      </w:r>
    </w:p>
    <w:p>
      <w:pPr>
        <w:pStyle w:val="ListBullet"/>
      </w:pPr>
      <w:r>
        <w:t>Crypto Finance AG: Deutsche Borse가 스위스 규제 암호자산 서비스 제공자의 과반수 지분 인수, 디지털자산 매매·수탁·결제 가능</w:t>
      </w:r>
    </w:p>
    <w:p>
      <w:pPr>
        <w:pStyle w:val="ListBullet"/>
      </w:pPr>
      <w:r>
        <w:t>ESG 데이터 및 분석: ISS ESG (2021년 인수) 데이터 범위 확대; ESG 등급 및 스크리닝 도구가 Qontigo 분석 제품군에 통합</w:t>
      </w:r>
    </w:p>
    <w:p>
      <w:pPr>
        <w:pStyle w:val="ListBullet"/>
      </w:pPr>
      <w:r>
        <w:t>DAX 40 확대: DAX 지수가 2021년 9월 구성종목 30개에서 40개로 확대, 지수 분산 개선</w:t>
      </w:r>
    </w:p>
    <w:p>
      <w:pPr>
        <w:pStyle w:val="ListBullet"/>
      </w:pPr>
      <w:r>
        <w:t>Xetra ETF 시장 구분: 지속 성장; Xetra는 1,800개 이상의 ETF/ETP가 상장된 유럽 최대 ETF 매매장소 [미검증 정확한 현재 수치]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MiFID II/MiFIR 개정: EU 공동입법자가 2024-2025년 MiFIR 개정안을 채택, EU 내 주식 통합시세정보 제공자(CTP) 신설 포함; Deutsche Borse가 잠재적 CTP 운영자 또는 기여자로 위치 [미검증]</w:t>
      </w:r>
    </w:p>
    <w:p>
      <w:pPr>
        <w:pStyle w:val="ListBullet"/>
      </w:pPr>
      <w:r>
        <w:t>DORA (Digital Operational Resilience Act): 2025년 1월 시행 EU 규정으로 금융기관(거래소 포함)에 ICT 리스크 관리, 복원력 테스트, 제3자 리스크 감독 강화 요구</w:t>
      </w:r>
    </w:p>
    <w:p>
      <w:pPr>
        <w:pStyle w:val="ListBullet"/>
      </w:pPr>
      <w:r>
        <w:t>EU 상장법 (EU Listing Act): 2024년 채택된 EU 상장 규칙 개혁으로 SME의 공개시장 접근 용이화; 투자설명서 요건 완화 및 투명성 규칙 조정</w:t>
      </w:r>
    </w:p>
    <w:p>
      <w:pPr>
        <w:pStyle w:val="ListBullet"/>
      </w:pPr>
      <w:r>
        <w:t>eWpG (전자증권법): 물리적 증서 없이 DLT 기반 증권 발행을 가능하게 하는 독일 법률; D7 플랫폼의 기반</w:t>
      </w:r>
    </w:p>
    <w:p>
      <w:pPr>
        <w:pStyle w:val="ListBullet"/>
      </w:pPr>
      <w:r>
        <w:t>결제주기 (T+1): T+2에서 T+1으로의 결제 이전에 관한 EU 업계 논의 진행 중; 목표 시기 2027-2028년 예상 [미검증]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"Horizon 2026" 전략: 데이터/분석, 펀드서비스, 디지털자산 확대 및 유기적 매매 성장을 통한 구조적 성장을 목표로 하는 Deutsche Borse의 중기 전략</w:t>
      </w:r>
    </w:p>
    <w:p>
      <w:pPr>
        <w:pStyle w:val="ListBullet"/>
      </w:pPr>
      <w:r>
        <w:t>SimCorp 인수: 2023년 완료된 EUR 39억 인수; 그룹 서비스에 투자운용 소프트웨어를 추가하여 바이사이드를 위한 프런트-투-백 솔루션 구축</w:t>
      </w:r>
    </w:p>
    <w:p>
      <w:pPr>
        <w:pStyle w:val="ListBullet"/>
      </w:pPr>
      <w:r>
        <w:t>ISS 인수: 2022년 완료; Institutional Shareholder Services가 지배구조 및 ESG 데이터 역량 추가</w:t>
      </w:r>
    </w:p>
    <w:p>
      <w:pPr>
        <w:pStyle w:val="ListBullet"/>
      </w:pPr>
      <w:r>
        <w:t>클라우드 전략: 비지연민감성 인프라의 클라우드로의 점진적 이전; 주요 클라우드 제공자와 파트너십 [미검증 구체적 파트너]</w:t>
      </w:r>
    </w:p>
    <w:p>
      <w:pPr>
        <w:pStyle w:val="ListBullet"/>
      </w:pPr>
      <w:r>
        <w:t>디지털자산 생태계: 규제된 엔드-투-엔드 디지털자산 인프라 구축: 매매(Crypto Finance), 발행·결제(D7), 수탁; 토큰화 증권 시장 대비 포지셔닝</w:t>
      </w:r>
    </w:p>
    <w:p>
      <w:pPr>
        <w:pStyle w:val="ListBullet"/>
      </w:pPr>
      <w:r>
        <w:t>지속가능성 / ESG: 지수(STOXX ESG 지수), 데이터(ISS ESG), 매매(EEX 탄소 관련 상품) 전반에 걸쳐 ESG 상품 서비스 확대</w:t>
      </w:r>
    </w:p>
    <w:p>
      <w:pPr>
        <w:pStyle w:val="ListBullet"/>
      </w:pPr>
      <w:r>
        <w:t>통합시세정보: Deutsche Borse가 EU 통합시세정보 논의에 적극 참여; EU 주식 CTP의 잠재적 운영자 또는 데이터 기여자</w:t>
      </w:r>
    </w:p>
    <w:p>
      <w:pPr>
        <w:pStyle w:val="ListBullet"/>
      </w:pPr>
      <w:r>
        <w:t>매출 성장: 그룹 순매출이 약 EUR 35억 (2021년)에서 약 EUR 56억 (2024년)으로 성장, 인수(SimCorp, ISS) 및 유기적 성장에 기인; 중·고 한 자릿수 성장 지속 목표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Deutsche Borse AG Official Website, "deutsche-boerse.com -- About Us / Company History", accessed 2026-04-06]</w:t>
      </w:r>
    </w:p>
    <w:p>
      <w:r>
        <w:t>[Source: Xetra Official Website, "xetra.com -- Trading / Market Model / Rules and Regulations", accessed 2026-04-06]</w:t>
      </w:r>
    </w:p>
    <w:p>
      <w:r>
        <w:t>[Source: Deutsche Borse AG, "Annual Report 2024", accessed 2026-04-06]</w:t>
      </w:r>
    </w:p>
    <w:p>
      <w:r>
        <w:t>[Source: Deutsche Borse AG, "Xetra Market Model Equities", Version dated 2024, accessed 2026-04-06]</w:t>
      </w:r>
    </w:p>
    <w:p>
      <w:r>
        <w:t>[Source: Deutsche Borse AG, "T7 Functional and Interface Overview", accessed 2026-04-06]</w:t>
      </w:r>
    </w:p>
    <w:p>
      <w:r>
        <w:t>[Source: Deutsche Borse AG, "T7 ETI -- Enhanced Trading Interface Manual", accessed 2026-04-06]</w:t>
      </w:r>
    </w:p>
    <w:p>
      <w:r>
        <w:t>[Source: Deutsche Borse AG, "T7 EMDI / MDI / EOBI -- Market Data Interfaces Manual", accessed 2026-04-06]</w:t>
      </w:r>
    </w:p>
    <w:p>
      <w:r>
        <w:t>[Source: Deutsche Borse AG, "Xetra Price List", effective 2025, accessed 2026-04-06]</w:t>
      </w:r>
    </w:p>
    <w:p>
      <w:r>
        <w:t>[Source: Deutsche Borse AG, "Xetra Designated Sponsor Guide", accessed 2026-04-06]</w:t>
      </w:r>
    </w:p>
    <w:p>
      <w:r>
        <w:t>[Source: Deutsche Borse AG, "D7 Digital Post-Trade Platform Press Release", 2024, accessed 2026-04-06]</w:t>
      </w:r>
    </w:p>
    <w:p>
      <w:r>
        <w:t>[Source: ESMA, "MiFID II RTS 11 -- Tick Sizes", accessed 2026-04-06]</w:t>
      </w:r>
    </w:p>
    <w:p>
      <w:r>
        <w:t>[Source: BaFin, "Supervision of Stock Exchanges and Markets", accessed 2026-04-06]</w:t>
      </w:r>
    </w:p>
    <w:p>
      <w:r>
        <w:t>[Source: Deutsche Borse AG, "Investor Presentation / Capital Markets Day 2024", accessed 2026-04-06]</w:t>
      </w:r>
    </w:p>
    <w:p>
      <w:r>
        <w:t>[Source: Deutsche Borse AG, "SimCorp Acquisition Completion Press Release", October 2023, accessed 2026-04-06]</w:t>
      </w:r>
    </w:p>
    <w:p>
      <w:r>
        <w:t>[Source: Deutsche Borse AG, "Crypto Finance AG Acquisition Press Release", 2023, accessed 2026-04-06]</w:t>
      </w:r>
    </w:p>
    <w:p>
      <w:r>
        <w:t>[Source: European Commission, "MiFIR Review -- Consolidated Tape", 2024-2025, accessed 2026-04-06]</w:t>
      </w:r>
    </w:p>
    <w:p>
      <w:r>
        <w:t>[Source: German Federal Ministry of Finance, "eWpG -- Electronic Securities Act", 2021,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