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Euronext N.V. (Euronext)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 (European New Exchange Technology)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https://www.euronext.com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2000년 (Amsterdam, Brussels, Paris 거래소 합병으로 2000년 9월 22일 설립)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네덜란드 등록 (Amsterdam); 운영 본부 프랑스 Paris. Amsterdam, Brussels, Dublin, Lisbon, Milan, Oslo, Paris에서 거래소 운영; 2025년 Athens 추가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Paris에 상장 (티커: ENX); 주요 참조주주로 Caisse des Depots et Consignations (CDC), Euroclear 및 기타 기관투자자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 (독립, 자기상장)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다국적: AMF (프랑스), AFM (네덜란드), FSMA (벨기에), CMVM (포르투갈), CBI (아일랜드), Finanstilsynet (노르웨이), CONSOB (이탈리아), HCMC (그리스) -- Euronext 규제기관 협의체(College of Euronext Regulators)를 통해 조율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 기준)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Euronext 시장 합산 약 EUR 6.8조 (2025년 말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시장 주식 약 1,900개 이상 발행사; ETF, 채권, 워런트, 구조화상품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현물주식 일평균 약 EUR 110억~138억 (2025년 분기별 범위; 2024년 연간 평균 약 EUR 105억)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EUR 120억 ADV (2025년 4분기), 전년 동기 대비 +14.0%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1602: Amsterdam Stock Exchange (Amsterdamse Beurs) 설립 -- 세계 최초의 공식 증권거래소로 널리 인정됨</w:t>
      </w:r>
    </w:p>
    <w:p>
      <w:pPr>
        <w:pStyle w:val="ListBullet"/>
      </w:pPr>
      <w:r>
        <w:t>1724: Paris Bourse 왕실 칙령에 의해 공식 조직</w:t>
      </w:r>
    </w:p>
    <w:p>
      <w:pPr>
        <w:pStyle w:val="ListBullet"/>
      </w:pPr>
      <w:r>
        <w:t>1801: Brussels Stock Exchange 설립</w:t>
      </w:r>
    </w:p>
    <w:p>
      <w:pPr>
        <w:pStyle w:val="ListBullet"/>
      </w:pPr>
      <w:r>
        <w:t>1891: Lisbon Stock Exchange (Bolsa de Valores de Lisboa) 설립</w:t>
      </w:r>
    </w:p>
    <w:p>
      <w:pPr>
        <w:pStyle w:val="ListBullet"/>
      </w:pPr>
      <w:r>
        <w:t>2000: Amsterdam Exchanges, Brussels Exchanges, Paris Bourse SBF 합병으로 Euronext N.V. 설립</w:t>
      </w:r>
    </w:p>
    <w:p>
      <w:pPr>
        <w:pStyle w:val="ListBullet"/>
      </w:pPr>
      <w:r>
        <w:t>2002: Euronext가 LIFFE (London International Financial Futures and Options Exchange) 인수 및 Bolsa de Valores de Lisboa e Porto (BVLP)와 합병하여 Lisbon 추가</w:t>
      </w:r>
    </w:p>
    <w:p>
      <w:pPr>
        <w:pStyle w:val="ListBullet"/>
      </w:pPr>
      <w:r>
        <w:t>2007: Euronext와 NYSE Group 합병으로 NYSE Euronext 설립, 최초의 대서양 횡단 거래소 그룹 탄생</w:t>
      </w:r>
    </w:p>
    <w:p>
      <w:pPr>
        <w:pStyle w:val="ListBullet"/>
      </w:pPr>
      <w:r>
        <w:t>2013: IntercontinentalExchange (ICE)가 NYSE Euronext를 약 USD 110억에 인수</w:t>
      </w:r>
    </w:p>
    <w:p>
      <w:pPr>
        <w:pStyle w:val="ListBullet"/>
      </w:pPr>
      <w:r>
        <w:t>2014: Euronext 재상장(re-IPO) -- 독립 기업으로 Euronext Amsterdam 및 Paris에 상장 (2014년 6월); ICE는 NYSE 보유</w:t>
      </w:r>
    </w:p>
    <w:p>
      <w:pPr>
        <w:pStyle w:val="ListBullet"/>
      </w:pPr>
      <w:r>
        <w:t>2018: Euronext가 Irish Stock Exchange 인수 (Euronext Dublin으로 명칭 변경); Optiq 매매체결시스템(거래 플랫폼)이 현물시장에서 가동 개시</w:t>
      </w:r>
    </w:p>
    <w:p>
      <w:pPr>
        <w:pStyle w:val="ListBullet"/>
      </w:pPr>
      <w:r>
        <w:t>2019: Euronext가 Oslo Bors VPS (Oslo Stock Exchange 및 중앙예탁결제기관) 인수 완료</w:t>
      </w:r>
    </w:p>
    <w:p>
      <w:pPr>
        <w:pStyle w:val="ListBullet"/>
      </w:pPr>
      <w:r>
        <w:t>2020: Nord Pool (유럽 전력거래소) 및 VP Securities (덴마크 CSD) 인수</w:t>
      </w:r>
    </w:p>
    <w:p>
      <w:pPr>
        <w:pStyle w:val="ListBullet"/>
      </w:pPr>
      <w:r>
        <w:t>2021: Euronext가 LSEG로부터 Borsa Italiana Group (MTS 및 CC&amp;G 포함, 현 Euronext Clearing) 인수 완료 -- EUR 44.44억에 달하는 변혁적 거래로 이탈리아가 최대 수익 기여국이 됨</w:t>
      </w:r>
    </w:p>
    <w:p>
      <w:pPr>
        <w:pStyle w:val="ListBullet"/>
      </w:pPr>
      <w:r>
        <w:t>2022: 핵심 데이터센터를 Basildon (영국)에서 Bergamo, 이탈리아 (Aruba IT3)로 이전; 2022년 6월 6일 완료</w:t>
      </w:r>
    </w:p>
    <w:p>
      <w:pPr>
        <w:pStyle w:val="ListBullet"/>
      </w:pPr>
      <w:r>
        <w:t>2023: Borsa Italiana 현물시장 Optiq 플랫폼 이전 (Phase 1 및 Phase 2)</w:t>
      </w:r>
    </w:p>
    <w:p>
      <w:pPr>
        <w:pStyle w:val="ListBullet"/>
      </w:pPr>
      <w:r>
        <w:t>2024: Borsa Italiana 파생상품 Optiq 이전 (Phase 3, 최종); Euronext Clearing이 모든 Euronext 금융파생상품 시장으로 확대, LCH SA와의 분리 완료</w:t>
      </w:r>
    </w:p>
    <w:p>
      <w:pPr>
        <w:pStyle w:val="ListBullet"/>
      </w:pPr>
      <w:r>
        <w:t>2025: ATHEX Group (Athens Stock Exchange, 연말 기준 약 75.6% 지분) 인수; Admincontrol (북유럽 SaaS) 인수; 유럽 국채 Mini Bond Futures 출시; Nasdaq Nordic 전력선물 인수 발표; 연간 조정 EBITDA EUR 11.431억 (+13.6%)</w:t>
      </w:r>
    </w:p>
    <w:p>
      <w:pPr>
        <w:pStyle w:val="ListBullet"/>
      </w:pPr>
      <w:r>
        <w:t>2026: 전력선물 출시 (2026년 3월); 유럽 CSD 표준화 및 Repo 시장 확대 진행 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정규시장 -- Compartment 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대형주 (시가총액 EUR 10억 초과); EU 정규시장 요건을 완전히 적용받는 주력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3년 감사 재무이력, 최소 25% 유동비율(free float), EU 투자설명서 규정 준수 투자설명서, 스폰서/상장대리인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정규시장 -- Compartment B**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중형주 (시가총액 EUR 1.5억~10억)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Compartment A와 동일; 시가총액 기준 자동 분류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정규시장 -- Compartment C**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소형주 (시가총액 EUR 1.5억 미만)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Compartment A와 동일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Growth**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MiFID II에 따른 SME 성장시장(MTF)으로 간소화된 상장을 원하는 중소기업 대상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시가총액 없음, 2년 재무제표 (일부 관할권에서 1년), 유동비율 협의 가능, Listing Sponsor 필요, 경량화된 공시 의무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Access**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스타트업 및 SME를 위한 진입단계 MTF; EU 지침상 정규시장이 아님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간소화된 입회 기준, 최소 재무이력 없음, Listing Sponsor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Access+**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Access 내 특별 구분으로 고성장 SME 대상; Euronext Growth로의 도약대 역할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 Access 대비 추가 지배구조 및 보고 의무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**Professional Segment**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적격/기관투자자 전용 정규시장 구분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특정 자격 기준; 전문 채무증권 및 구조화상품에 활용</w:t>
            </w:r>
          </w:p>
        </w:tc>
      </w:tr>
    </w:tbl>
    <w:p/>
    <w:p>
      <w:pPr>
        <w:pStyle w:val="Heading3"/>
      </w:pPr>
      <w:r>
        <w:t>2.2 매매 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(CET/CEST)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(겨울)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프리오프닝 (주문 접수)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07:15 - 09:00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06:15 - 08:00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입력, 정정, 취소 가능; 예시호가 산출되나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(개장 경매) (호가 수집 + 체결)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(+랜덤 종료)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(+랜덤 종료)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누적 주문이 단일 균형가격으로 체결; 조작 방지를 위해 최대 30초의 랜덤 종료 구간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~09:00 - 17:30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우선원칙(가격·시간 우선)에 따른 주문주도형 연속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프리클로징 (주문 접수)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17:30 - 17:35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16:30 - 16:35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종가단일가매매(장마감 경매)를 위한 주문 축적;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경매) (체결)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17:35 (+랜덤 종료)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16:35 (+랜덤 종료)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공식 종가 결정; 랜덤 종료 구간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종가매매 (Trading at Last, TAL)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~17:35 - 17:40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~16:35 - 16:40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확정된 종가에서만 주문 체결; 추가 장마감 유동성 제공</w:t>
            </w:r>
          </w:p>
        </w:tc>
      </w:tr>
    </w:tbl>
    <w:p/>
    <w:p>
      <w:r>
        <w:t>참고: 위 시간은 Amsterdam, Brussels, Paris, Lisbon의 통합 시간표 기준이다. Oslo는 CET 기준 09:00-16:20에 접속매매를 운영하며 종가단일가매매는 16:20-16:25이다. Milan (Borsa Italiana)은 CET 09:00-17:30에 별도 경매 시간을 운영한다. Dublin은 통합 시간표를 따른다. CET = UTC+1 (겨울), CEST = UTC+2 (여름).</w:t>
      </w:r>
    </w:p>
    <w:p>
      <w:pPr>
        <w:pStyle w:val="Heading3"/>
      </w:pPr>
      <w:r>
        <w:t>2.3 호가단위 (Tick Sizes)</w:t>
      </w:r>
    </w:p>
    <w:p>
      <w:r>
        <w:t>Euronext는 MiFID II 호가단위 체계(최소가격변동폭 체계)(RTS 11, 위임규정 EU 2017/588)를 따른다. 호가단위(최소가격변동폭)는 가격 수준과 해당 종목의 일평균 거래건수(ADNT) 유동성 구간에 따라 결정된다.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가격 범위 (EUR)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구간 1 (ADNT &lt; 10)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구간 3 (ADNT 80-600)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구간 6 (ADNT &gt;= 9000)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0 - 0.4999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2 - 4.9999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10 - 19.9999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20 - 49.9999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50 - 99.9999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</w:tr>
    </w:tbl>
    <w:p/>
    <w:p>
      <w:r>
        <w:t>[출처: Euronext가 적용하는 ESMA RTS 11; 대표값 표시 -- 전체 표는 6개 유동성 구간과 13개 가격 범위로 구성]</w:t>
      </w:r>
    </w:p>
    <w:p>
      <w:r>
        <w:t>KRX 비교: KRX는 자체 호가단위 체계를 사용하며, 가격 구간별로 고정된 호가단위를 적용한다. Euronext의 MiFID II 기반 체계는 유동성 구간까지 고려하는 점에서 보다 세분화되어 있다.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대부분 주식에 대해 1주</w:t>
      </w:r>
    </w:p>
    <w:p>
      <w:pPr>
        <w:pStyle w:val="ListBullet"/>
      </w:pPr>
      <w:r>
        <w:t>호가창 매매를 위한 최소 매매단위 없음</w:t>
      </w:r>
    </w:p>
    <w:p>
      <w:pPr>
        <w:pStyle w:val="ListBullet"/>
      </w:pPr>
      <w:r>
        <w:t>대량매매 기준은 MiFID II 대량주문(Large-in-Scale, LIS) 면제에 의해 종목 유동성에 따라 정의</w:t>
      </w:r>
    </w:p>
    <w:p>
      <w:pPr>
        <w:pStyle w:val="ListBullet"/>
      </w:pPr>
      <w:r>
        <w:t>단주(odd lot) 거래는 중앙호가창에서 지원</w:t>
      </w:r>
    </w:p>
    <w:p>
      <w:pPr>
        <w:pStyle w:val="Heading3"/>
      </w:pPr>
      <w:r>
        <w:t>2.5 시장조성자 (Market Maker) / 유동성공급자 프로그램</w:t>
      </w:r>
    </w:p>
    <w:p>
      <w:pPr>
        <w:pStyle w:val="ListBullet"/>
      </w:pPr>
      <w:r>
        <w:t>유동성공급자(LP) 프로그램: Euronext가 특정 종목(특히 중소형주, ETF)에 대해 유동성공급자(마켓메이커)를 지정하며, 이들은 최대 스프레드 및 최소 호가 규모 의무를 준수하면서 양방향 호가를 지속 제시해야 한다; 그 대가로 매매 수수료를 감면받음</w:t>
      </w:r>
    </w:p>
    <w:p>
      <w:pPr>
        <w:pStyle w:val="ListBullet"/>
      </w:pPr>
      <w:r>
        <w:t>시장조성자 프로그램: ETF, 구조화상품, 워런트, 파생상품 대상 전용 프로그램으로, 호가제시 성과에 따른 단계별 수수료 리베이트 제공</w:t>
      </w:r>
    </w:p>
    <w:p>
      <w:pPr>
        <w:pStyle w:val="ListBullet"/>
      </w:pPr>
      <w:r>
        <w:t>보충유동성공급자(SLP): 우량주 및 지수구성종목을 대상으로 좁은 스프레드와 깊은 유동성을 확보하기 위한 추가 제도</w:t>
      </w:r>
    </w:p>
    <w:p>
      <w:pPr>
        <w:pStyle w:val="ListBullet"/>
      </w:pPr>
      <w:r>
        <w:t>Euronext Block: 기관투자자의 대량 블록주문을 위한 중간가격(midpoint) 체결 시설로, 정보 유출 없이 중간가격에서 거래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체결 방식 (Trading Mechanism)</w:t>
      </w:r>
    </w:p>
    <w:p>
      <w:pPr>
        <w:pStyle w:val="Heading3"/>
      </w:pPr>
      <w:r>
        <w:t>3.1 단일가매매 (경매) 방식 (Auction Mechanisms)</w:t>
      </w:r>
    </w:p>
    <w:p>
      <w:pPr>
        <w:pStyle w:val="ListBullet"/>
      </w:pPr>
      <w:r>
        <w:t>시가단일가매매 (개장 경매): CET 07:15부터 프리오프닝 단계에서 주문을 축적한다. 09:00에 체결 알고리즘이 실행 가능 거래량을 최대화하는 시초가를 결정한다. 최종 순간 조작을 방지하기 위해 최대 30초의 랜덤 종료 구간이 적용된다. 미체결 주문은 접속매매(연속매매)로 이월됨</w:t>
      </w:r>
    </w:p>
    <w:p>
      <w:pPr>
        <w:pStyle w:val="ListBullet"/>
      </w:pPr>
      <w:r>
        <w:t>종가단일가매매 (장마감 경매): 17:30에 접속매매가 중단되고 프리클로징 주문 축적 단계가 시작된다 (통상 5분). 종가단일가매매 체결은 지수 산출사 및 펀드 NAV 계산에 사용되는 공식 종가를 결정한다. 랜덤 종료 구간 적용</w:t>
      </w:r>
    </w:p>
    <w:p>
      <w:pPr>
        <w:pStyle w:val="ListBullet"/>
      </w:pPr>
      <w:r>
        <w:t>장중 변동성완화장치 (VI) 발동 시 단일가매매 (변동성 경매): 잠재 체결가가 동적 또는 정적 가격제한(collar)을 위반할 경우 자동 발동된다. 해당 종목은 "거래보류(reservation)" 상태에 진입하며 (통상 5분) 주문이 축적된 후, 새로운 균형가격에서 체결하여 거래를 재개한다</w:t>
      </w:r>
    </w:p>
    <w:p>
      <w:pPr>
        <w:pStyle w:val="ListBullet"/>
      </w:pPr>
      <w:r>
        <w:t>경매 가격 발견 알고리즘: 실행 가능 거래량 최대화; 동일 거래량이 여러 가격에서 산출될 경우 잔여(미체결) 물량 최소화; 여전히 동률인 경우 최종 참조가격에 가장 가까운 가격 선택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가격-시간 우선원칙(가격·시간 우선)에 의한 주문주도형 시장 (제1 우선: 최우선 가격; 제2 우선: 동일 가격에서 가장 빠른 시간)</w:t>
      </w:r>
    </w:p>
    <w:p>
      <w:pPr>
        <w:pStyle w:val="ListBullet"/>
      </w:pPr>
      <w:r>
        <w:t>유동성 높은 주식에 대한 순수 중앙지정가호가창(CLOB) 모델</w:t>
      </w:r>
    </w:p>
    <w:p>
      <w:pPr>
        <w:pStyle w:val="ListBullet"/>
      </w:pPr>
      <w:r>
        <w:t>시장조성자(마켓메이커)가 보충 유동성을 제공하나 의무적 딜러로 기능하지는 않음</w:t>
      </w:r>
    </w:p>
    <w:p>
      <w:pPr>
        <w:pStyle w:val="ListBullet"/>
      </w:pPr>
      <w:r>
        <w:t>Euronext Block: 기관투자자의 블록 규모 주문을 위한 비공개(dark) 중간가격 체결 서비스로 MTF로 운영</w:t>
      </w:r>
    </w:p>
    <w:p>
      <w:pPr>
        <w:pStyle w:val="ListBullet"/>
      </w:pPr>
      <w:r>
        <w:t>모든 Euronext 현물시장이 Optiq 플랫폼을 통해 단일 통합 매매체결엔진(매칭엔진)을 공유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시가단일가매매, 종가단일가매매 및 접속매매 중 호가창 상호작용을 통한 1차 가격 발견</w:t>
      </w:r>
    </w:p>
    <w:p>
      <w:pPr>
        <w:pStyle w:val="ListBullet"/>
      </w:pPr>
      <w:r>
        <w:t>체결 알고리즘은 단일 균형가격에서 거래량 최대화를 목적으로 설계</w:t>
      </w:r>
    </w:p>
    <w:p>
      <w:pPr>
        <w:pStyle w:val="ListBullet"/>
      </w:pPr>
      <w:r>
        <w:t>서킷브레이커(매매거래중단) 가격제한의 참조가격은 경매 가격에서 도출되며, 접속매매 중 동적으로 갱신 (최종 체결가가 새로운 동적 참조가격이 됨)</w:t>
      </w:r>
    </w:p>
    <w:p>
      <w:pPr>
        <w:pStyle w:val="ListBullet"/>
      </w:pPr>
      <w:r>
        <w:t>종가단일가매매를 통해 확정된 종가가 결제, 지수 산출, 파생상품 평가의 공식 참조가격</w:t>
      </w:r>
    </w:p>
    <w:p>
      <w:pPr>
        <w:pStyle w:val="ListBullet"/>
      </w:pPr>
      <w:r>
        <w:t>종가매매(TAL) 세션에서 추가 물량이 종가에 체결되어 장마감 유동성을 집중시킴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 (Limit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지정가 또는 그보다 유리한 가격으로 매수/매도하는 주문; 즉시 체결되지 않으면 호가창에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 (Market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전량 체결 시까지 실행; 미체결 잔량은 최종 체결가의 지정가주문으로 전환 (Euronext 고유 방식)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시장가-지정가전환주문 (Market-to-Limit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실행; 미체결 수량은 최초 체결가격의 지정가주문으로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역지정가주문 (Stop Loss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시장가격이 지정된 정지가격(stop price)에 도달하면 발동; 활성화 시 시장가주문이 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역지정가조건부주문 (Stop 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시장가격이 지정된 정지가격에 도달하면 발동; 활성화 시 지정된 가격의 지정가주문이 됨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빙산주문 (Iceberg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주문량의 일부(표시수량)만 공개; 표시 부분이 체결되면 숨겨진 잔량에서 자동으로 새 표시수량이 갱신; 갱신 시마다 새로운 시간 우선순위 부여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추적주문 (Pegged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참조가격(최우선 매수호가, 최우선 매도호가, 또는 중간가격)을 자동 추적; BBO 변동에 따라 실시간 조정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중간가격추적주문 (Pegged-to-Midpoint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매수·매도호가의 중간가격에 연동; Euronext Block에서 비공개 매매에 주로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중간가격주문 (Mid-Point Order, Euronext Block)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주시장 BBO의 중간가격에서 체결; 시장 충격을 줄이기 위해 설계된 대형 기관 블록매매용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추적역지정가주문 (Trailing Stop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정지가격이 유리한 시장 움직임에 따라 정해진 간격으로 조정; 불리한 움직임에 발동 [미검증]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당일 (DAY)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매매시간에만 유효; 장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취소시까지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취소 시까지 유효 (거래소가 설정한 최대 기간, 통상 365일 적용)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지정일까지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만기일까지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즉시체결잔량취소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만큼 즉시 체결; 미체결 잔량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전량체결아니면취소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전량 체결되어야 하며, 그렇지 않으면 전체 주문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종가단일가매매 전용 (Valid for Closing Auction)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종가단일가매매에서만 참여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시가단일가매매 전용 (Valid for Opening Auction)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시가단일가매매에서만 참여 [미검증]</w:t>
            </w:r>
          </w:p>
        </w:tc>
      </w:tr>
    </w:tbl>
    <w:p/>
    <w:p>
      <w:pPr>
        <w:pStyle w:val="Heading3"/>
      </w:pPr>
      <w:r>
        <w:t>4.4 주문 정정 / 취소 (Order Modification / Cancellation)</w:t>
      </w:r>
    </w:p>
    <w:p>
      <w:pPr>
        <w:pStyle w:val="ListBullet"/>
      </w:pPr>
      <w:r>
        <w:t>FIX 5.0 또는 네이티브 SBE 프로토콜을 사용하여 OEG (Order Entry Gateway)를 통해 모든 단계에서 주문 정정(가격, 수량) 또는 취소 가능</w:t>
      </w:r>
    </w:p>
    <w:p>
      <w:pPr>
        <w:pStyle w:val="ListBullet"/>
      </w:pPr>
      <w:r>
        <w:t>가격을 개선(보다 적극적인 가격)하는 정정은 새로운 시간 우선순위 부여 (기존 시간 우선순위 상실)</w:t>
      </w:r>
    </w:p>
    <w:p>
      <w:pPr>
        <w:pStyle w:val="ListBullet"/>
      </w:pPr>
      <w:r>
        <w:t>수량 감소는 시간 우선순위 유지; 수량 증가는 주문 유형에 따라 유지 여부가 다름</w:t>
      </w:r>
    </w:p>
    <w:p>
      <w:pPr>
        <w:pStyle w:val="ListBullet"/>
      </w:pPr>
      <w:r>
        <w:t>경매 호가 수집 기간에는 주문 입력, 정정, 취소가 가능하나 체결은 발생하지 않음</w:t>
      </w:r>
    </w:p>
    <w:p>
      <w:pPr>
        <w:pStyle w:val="ListBullet"/>
      </w:pPr>
      <w:r>
        <w:t>리스크 관리를 위한 대량 취소(mass cancellation) 기능 제공; Kill Switch를 통해 회원사의 모든 미체결 주문을 일괄 취소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 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**Optiq**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자체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모듈형, 저지연 아키텍처; 이벤트 기반의 최신세대 구성요소; 모든 Euronext 시장(현물 및 파생상품)을 아우르는 단일 통합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가격-시간 우선원칙에 의한 중앙 매매체결엔진; 다시장·다자산 처리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평균 약 15마이크로초 (주문 왕복 및 시세정보)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최대 100만 메시지 수신 처리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고도로 확장 가능한 처리량 설계; 이전 시스템 대비 10배 용량 증가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2016-2018 (MDG 2017년 7월; 현물시장 2018년 7월 가동; 파생상품 2019년)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각국 자체 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 거래소가 고유 플랫폼 운영 (예: Paris NSC, Amsterdam AEB)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2000-2007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NSC (Nouveau Systeme de Cotation)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Paris, Amsterdam, Brussels 간 통합 플랫폼; SBF/Paris Bourse가 최초 개발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2007-2014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UTP (Universal Trading Platform)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Euronext 시대; NSC의 발전형으로 용량 강화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2016-2018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(단계적 전환)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MDG 2017년 7월 가동; 채권 2018년 4월; 현물시장 전면 가동 2018년 7월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파생상품 주문 접수 및 체결이 Optiq로 이전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2020-2021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Oslo Bors용 Optiq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Oslo Bors 시장 Optiq 이전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2022-2024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Borsa Italiana용 Optiq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3단계 이전: 현물 Phase 1 (2023), 현물 Phase 2 (2023), 파생상품 Phase 3 (2024년 4월)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프로그래밍 언어: 독자적 저지연 C/C++ 스택 [미검증]</w:t>
      </w:r>
    </w:p>
    <w:p>
      <w:pPr>
        <w:pStyle w:val="ListBullet"/>
      </w:pPr>
      <w:r>
        <w:t>영속성 계층: Confluent Platform과 Apache Kafka를 활용한 스트리밍/영속성 계층; 메시지 무손실로 밀리초 단위 지연시간을 지원하는 안정적·확장 가능 스트리밍 인프라</w:t>
      </w:r>
    </w:p>
    <w:p>
      <w:pPr>
        <w:pStyle w:val="ListBullet"/>
      </w:pPr>
      <w:r>
        <w:t>네트워크 프로토콜: Order Entry Gateway (OEG)용 TCP/IP; Market Data Gateway (MDG)용 UDP/IP 멀티캐스트</w:t>
      </w:r>
    </w:p>
    <w:p>
      <w:pPr>
        <w:pStyle w:val="ListBullet"/>
      </w:pPr>
      <w:r>
        <w:t>인코딩: 네이티브 저지연 접속을 위한 SBE (Simple Binary Encoding, 바이너리 인코딩 FIX 표준); 표준 주문 접수를 위한 FIX 5.0</w:t>
      </w:r>
    </w:p>
    <w:p>
      <w:pPr>
        <w:pStyle w:val="ListBullet"/>
      </w:pPr>
      <w:r>
        <w:t>시세정보: Optiq MDG는 UDP 멀티캐스트를 통한 SBE 사용; 저대역폭 연결을 위한 LZ4 압축 지원</w:t>
      </w:r>
    </w:p>
    <w:p>
      <w:pPr>
        <w:pStyle w:val="ListBullet"/>
      </w:pPr>
      <w:r>
        <w:t>하드웨어: 이탈리아 Bergamo의 Aruba IT3 데이터센터에서 호스팅되는 범용 서버 인프라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주 데이터센터: Aruba Global Cloud Data Centre IT3, Bergamo, 이탈리아 (2022년 6월부터 운영)</w:t>
      </w:r>
    </w:p>
    <w:p>
      <w:pPr>
        <w:pStyle w:val="ListBullet"/>
      </w:pPr>
      <w:r>
        <w:t>실시간 복제를 갖춘 완전 이중화 아키텍처</w:t>
      </w:r>
    </w:p>
    <w:p>
      <w:pPr>
        <w:pStyle w:val="ListBullet"/>
      </w:pPr>
      <w:r>
        <w:t>클라이언트 측 중재를 위한 이중 시세정보 피드</w:t>
      </w:r>
    </w:p>
    <w:p>
      <w:pPr>
        <w:pStyle w:val="ListBullet"/>
      </w:pPr>
      <w:r>
        <w:t>모든 관할권에 걸친 다국적 규제 요건에 부합하는 업무연속성 계획</w:t>
      </w:r>
    </w:p>
    <w:p>
      <w:pPr>
        <w:pStyle w:val="ListBullet"/>
      </w:pPr>
      <w:r>
        <w:t>현지 감독기관(AMF, CONSOB, AFM 등)이 명령하는 정기적 재해복구 테스트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시세정보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 MDG (Market Data Gateway)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멀티캐스트를 통한 SBE 인코딩의 네이티브 바이너리 시세정보 피드; 전체 호가 깊이 및 체결 데이터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알고리즘 및 HFT 업체를 위한 초저지연 실시간 시세정보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 MDG Lite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MDG의 경량 버전으로 데이터 범위 축소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간소화된 실시간 데이터를 필요로 하는 업체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 MDG Cloud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클라우드 전달 시세정보 서비스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코로케이션(전산센터 공동입주)하지 않는 원격 참가자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프로토콜(금융정보교환 규약)을 통한 시세정보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표준화된 FIX 연결을 선호하는 업체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Reference Data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일별 종목 참조 데이터 (호가단위 테이블, 매매 달력, 종목 파라미터)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전 설정 및 정적 데이터 관리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 (최종가): 최종 체결가, 체결 수량, 타임스탬프; 화면 표시 및 모니터링에 적합</w:t>
      </w:r>
    </w:p>
    <w:p>
      <w:pPr>
        <w:pStyle w:val="ListBullet"/>
      </w:pPr>
      <w:r>
        <w:t>Level 2 (전체 호가 깊이): 매수·매도 양측 상위 10개 가격 수준(MBP -- Market by Price) 또는 상위 10개 개별 주문(MBO -- Market by Order)의 전체 호가창 깊이</w:t>
      </w:r>
    </w:p>
    <w:p>
      <w:pPr>
        <w:pStyle w:val="ListBullet"/>
      </w:pPr>
      <w:r>
        <w:t>Continental Cash Consolidated Pack: 전체 Euronext 현물시장의 Level 1 및 Level 2 데이터 번들 상품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Bergamo 데이터센터로부터 UDP 멀티캐스트(IPv4)를 통해 시세정보 배포</w:t>
      </w:r>
    </w:p>
    <w:p>
      <w:pPr>
        <w:pStyle w:val="ListBullet"/>
      </w:pPr>
      <w:r>
        <w:t>복원력을 위한 이중 리던던트 피드</w:t>
      </w:r>
    </w:p>
    <w:p>
      <w:pPr>
        <w:pStyle w:val="ListBullet"/>
      </w:pPr>
      <w:r>
        <w:t>MBO 및 MBP 스냅샷 서비스는 핵심 MDG와 동일한 배포 방식으로 멀티캐스트 UDP를 통해 제공</w:t>
      </w:r>
    </w:p>
    <w:p>
      <w:pPr>
        <w:pStyle w:val="ListBullet"/>
      </w:pPr>
      <w:r>
        <w:t>Optiq MDG는 종목별 호가 깊이 수준의 동적 식별 지원 (다중 깊이 호가창 지원)</w:t>
      </w:r>
    </w:p>
    <w:p>
      <w:pPr>
        <w:pStyle w:val="ListBullet"/>
      </w:pPr>
      <w:r>
        <w:t>저대역폭 연결(100 Mbps) 및 모든 스냅샷에 LZ4 압축 사용 가능</w:t>
      </w:r>
    </w:p>
    <w:p>
      <w:pPr>
        <w:pStyle w:val="ListBullet"/>
      </w:pPr>
      <w:r>
        <w:t>데이터 벤더(Refinitiv/LSEG, Bloomberg, ICE 등) 및 직접 연결을 통한 배포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Euronext는 Euronext Data Services 부문을 통해 과거 틱 데이터, 종가 데이터, 기업 행위 데이터를 제공한다</w:t>
      </w:r>
    </w:p>
    <w:p>
      <w:pPr>
        <w:pStyle w:val="ListBullet"/>
      </w:pPr>
      <w:r>
        <w:t>파일 다운로드 또는 API를 통해 이용 가능</w:t>
      </w:r>
    </w:p>
    <w:p>
      <w:pPr>
        <w:pStyle w:val="ListBullet"/>
      </w:pPr>
      <w:r>
        <w:t>MiFID II 준거 데이터 상품 (매매 전·후 투명성 데이터)</w:t>
      </w:r>
    </w:p>
    <w:p>
      <w:pPr>
        <w:pStyle w:val="ListBullet"/>
      </w:pPr>
      <w:r>
        <w:t>지연 데이터 (15분 지연)는 내부 사용 시 무료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이용 (Connectivity &amp; Access)</w:t>
      </w:r>
    </w:p>
    <w:p>
      <w:pPr>
        <w:pStyle w:val="Heading3"/>
      </w:pPr>
      <w:r>
        <w:t>7.1 회원 자격 / 참가 (Membership / Participation)</w:t>
      </w:r>
    </w:p>
    <w:p>
      <w:pPr>
        <w:pStyle w:val="ListBullet"/>
      </w:pPr>
      <w:r>
        <w:t>직접 매매 접속을 위해 회원 자격 필요; 회원은 EEA 관할권에서 인가된 투자회사 또는 신용기관이어야 함</w:t>
      </w:r>
    </w:p>
    <w:p>
      <w:pPr>
        <w:pStyle w:val="ListBullet"/>
      </w:pPr>
      <w:r>
        <w:t>다른 EEA 국가에서 규제를 받는 업체를 위한 원격 회원 자격 제공 (MiFID II에 따른 여권제도)</w:t>
      </w:r>
    </w:p>
    <w:p>
      <w:pPr>
        <w:pStyle w:val="ListBullet"/>
      </w:pPr>
      <w:r>
        <w:t>역외 업체는 기존 회원을 통한 후원접속(sponsored access)으로 이용 가능</w:t>
      </w:r>
    </w:p>
    <w:p>
      <w:pPr>
        <w:pStyle w:val="ListBullet"/>
      </w:pPr>
      <w:r>
        <w:t>현물시장과 파생상품시장에 대한 별도 회원 제도</w:t>
      </w:r>
    </w:p>
    <w:p>
      <w:pPr>
        <w:pStyle w:val="ListBullet"/>
      </w:pPr>
      <w:r>
        <w:t>회원은 Euronext Rule Book (통합 규칙, Book I) 및 현지 보충 규칙 (Book II)을 준수해야 함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OEG (Order Entry Gateway) -- SBE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SBE 인코딩을 사용하는 네이티브 바이너리 프로토콜; 최저 지연시간의 주문 제출 방식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OEG -- FIX 5.0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접수를 위한 산업 표준 FIX 5.0 프로토콜; SBE보다 약간 높은 지연시간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MDG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UDP 멀티캐스트를 통한 직접 시세정보 피드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후원접속 (Sponsored Access)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브로커/회원이 자사 인프라를 통해 비회원 고객에게 직접시장접속(DMA)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ISV (Independent Software Vendor) 접속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Euronext에 사전 인증된 제3자 매매 플랫폼 연결</w:t>
            </w:r>
          </w:p>
        </w:tc>
      </w:tr>
    </w:tbl>
    <w:p/>
    <w:p>
      <w:pPr>
        <w:pStyle w:val="Heading3"/>
      </w:pPr>
      <w:r>
        <w:t>7.3 코로케이션 (전산센터 공동입주) / 근접 서비스 (Co-location / Proximity Services)</w:t>
      </w:r>
    </w:p>
    <w:p>
      <w:pPr>
        <w:pStyle w:val="ListBullet"/>
      </w:pPr>
      <w:r>
        <w:t>위치: Aruba Global Cloud Data Centre IT3, Bergamo, 이탈리아 (2022년 6월부터 주 데이터센터)</w:t>
      </w:r>
    </w:p>
    <w:p>
      <w:pPr>
        <w:pStyle w:val="ListBullet"/>
      </w:pPr>
      <w:r>
        <w:t>서비스: 매매체결엔진과 동일 시설 내 풀랙 및 부분랙 코로케이션; 최저 지연시간 제공 (왕복 약 15마이크로초)</w:t>
      </w:r>
    </w:p>
    <w:p>
      <w:pPr>
        <w:pStyle w:val="ListBullet"/>
      </w:pPr>
      <w:r>
        <w:t>통신사: 복수의 인증된 데이터센터 통신사가 Bergamo 시설로의 직접 연결 제공</w:t>
      </w:r>
    </w:p>
    <w:p>
      <w:pPr>
        <w:pStyle w:val="ListBullet"/>
      </w:pPr>
      <w:r>
        <w:t>크로스커넥트: 데이터센터 내에서 매매 참가자, ISV, 시세정보 벤더에 대한 직접 크로스커넥트 옵션</w:t>
      </w:r>
    </w:p>
    <w:p>
      <w:pPr>
        <w:pStyle w:val="ListBullet"/>
      </w:pPr>
      <w:r>
        <w:t>근접 호스팅: 완전한 코로케이션이 필요하지 않으나 지연시간을 줄이고자 하는 업체를 위해 제공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5.0 (OEG)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 주문 접수, 정정, 취소; 체결 확인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SBE 네이티브 (OEG)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HFT 및 알고리즘 매매를 위한 저지연 바이너리 주문 접수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Drop Copy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규정 준수를 위한 실시간 체결 캡처 및 모니터링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MDG SBE (UDP)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실시간 시세정보 수신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REST API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참조 데이터, 기업 행위, 상장 정보 (Euronext Data Services) [미검증]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모든 회원 및 ISV는 운영 환경 접속 전에 적합성 테스트(conformance testing)를 완료해야 함</w:t>
      </w:r>
    </w:p>
    <w:p>
      <w:pPr>
        <w:pStyle w:val="ListBullet"/>
      </w:pPr>
      <w:r>
        <w:t>Euronext는 운영 환경의 Optiq를 복제한 전용 테스트 환경(External Customer Testing, ECT)을 제공</w:t>
      </w:r>
    </w:p>
    <w:p>
      <w:pPr>
        <w:pStyle w:val="ListBullet"/>
      </w:pPr>
      <w:r>
        <w:t>SBE 네이티브 및 FIX 프로토콜에 대한 별도 인증 필요</w:t>
      </w:r>
    </w:p>
    <w:p>
      <w:pPr>
        <w:pStyle w:val="ListBullet"/>
      </w:pPr>
      <w:r>
        <w:t>주요 플랫폼 업그레이드 또는 신규 시장 편입에 앞서 이전 테스트 기간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가격 제한 (Price Limits)</w:t>
      </w:r>
    </w:p>
    <w:p>
      <w:r>
        <w:t>Euronext는 동적 및 정적 가격제한을 결합한 다층적 안전장치 체계를 운용한다: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참조 가격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동적 가격제한 (Dynamic Collar)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최종 체결가 (매 체결 후 갱신)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종목 유동성/지수 편입에 따라 비율 상이 (예: +/-2%~+/-5% 일반적) [미검증]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잠재 체결이 가격제한을 위반할 경우 해당 종목이 거래보류(변동성완화장치 발동 시 단일가매매)에 진입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정적 가격제한 (Static Collar)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당일 시초가 또는 전일 최종 참조가격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주요 지수구성종목 +/-8%; 기타 종목 +/-10% (일반적)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잠재 체결이 일별 참조가격 기준 정적 가격제한을 위반할 경우 거래보류에 진입</w:t>
            </w:r>
          </w:p>
        </w:tc>
      </w:tr>
    </w:tbl>
    <w:p/>
    <w:p>
      <w:r>
        <w:t>KRX 비교: KRX는 주식에 대해 +/-30%의 일일 가격제한폭(상·하한가)을 적용하며, 이에 더해 변동성완화장치(VI)를 운용한다. Euronext는 일일 절대 가격제한이 없으며, 동적·정적 가격제한(collar)에 의존하는 점이 KRX와 다르다.</w:t>
      </w:r>
    </w:p>
    <w:p>
      <w:pPr>
        <w:pStyle w:val="Heading3"/>
      </w:pPr>
      <w:r>
        <w:t>8.2 서킷브레이커 (매매거래중단) (Circuit Breakers)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조건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중단 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동적 가격제한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 체결이 최종 체결가 기준 동적 가격 범위를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거래보류 기간 (약 5분) 후 랜덤 종료가 포함된 변동성완화장치 발동 시 단일가매매 체결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정적 가격제한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 체결이 일별 참조가격 기준 정적 가격 범위를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거래보류 기간 (약 5분) 후 변동성완화장치 발동 시 단일가매매 체결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연속 다회 발동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동일 종목에서 반복적 거래보류 발동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기간 연장 가능; 시장운영부서 수동 개입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 전체 거래중단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이례적 상황 (감독기관과 협의)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감독기관이 기간 결정; Euronext 시장운영부서가 규제기관 협의체와 조율</w:t>
            </w:r>
          </w:p>
        </w:tc>
      </w:tr>
    </w:tbl>
    <w:p/>
    <w:p>
      <w:pPr>
        <w:pStyle w:val="Heading3"/>
      </w:pPr>
      <w:r>
        <w:t>8.3 매매 전 리스크 관리 (Pre-trade Risk Controls)</w:t>
      </w:r>
    </w:p>
    <w:p>
      <w:pPr>
        <w:pStyle w:val="ListBullet"/>
      </w:pPr>
      <w:r>
        <w:t>비정상 주문 거부: 비정상적으로 큰 수량, 금액 또는 가격의 주문은 호가창 진입 전 자동 거부</w:t>
      </w:r>
    </w:p>
    <w:p>
      <w:pPr>
        <w:pStyle w:val="ListBullet"/>
      </w:pPr>
      <w:r>
        <w:t>최대 주문 크기 제한: 종목별 설정 가능하여 대량 오류주문(fat-finger) 방지</w:t>
      </w:r>
    </w:p>
    <w:p>
      <w:pPr>
        <w:pStyle w:val="ListBullet"/>
      </w:pPr>
      <w:r>
        <w:t>스로틀링: 시스템 과부하 방지를 위해 연결당 메시지 전송에 대한 속도 제한</w:t>
      </w:r>
    </w:p>
    <w:p>
      <w:pPr>
        <w:pStyle w:val="ListBullet"/>
      </w:pPr>
      <w:r>
        <w:t>가격제한 검증: 현행 가격제한 범위 밖의 가격으로 입력된 주문은 거부되거나 거래보류를 유발</w:t>
      </w:r>
    </w:p>
    <w:p>
      <w:pPr>
        <w:pStyle w:val="ListBullet"/>
      </w:pPr>
      <w:r>
        <w:t>회원 수준 관리: 회원은 MiFID II/RTS 6 요건(알고리즘 매매 관리)에 따라 자체 매매 전 리스크 관리를 시행해야 함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Euronext는 회원(또는 Euronext 시장운영부서)이 단일 조치로 특정 회원/연결의 모든 미체결 주문을 취소할 수 있는 Kill Switch 기능을 제공한다</w:t>
      </w:r>
    </w:p>
    <w:p>
      <w:pPr>
        <w:pStyle w:val="ListBullet"/>
      </w:pPr>
      <w:r>
        <w:t>MiFID II 제48조의 서킷브레이커 및 kill switch 메커니즘 요건 준수</w:t>
      </w:r>
    </w:p>
    <w:p>
      <w:pPr>
        <w:pStyle w:val="ListBullet"/>
      </w:pPr>
      <w:r>
        <w:t>회원은 OEG 대량 취소 메시지를 통해 자체 kill switch 구현도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pPr>
        <w:pStyle w:val="ListBullet"/>
      </w:pPr>
      <w:r>
        <w:t>Euronext 규제기관 협의체 (College of Euronext Regulators): 다국적 조율 기구로 다음 기관으로 구성:</w:t>
      </w:r>
    </w:p>
    <w:p>
      <w:pPr>
        <w:pStyle w:val="ListBullet"/>
      </w:pPr>
      <w:r>
        <w:t>AMF (Autorite des Marches Financiers) -- 프랑스 (수석 감독기관)</w:t>
      </w:r>
    </w:p>
    <w:p>
      <w:pPr>
        <w:pStyle w:val="ListBullet"/>
      </w:pPr>
      <w:r>
        <w:t>AFM (Autoriteit Financiele Markten) -- 네덜란드</w:t>
      </w:r>
    </w:p>
    <w:p>
      <w:pPr>
        <w:pStyle w:val="ListBullet"/>
      </w:pPr>
      <w:r>
        <w:t>FSMA (Financial Services and Markets Authority) -- 벨기에</w:t>
      </w:r>
    </w:p>
    <w:p>
      <w:pPr>
        <w:pStyle w:val="ListBullet"/>
      </w:pPr>
      <w:r>
        <w:t>CMVM (Comissao do Mercado de Valores Mobiliarios) -- 포르투갈</w:t>
      </w:r>
    </w:p>
    <w:p>
      <w:pPr>
        <w:pStyle w:val="ListBullet"/>
      </w:pPr>
      <w:r>
        <w:t>CBI (Central Bank of Ireland) -- 아일랜드</w:t>
      </w:r>
    </w:p>
    <w:p>
      <w:pPr>
        <w:pStyle w:val="ListBullet"/>
      </w:pPr>
      <w:r>
        <w:t>Finanstilsynet (Financial Supervisory Authority) -- 노르웨이</w:t>
      </w:r>
    </w:p>
    <w:p>
      <w:pPr>
        <w:pStyle w:val="ListBullet"/>
      </w:pPr>
      <w:r>
        <w:t>CONSOB (Commissione Nazionale per le Societa e la Borsa) -- 이탈리아</w:t>
      </w:r>
    </w:p>
    <w:p>
      <w:pPr>
        <w:pStyle w:val="ListBullet"/>
      </w:pPr>
      <w:r>
        <w:t>HCMC (Hellenic Capital Market Commission) -- 그리스 (2025년부터)</w:t>
      </w:r>
    </w:p>
    <w:p>
      <w:pPr>
        <w:pStyle w:val="ListBullet"/>
      </w:pPr>
      <w:r>
        <w:t>협의체는 모든 Euronext 관할권에 걸친 감독을 조율하는 양해각서(MoU)에 따라 운영된다</w:t>
      </w:r>
    </w:p>
    <w:p>
      <w:pPr>
        <w:pStyle w:val="Heading3"/>
      </w:pPr>
      <w:r>
        <w:t>9.2 주요 규제 (Key Regulations)</w:t>
      </w:r>
    </w:p>
    <w:p>
      <w:pPr>
        <w:pStyle w:val="ListBullet"/>
      </w:pPr>
      <w:r>
        <w:t>MiFID II / MiFIR (Markets in Financial Instruments Directive/Regulation): 정규시장 운영자 및 MTF로서의 Euronext를 규율하는 핵심 체계</w:t>
      </w:r>
    </w:p>
    <w:p>
      <w:pPr>
        <w:pStyle w:val="ListBullet"/>
      </w:pPr>
      <w:r>
        <w:t>시장남용규정 (MAR): 내부자거래, 시세조종, 공시를 규율하는 EU 규정 596/2014</w:t>
      </w:r>
    </w:p>
    <w:p>
      <w:pPr>
        <w:pStyle w:val="ListBullet"/>
      </w:pPr>
      <w:r>
        <w:t>EU 투자설명서 규정: Euronext 정규시장에 상장되는 증권의 투자설명서 요건 규율</w:t>
      </w:r>
    </w:p>
    <w:p>
      <w:pPr>
        <w:pStyle w:val="ListBullet"/>
      </w:pPr>
      <w:r>
        <w:t>CSDR (Central Securities Depositories Regulation): Euronext Securities (덴마크, 이탈리아, 노르웨이의 CSD) 규율</w:t>
      </w:r>
    </w:p>
    <w:p>
      <w:pPr>
        <w:pStyle w:val="ListBullet"/>
      </w:pPr>
      <w:r>
        <w:t>EMIR (European Market Infrastructure Regulation): Euronext Clearing (구 CC&amp;G) 규율</w:t>
      </w:r>
    </w:p>
    <w:p>
      <w:pPr>
        <w:pStyle w:val="ListBullet"/>
      </w:pPr>
      <w:r>
        <w:t>Euronext Rule Book: 통합 규칙 (Book I, 전 시장 적용) 및 현지 보충 규칙 (Book II, 시장별)</w:t>
      </w:r>
    </w:p>
    <w:p>
      <w:pPr>
        <w:pStyle w:val="ListBullet"/>
      </w:pPr>
      <w:r>
        <w:t>RTS 6 (알고리즘 매매): 알고리즘 매매 관리, 테스트, 기록 보존 요건</w:t>
      </w:r>
    </w:p>
    <w:p>
      <w:pPr>
        <w:pStyle w:val="ListBullet"/>
      </w:pPr>
      <w:r>
        <w:t>RTS 11 (호가단위 체계): 가격 및 유동성에 기반한 표준화된 호가단위</w:t>
      </w:r>
    </w:p>
    <w:p>
      <w:pPr>
        <w:pStyle w:val="Heading3"/>
      </w:pPr>
      <w:r>
        <w:t>9.3 시장 감시 (Market Surveillance)</w:t>
      </w:r>
    </w:p>
    <w:p>
      <w:pPr>
        <w:pStyle w:val="ListBullet"/>
      </w:pPr>
      <w:r>
        <w:t>Euronext는 모든 시장을 실시간 모니터링하는 중앙집중형 시장감시 부서를 운영한다</w:t>
      </w:r>
    </w:p>
    <w:p>
      <w:pPr>
        <w:pStyle w:val="ListBullet"/>
      </w:pPr>
      <w:r>
        <w:t>감시 범위는 잠재적 시장남용(내부자거래, 시세조종, 스푸핑, 레이어링)을 포괄</w:t>
      </w:r>
    </w:p>
    <w:p>
      <w:pPr>
        <w:pStyle w:val="ListBullet"/>
      </w:pPr>
      <w:r>
        <w:t>모든 Euronext 거래장소(정규시장, Growth, Access, Block)에 걸친 교차시장 감시</w:t>
      </w:r>
    </w:p>
    <w:p>
      <w:pPr>
        <w:pStyle w:val="ListBullet"/>
      </w:pPr>
      <w:r>
        <w:t>자동화된 경보 시스템이 이상 매매 패턴, 비정상 가격 변동, 호가창 이상을 감지</w:t>
      </w:r>
    </w:p>
    <w:p>
      <w:pPr>
        <w:pStyle w:val="ListBullet"/>
      </w:pPr>
      <w:r>
        <w:t>조사 결과는 관련 국가 감독기관(AMF, CONSOB 등)에 보고하여 집행 조치 시행</w:t>
      </w:r>
    </w:p>
    <w:p>
      <w:pPr>
        <w:pStyle w:val="ListBullet"/>
      </w:pPr>
      <w:r>
        <w:t>Euronext는 MiFID II에 따라 거래보고를 위한 ARM (Approved Reporting Mechanism) 및 APA (Approved Publication Arrangement)로도 운영</w:t>
      </w:r>
    </w:p>
    <w:p>
      <w:pPr>
        <w:pStyle w:val="Heading3"/>
      </w:pPr>
      <w:r>
        <w:t>9.4 보고 의무 (Reporting Requirements)</w:t>
      </w:r>
    </w:p>
    <w:p>
      <w:pPr>
        <w:pStyle w:val="ListBullet"/>
      </w:pPr>
      <w:r>
        <w:t>회원은 MiFIR 제26조에 따라 국가 감독기관에 거래를 보고해야 함</w:t>
      </w:r>
    </w:p>
    <w:p>
      <w:pPr>
        <w:pStyle w:val="ListBullet"/>
      </w:pPr>
      <w:r>
        <w:t>매매 후 투명성: 거래가 실시간 공개 (MiFID II 면제에 따른 대규모 거래는 지연 공개)</w:t>
      </w:r>
    </w:p>
    <w:p>
      <w:pPr>
        <w:pStyle w:val="ListBullet"/>
      </w:pPr>
      <w:r>
        <w:t>매매 전 투명성: 공개시장(lit market)에 대해 전체 호가창 공개; 비공개 매매를 위한 면제 가능 (참조가격 면제, 협상 거래 면제, LIS 면제)</w:t>
      </w:r>
    </w:p>
    <w:p>
      <w:pPr>
        <w:pStyle w:val="ListBullet"/>
      </w:pPr>
      <w:r>
        <w:t>상장기업은 지속적 공시 의무 (규제 정보, MAR에 따른 내부정보) 대상</w:t>
      </w:r>
    </w:p>
    <w:p>
      <w:pPr>
        <w:pStyle w:val="Heading3"/>
      </w:pPr>
      <w:r>
        <w:t>9.5 국경 간 협정 (Cross-border Arrangements)</w:t>
      </w:r>
    </w:p>
    <w:p>
      <w:pPr>
        <w:pStyle w:val="ListBullet"/>
      </w:pPr>
      <w:r>
        <w:t>단일 규정집(통합 규칙)이 모든 Euronext 시장에 걸친 통합 규제 프레임워크를 구성</w:t>
      </w:r>
    </w:p>
    <w:p>
      <w:pPr>
        <w:pStyle w:val="ListBullet"/>
      </w:pPr>
      <w:r>
        <w:t>MiFID II에 따른 여권제도로 EEA 규제 대상 업체가 원격 회원을 통해 모든 Euronext 시장 접속 가능</w:t>
      </w:r>
    </w:p>
    <w:p>
      <w:pPr>
        <w:pStyle w:val="ListBullet"/>
      </w:pPr>
      <w:r>
        <w:t>비EEA 업체에 대해서는 역외국 동등성 결정이 적용될 수 있음</w:t>
      </w:r>
    </w:p>
    <w:p>
      <w:pPr>
        <w:pStyle w:val="ListBullet"/>
      </w:pPr>
      <w:r>
        <w:t>Euronext의 다국적 관할 구조는 주요 거래소 중 유일하며, 8개 국가 감독기관 간 조율이 필요</w:t>
      </w:r>
    </w:p>
    <w:p>
      <w:pPr>
        <w:pStyle w:val="ListBullet"/>
      </w:pPr>
      <w:r>
        <w:t>브렉시트 이후: Euronext는 2022년 주 데이터센터를 Basildon (영국)에서 Bergamo (이탈리아)로 이전하여 영국 인프라에 대한 의존도를 낮춤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표준 현물주식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종가 기준(basis points)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거래당 0.50 bps (2025년 2월 시행); 거래당 최소 EUR 0.70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시장조성자(마켓메이커) / 유동성공급자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메이커-테이커(유동성 제공-소비 수수료 모델) 단계별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패시브(maker) 거래에 대한 감면 수수료; 프로그램 단계 및 자산 유형에 따라 구체적 요율 상이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 Block (비공개)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거래당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수수료표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ETF 매매를 위한 감면 수수료표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유동성 프로그램 참여에 따라 상이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구조화상품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6,000 이하 거래는 무료; 거래당 EUR 20 상한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거래당 상한 적용; 거래당 5건의 무료 주문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Clearing을 통한 거래당 청산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 및 거래량 단계에 따라 상이</w:t>
            </w:r>
          </w:p>
        </w:tc>
      </w:tr>
    </w:tbl>
    <w:p/>
    <w:p>
      <w:pPr>
        <w:pStyle w:val="Heading3"/>
      </w:pPr>
      <w:r>
        <w:t>10.2 기타 수수료 (Other Fees)</w:t>
      </w:r>
    </w:p>
    <w:p>
      <w:pPr>
        <w:pStyle w:val="ListBullet"/>
      </w:pPr>
      <w:r>
        <w:t>상장 수수료: 시가총액 기준 연간 상장유지 수수료; 시장 구분(정규시장, Growth, Access)에 따라 초기 상장 수수료 상이. 2025년판 상장수수료 안내서가 Euronext 웹사이트에서 제공됨</w:t>
      </w:r>
    </w:p>
    <w:p>
      <w:pPr>
        <w:pStyle w:val="ListBullet"/>
      </w:pPr>
      <w:r>
        <w:t>시세정보 수수료: 실시간 데이터는 정보상품 수수료표 적용; 지연 데이터(15분)는 내부 사용 시 무료; 재배포 시 라이선스 및 추가 수수료 필요</w:t>
      </w:r>
    </w:p>
    <w:p>
      <w:pPr>
        <w:pStyle w:val="ListBullet"/>
      </w:pPr>
      <w:r>
        <w:t>코로케이션 수수료: Bergamo 데이터센터의 랙 공간 임대; 크로스커넥트 수수료; 구체적 가격은 비공개(고객별 협상)</w:t>
      </w:r>
    </w:p>
    <w:p>
      <w:pPr>
        <w:pStyle w:val="ListBullet"/>
      </w:pPr>
      <w:r>
        <w:t>접속 수수료: OEG 및 MDG 연결에 대한 월정 수수료; 연결 유형 및 대역폭에 따라 상이</w:t>
      </w:r>
    </w:p>
    <w:p>
      <w:pPr>
        <w:pStyle w:val="ListBullet"/>
      </w:pPr>
      <w:r>
        <w:t>기술 라이선스: Euronext는 Optiq 플랫폼을 제3자 거래소 운영자에게 라이선스 [미검증]</w:t>
      </w:r>
    </w:p>
    <w:p>
      <w:pPr>
        <w:pStyle w:val="Heading3"/>
      </w:pPr>
      <w:r>
        <w:t>수익 구성 (FY 2025) (Revenue Breakdown)</w:t>
      </w:r>
    </w:p>
    <w:p>
      <w:pPr>
        <w:pStyle w:val="ListBullet"/>
      </w:pPr>
      <w:r>
        <w:t>Euronext N.V. 총 매출: 약 EUR 17억 [조정 EBITDA EUR 11.43억 기준 약 67% 마진으로 추정]</w:t>
      </w:r>
    </w:p>
    <w:p>
      <w:pPr>
        <w:pStyle w:val="ListBullet"/>
      </w:pPr>
      <w:r>
        <w:t>수익 다각화: 매매 수익 (약 30%), 매매후/청산 (약 25%), 상장 (약 10%), 기술/데이터 (약 20%), 기타 (약 15%) [대략적, 미검증]</w:t>
      </w:r>
    </w:p>
    <w:p>
      <w:pPr>
        <w:pStyle w:val="ListBullet"/>
      </w:pPr>
      <w:r>
        <w:t>"Innovate for Growth 2027" 전략하에 비거래량 기반 수익 성장이 전략적 우선사항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2022: 핵심 데이터센터를 Basildon (영국)에서 Bergamo, 이탈리아 (Aruba IT3)로 이전; 2022년 6월 완료</w:t>
      </w:r>
    </w:p>
    <w:p>
      <w:pPr>
        <w:pStyle w:val="ListBullet"/>
      </w:pPr>
      <w:r>
        <w:t>2023: Borsa Italiana 현물시장(주식, ETF, 채권) 2단계에 걸쳐 Optiq로 이전</w:t>
      </w:r>
    </w:p>
    <w:p>
      <w:pPr>
        <w:pStyle w:val="ListBullet"/>
      </w:pPr>
      <w:r>
        <w:t>2024: Borsa Italiana 파생상품 Optiq 이전 (Phase 3, 2024년 4월) -- Borsa Italiana 기술 통합 완료; Euronext Clearing이 모든 Euronext 금융파생상품으로 확대</w:t>
      </w:r>
    </w:p>
    <w:p>
      <w:pPr>
        <w:pStyle w:val="ListBullet"/>
      </w:pPr>
      <w:r>
        <w:t>2025: Optiq 플랫폼 지속 개선; ATHEX Group 통합 계획 진행; MDG 및 OEG 버전 업그레이드 (v5.38.0 사양서 공개)</w:t>
      </w:r>
    </w:p>
    <w:p>
      <w:pPr>
        <w:pStyle w:val="ListBullet"/>
      </w:pPr>
      <w:r>
        <w:t>지속: Optiq 플랫폼이 제3자 거래소 및 매매장소 운영자를 위한 기술 솔루션으로 제공</w:t>
      </w:r>
    </w:p>
    <w:p>
      <w:pPr>
        <w:pStyle w:val="Heading3"/>
      </w:pPr>
      <w:r>
        <w:t>신규 상품 / 시장 구분 (New Products / Segments)</w:t>
      </w:r>
    </w:p>
    <w:p>
      <w:pPr>
        <w:pStyle w:val="ListBullet"/>
      </w:pPr>
      <w:r>
        <w:t>2024: 통합 유럽 ETF 시장 플랫폼 출시 (유럽 ETF AUM의 90% 이상을 대표하는 발행사 지원)</w:t>
      </w:r>
    </w:p>
    <w:p>
      <w:pPr>
        <w:pStyle w:val="ListBullet"/>
      </w:pPr>
      <w:r>
        <w:t>2025: 이탈리아, 프랑스, 독일, 스페인 국채에 대한 현금결제 Mini Bond Futures 출시 (2025년 9월)</w:t>
      </w:r>
    </w:p>
    <w:p>
      <w:pPr>
        <w:pStyle w:val="ListBullet"/>
      </w:pPr>
      <w:r>
        <w:t>2026: 전력선물 출시 (2026년 3월), Nasdaq Nordic 전력선물 인수 이후 상품 프랜차이즈 다각화</w:t>
      </w:r>
    </w:p>
    <w:p>
      <w:pPr>
        <w:pStyle w:val="ListBullet"/>
      </w:pPr>
      <w:r>
        <w:t>2026: 유럽 Repo 시장 확대 (2026년 6월 완료 목표)</w:t>
      </w:r>
    </w:p>
    <w:p>
      <w:pPr>
        <w:pStyle w:val="ListBullet"/>
      </w:pPr>
      <w:r>
        <w:t>Euronext Block: 기관 블록매매를 위한 비공개 중간가격 매매장소로 지속 성장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MiFID II/MiFIR 개정: EU 집행위원회가 규제 프레임워크 간소화 및 EU 수준 감독으로의 전환을 목표로 시장 통합 입법 패키지 발표 (2025년 12월); Euronext의 다국적 관할 구조에 잠재적 영향</w:t>
      </w:r>
    </w:p>
    <w:p>
      <w:pPr>
        <w:pStyle w:val="ListBullet"/>
      </w:pPr>
      <w:r>
        <w:t>CSDR 개정: Euronext Securities (CSD)에 영향을 미치는 지속적 시행</w:t>
      </w:r>
    </w:p>
    <w:p>
      <w:pPr>
        <w:pStyle w:val="ListBullet"/>
      </w:pPr>
      <w:r>
        <w:t>통합시세정보 제공자(CTP): EU의 주식 통합시세정보에 대한 규제 추진; Euronext는 잠재적 기여자/운영자로 위치</w:t>
      </w:r>
    </w:p>
    <w:p>
      <w:pPr>
        <w:pStyle w:val="ListBullet"/>
      </w:pPr>
      <w:r>
        <w:t>T+1 결제: 유럽 시장의 T+2에서 T+1 결제주기 이전에 관한 업계 논의; Euronext 인프라 준비 중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"Innovate for Growth 2027": 비거래량 기반 사업 성장, 기술 확장, 유럽 입지 확대에 초점을 맞춘 전략 계획</w:t>
      </w:r>
    </w:p>
    <w:p>
      <w:pPr>
        <w:pStyle w:val="ListBullet"/>
      </w:pPr>
      <w:r>
        <w:t>유럽 CSD 모델: 2025년 12월 발표; 덴마크, 이탈리아, 노르웨이, 포르투갈의 CSD 운영을 통합하여 비용 절감 및 국경 간 결제 개선. Euronext Securities가 2026년 9월까지 Amsterdam, Brussels, Paris 현물주식 결제 개시</w:t>
      </w:r>
    </w:p>
    <w:p>
      <w:pPr>
        <w:pStyle w:val="ListBullet"/>
      </w:pPr>
      <w:r>
        <w:t>ATHEX 통합: Athens Stock Exchange 인수 (2025년 말 75.6% 지분); 2028년까지 연간 EUR 1,200만 시너지 목표</w:t>
      </w:r>
    </w:p>
    <w:p>
      <w:pPr>
        <w:pStyle w:val="ListBullet"/>
      </w:pPr>
      <w:r>
        <w:t>Admincontrol 인수: 이사회 포털을 위한 북유럽 SaaS 플랫폼; 기업 솔루션 사업을 8,500개 이상 기업으로 확대</w:t>
      </w:r>
    </w:p>
    <w:p>
      <w:pPr>
        <w:pStyle w:val="ListBullet"/>
      </w:pPr>
      <w:r>
        <w:t>전력선물 / 상품 확대: Nord Pool 인수를 기반으로 2026년 3월 전력선물 출시; 에너지 매매 프랜차이즈 확대</w:t>
      </w:r>
    </w:p>
    <w:p>
      <w:pPr>
        <w:pStyle w:val="ListBullet"/>
      </w:pPr>
      <w:r>
        <w:t>Euronext Clearing 확대: LCH SA와 분리 후, Euronext Clearing이 현재 모든 Euronext 금융파생상품 처리; 현물주식 청산으로의 추가 확대 계획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Euronext Official Website -- About, Trading, Technology, Regulation: https://www.euronext.com (accessed 2026-04-06)</w:t>
      </w:r>
    </w:p>
    <w:p>
      <w:pPr>
        <w:pStyle w:val="ListNumber"/>
      </w:pPr>
      <w:r>
        <w:t>Euronext -- Trading Hours &amp; Holidays: https://www.euronext.com/en/trading/trading-hours-holidays (accessed 2026-04-06)</w:t>
      </w:r>
    </w:p>
    <w:p>
      <w:pPr>
        <w:pStyle w:val="ListNumber"/>
      </w:pPr>
      <w:r>
        <w:t>Euronext -- Trading Safeguards: https://www.euronext.com/en/trading/market-quality/trading-safeguards-euronext-markets (accessed 2026-04-06)</w:t>
      </w:r>
    </w:p>
    <w:p>
      <w:pPr>
        <w:pStyle w:val="ListNumber"/>
      </w:pPr>
      <w:r>
        <w:t>Euronext -- Optiq Technology Platform: https://www.euronext.com/en/technology/optiq-tech-solutions-for-exchanges-and-venue-operators (accessed 2026-04-06)</w:t>
      </w:r>
    </w:p>
    <w:p>
      <w:pPr>
        <w:pStyle w:val="ListNumber"/>
      </w:pPr>
      <w:r>
        <w:t>Euronext -- Trading Fees and Charges: https://www.euronext.com/en/trading/fees-charges (accessed 2026-04-06)</w:t>
      </w:r>
    </w:p>
    <w:p>
      <w:pPr>
        <w:pStyle w:val="ListNumber"/>
      </w:pPr>
      <w:r>
        <w:t>Euronext -- Cash Markets Trading Fee Guide (Effective 01 Feb 2025): https://www.euronext.com/sites/default/files/2025-02/Euronext%20Cash%20Markets%20Trading%20Fee%20Guide_Effective%2001FEB2025.pdf (accessed 2026-04-06)</w:t>
      </w:r>
    </w:p>
    <w:p>
      <w:pPr>
        <w:pStyle w:val="ListNumber"/>
      </w:pPr>
      <w:r>
        <w:t>Euronext -- Q4 and Full Year 2025 Results: https://www.euronext.com/en/about/media/euronext-press-releases/euronext-publishes-q4-and-full-year-2025-results (accessed 2026-04-06)</w:t>
      </w:r>
    </w:p>
    <w:p>
      <w:pPr>
        <w:pStyle w:val="ListNumber"/>
      </w:pPr>
      <w:r>
        <w:t>Euronext -- Delivering on Strategy 2025: https://www.euronext.com/en/news/delivering-strategy-and-strengthening-european-capital-markets-2025 (accessed 2026-04-06)</w:t>
      </w:r>
    </w:p>
    <w:p>
      <w:pPr>
        <w:pStyle w:val="ListNumber"/>
      </w:pPr>
      <w:r>
        <w:t>Euronext -- Data Centre: https://www.euronext.com/en/technology/euronext-data-centre (accessed 2026-04-06)</w:t>
      </w:r>
    </w:p>
    <w:p>
      <w:pPr>
        <w:pStyle w:val="ListNumber"/>
      </w:pPr>
      <w:r>
        <w:t>Euronext -- Borsa Italiana Acquisition Completion: https://www.euronext.com/en/about/media/euronext-press-releases/acquisition-borsa-italiana-group-and-q1-2021-results (accessed 2026-04-06)</w:t>
      </w:r>
    </w:p>
    <w:p>
      <w:pPr>
        <w:pStyle w:val="ListNumber"/>
      </w:pPr>
      <w:r>
        <w:t>Euronext -- Regulatory Framework / Regulatory Bodies: https://www.euronext.com/en/regulation (accessed 2026-04-06)</w:t>
      </w:r>
    </w:p>
    <w:p>
      <w:pPr>
        <w:pStyle w:val="ListNumber"/>
      </w:pPr>
      <w:r>
        <w:t>Euronext -- Market Data Products: https://www.euronext.com/en/data/market-data/market-data-products (accessed 2026-04-06)</w:t>
      </w:r>
    </w:p>
    <w:p>
      <w:pPr>
        <w:pStyle w:val="ListNumber"/>
      </w:pPr>
      <w:r>
        <w:t>Euronext -- Choosing a Market (Listing): https://www.euronext.com/en/listing/raise-capital/how-go-public/choosing-market (accessed 2026-04-06)</w:t>
      </w:r>
    </w:p>
    <w:p>
      <w:pPr>
        <w:pStyle w:val="ListNumber"/>
      </w:pPr>
      <w:r>
        <w:t>Confluent -- Euronext Case Study (Optiq/Kafka): https://www.confluent.io/customers/euronext/ (accessed 2026-04-06)</w:t>
      </w:r>
    </w:p>
    <w:p>
      <w:pPr>
        <w:pStyle w:val="ListNumber"/>
      </w:pPr>
      <w:r>
        <w:t>OnixS -- Euronext Optiq MDG Market Data Handler: https://www.onixs.biz/euronext-optiq-market-data-gateway-feed-handler.html (accessed 2026-04-06)</w:t>
      </w:r>
    </w:p>
    <w:p>
      <w:pPr>
        <w:pStyle w:val="ListNumber"/>
      </w:pPr>
      <w:r>
        <w:t>Euronext -- Optiq OEG FIX 5.0 / SBE Interface Specifications (v5.38.0): https://connect.euronext.com (accessed 2026-04-06)</w:t>
      </w:r>
    </w:p>
    <w:p>
      <w:pPr>
        <w:pStyle w:val="ListNumber"/>
      </w:pPr>
      <w:r>
        <w:t>Wikipedia -- Euronext: https://en.wikipedia.org/wiki/Euronext (accessed 2026-04-06)</w:t>
      </w:r>
    </w:p>
    <w:p>
      <w:pPr>
        <w:pStyle w:val="ListNumber"/>
      </w:pPr>
      <w:r>
        <w:t>TradingBrokers -- Euronext Trading Hours: https://tradingbrokers.com/euronext-trading-hours/ (accessed 2026-04-06)</w:t>
      </w:r>
    </w:p>
    <w:p>
      <w:pPr>
        <w:pStyle w:val="ListNumber"/>
      </w:pPr>
      <w:r>
        <w:t>ESMA -- MiFID II / RTS 11 Tick Size Regime: https://www.esma.europa.eu (accessed 2026-04-06)</w:t>
      </w:r>
    </w:p>
    <w:p>
      <w:pPr>
        <w:pStyle w:val="ListNumber"/>
      </w:pPr>
      <w:r>
        <w:t>The TRADE News -- Euronext Data Centre Migration: https://www.thetradenews.com/inside-europes-new-fortress-euronexts-continental-data-centre-and-trading-floor/ (accessed 2026-04-06)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