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London Stock Exchange (LSE)</w:t>
      </w:r>
    </w:p>
    <w:p>
      <w:r>
        <w:rPr>
          <w:i/>
          <w:sz w:val="18"/>
        </w:rPr>
        <w:t>**최종 수정일:** 2026-04-03</w:t>
      </w:r>
    </w:p>
    <w:p>
      <w:r>
        <w:rPr>
          <w:i/>
          <w:sz w:val="18"/>
        </w:rPr>
        <w:t>**조사 등급:** Tier 1</w:t>
      </w:r>
    </w:p>
    <w:p>
      <w:r>
        <w:rPr>
          <w:i/>
          <w:sz w:val="18"/>
        </w:rPr>
        <w:t>**영역:** 주식시장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공식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London Stock Exchange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LSE (런던증권거래소)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https://www.londonstockexchange.com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1801년 (기원은 1690년대 커피하우스 거래로 소급)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영국 / 런던 (Paternoster Square, City of London)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LSEG (런던증권거래소 그룹)의 상장 자회사 (종목코드: LSEG, LSE 상장)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모회사/그룹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London Stock Exchange Group plc (LSEG)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Financial Conduct Authority (FCA)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~4.5조 GBP / ~5.9조 USD (2025년 중반 기준) [추정치]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상장종목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60개국 이상에서 ~1,900개 이상 기업 (~1,025개 Main Market, ~680개 AIM, IOB 및 기타 세그먼트 포함)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호가창 전체에서 일 ~500,000 ~ 2,000,000건 거래 [추정치]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세그먼트 합산 ~40-45억 GBP (FTSE 100 2025년 YTD: 일 33.65억 GBP; FTSE 250: 일 4.59억 GBP)</w:t>
            </w:r>
          </w:p>
        </w:tc>
      </w:tr>
    </w:tbl>
    <w:p/>
    <w:p>
      <w:pPr>
        <w:pStyle w:val="Heading3"/>
      </w:pPr>
      <w:r>
        <w:t>주요 연혁 (Key Historical Milestones)</w:t>
      </w:r>
    </w:p>
    <w:p>
      <w:pPr>
        <w:pStyle w:val="ListBullet"/>
      </w:pPr>
      <w:r>
        <w:t>1698년: John Castaing이 Change Alley의 Jonathan's Coffee House에서 주식 및 상품 가격 발간 시작</w:t>
      </w:r>
    </w:p>
    <w:p>
      <w:pPr>
        <w:pStyle w:val="ListBullet"/>
      </w:pPr>
      <w:r>
        <w:t>1801년: London Stock Exchange가 규제된 회원제로 공식 설립</w:t>
      </w:r>
    </w:p>
    <w:p>
      <w:pPr>
        <w:pStyle w:val="ListBullet"/>
      </w:pPr>
      <w:r>
        <w:t>1812년: 최초의 성문 규칙집 발간</w:t>
      </w:r>
    </w:p>
    <w:p>
      <w:pPr>
        <w:pStyle w:val="ListBullet"/>
      </w:pPr>
      <w:r>
        <w:t>1973년: 영국 지역 거래소들이 통합하여 Great Britain and Ireland 통합증권거래소 형성; 최초 여성 회원 승인</w:t>
      </w:r>
    </w:p>
    <w:p>
      <w:pPr>
        <w:pStyle w:val="ListBullet"/>
      </w:pPr>
      <w:r>
        <w:t>1986년: 빅뱅 규제완화 — 고정수수료 폐지, 브로커-조버 분리 종료, 공개호가에서 SEAQ를 통한 전자거래로 전환</w:t>
      </w:r>
    </w:p>
    <w:p>
      <w:pPr>
        <w:pStyle w:val="ListBullet"/>
      </w:pPr>
      <w:r>
        <w:t>1997년: SETS (Stock Exchange Electronic Trading Service) 출시, 주력 전자 호가창으로 운영</w:t>
      </w:r>
    </w:p>
    <w:p>
      <w:pPr>
        <w:pStyle w:val="ListBullet"/>
      </w:pPr>
      <w:r>
        <w:t>2000년: LSE 주식회사화, London Stock Exchange plc가 됨</w:t>
      </w:r>
    </w:p>
    <w:p>
      <w:pPr>
        <w:pStyle w:val="ListBullet"/>
      </w:pPr>
      <w:r>
        <w:t>2004년: LSE 본사를 Paternoster Square로 이전</w:t>
      </w:r>
    </w:p>
    <w:p>
      <w:pPr>
        <w:pStyle w:val="ListBullet"/>
      </w:pPr>
      <w:r>
        <w:t>2007년: Borsa Italiana와 16억 EUR에 합병, London Stock Exchange Group(LSEG) 형성; SETSqx 하이브리드 매매 플랫폼 출시</w:t>
      </w:r>
    </w:p>
    <w:p>
      <w:pPr>
        <w:pStyle w:val="ListBullet"/>
      </w:pPr>
      <w:r>
        <w:t>2009년: MillenniumIT(스리랑카) 1,800만 GBP에 인수, 차세대 매매기술 개발</w:t>
      </w:r>
    </w:p>
    <w:p>
      <w:pPr>
        <w:pStyle w:val="ListBullet"/>
      </w:pPr>
      <w:r>
        <w:t>2011년: Millennium Exchange 매매 플랫폼 출시(2011년 2월 14일), TradElect 대체</w:t>
      </w:r>
    </w:p>
    <w:p>
      <w:pPr>
        <w:pStyle w:val="ListBullet"/>
      </w:pPr>
      <w:r>
        <w:t>2012년: LCH.Clearnet(현 LCH) 지분 과반 인수, 주요 중앙청산소 (중앙거래상대방)</w:t>
      </w:r>
    </w:p>
    <w:p>
      <w:pPr>
        <w:pStyle w:val="ListBullet"/>
      </w:pPr>
      <w:r>
        <w:t>2014년: LSEG가 Frank Russell Company(Russell 지수) 인수</w:t>
      </w:r>
    </w:p>
    <w:p>
      <w:pPr>
        <w:pStyle w:val="ListBullet"/>
      </w:pPr>
      <w:r>
        <w:t>2021년: Refinitiv 270억 달러 인수 완료, LSEG를 데이터 및 분석 분야로 전환(현재 매출의 ~70%)</w:t>
      </w:r>
    </w:p>
    <w:p>
      <w:pPr>
        <w:pStyle w:val="ListBullet"/>
      </w:pPr>
      <w:r>
        <w:t>2024년: Workspace 플랫폼 대폭 강화; Microsoft 파트너십 첫 상품 출시</w:t>
      </w:r>
    </w:p>
    <w:p>
      <w:pPr>
        <w:pStyle w:val="ListBullet"/>
      </w:pPr>
      <w:r>
        <w:t>2025년: LSEG가 금융데이터를 ChatGPT에 통합; 자사주 매입을 통해 주주에 21억 GBP 환원</w:t>
      </w:r>
    </w:p>
    <w:p>
      <w:pPr>
        <w:pStyle w:val="ListBullet"/>
      </w:pPr>
      <w:r>
        <w:t>2026년: LSEG Sustainability Ratings and Data 출시; 블록체인 결제 이니셔티브(Digital Markets Infrastructure) 규제 승인 대기 중 발표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시장구조 (Market Structure)</w:t>
      </w:r>
    </w:p>
    <w:p>
      <w:pPr>
        <w:pStyle w:val="Heading3"/>
      </w:pPr>
      <w:r>
        <w:t>2.1 시장 세그먼트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세그먼트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Market (Premium Listing)**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 기성기업을 위한 주력 시장; 가장 엄격한 요건; FTSE UK Index Series 편입 적격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3년 실적, 25% 유통주식비율, FCA 승인 투자설명서, UK Corporate Governance Code 준수, 스폰서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Market (Standard Listing)**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최소 규제 요건으로 상장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EU 투자설명서 지침 최소 요건 충족; Premium보다 덜 엄격하나 FCA 승인 투자설명서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**AIM (Alternative Investment Market)**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소형 및 신흥기업을 위한 국제 성장시장; MiFID에 따른 MTF로 분류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시가총액 없음, 영업실적 요건 없음, 최소 유통주식비율 없음; Nominated Adviser(Nomad) 선임 필수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**International Order Book (IOB)**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신흥시장(인도, 중국, 중동 등)의 Global Depositary Receipts(GDR)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GDR 관련 상장요건; 국제 자본시장 접근 제공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**Specialist Fund Segment (SFS)**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기관/전문 투자자 대상 전문 투자펀드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정교한 투자자 대상; 경감된 규제 요건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**High Growth Segment**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고성장, 매출 단계 기업용 (2021년 도입)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매출 최소 2,000만 GBP, 최소 시가총액 3,000만 GBP [미확인]</w:t>
            </w:r>
          </w:p>
        </w:tc>
      </w:tr>
    </w:tbl>
    <w:p/>
    <w:p>
      <w:pPr>
        <w:pStyle w:val="Heading3"/>
      </w:pPr>
      <w:r>
        <w:t>2.2 매매시간 (Trading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(GMT/BST)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 (겨울)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개장 전 / 주문입력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07:50 - 08:00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07:50 - 08:00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정정, 취소 가능; 체결 없음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시가단일가매매 (개장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 경매 체결을 통한 시가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접속매매 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SETS에서 주문주도 연속 체결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 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 경매를 통한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Closing Price Crossing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16:35 - 16:40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16:35 - 16:40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확정된 종가에서만 거래 가능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 마감 후 (거래보고)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16:40 - 17:15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16:40 - 17:15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장외거래 보고 시간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SETSqx 경매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08:00, 09:00, 11:00, 14:00, 16:35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동일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SETSqx 종목의 정기 경매 체결</w:t>
            </w:r>
          </w:p>
        </w:tc>
      </w:tr>
    </w:tbl>
    <w:p/>
    <w:p>
      <w:r>
        <w:t>참고: 영국은 3월 하순부터 10월 하순까지 BST(UTC+1)를 적용한다. 표시 시간은 GMT 기준이다.</w:t>
      </w:r>
    </w:p>
    <w:p>
      <w:pPr>
        <w:pStyle w:val="Heading3"/>
      </w:pPr>
      <w:r>
        <w:t>2.3 호가단위 (최소가격변동폭) (Tick Sizes)</w:t>
      </w:r>
    </w:p>
    <w:p>
      <w:r>
        <w:t>LSE는 2018년 1월부터 시행된 MiFID II 호가단위 체계 (RTS 11)를 따른다. 호가단위 (최소가격변동폭)는 가격 수준과 해당 종목의 유동성 밴드(일평균 거래건수 기준)에 따라 결정된다.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가격 범위 (EUR 환산)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1 (&lt; 10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3 (80-600 ADNT)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유동성 밴드 6 (&gt;= 9000 ADNT)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0 - 0.4999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0.5 - 0.9999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1 - 1.9999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2 - 4.9999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5 - 9.9999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10 - 19.9999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20 - 49.9999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50 - 99.9999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0.1</w:t>
            </w:r>
          </w:p>
        </w:tc>
      </w:tr>
    </w:tbl>
    <w:p/>
    <w:p>
      <w:r>
        <w:t>[Source: ESMA RTS 11, as applied by LSE; 대표 값 표시 — 전체 표에는 6개 유동성 밴드와 13개 가격 범위가 포함됨]</w:t>
      </w:r>
    </w:p>
    <w:p>
      <w:r>
        <w:t>KRX 비교: KRX도 가격대별 호가단위 (최소가격변동폭) 체계를 적용하나, LSE와 달리 유동성 밴드를 사용하지 않고 가격 수준만으로 호가단위를 결정한다.</w:t>
      </w:r>
    </w:p>
    <w:p>
      <w:pPr>
        <w:pStyle w:val="Heading3"/>
      </w:pPr>
      <w:r>
        <w:t>2.4 매매단위 (거래단위) (Lot Sizes)</w:t>
      </w:r>
    </w:p>
    <w:p>
      <w:pPr>
        <w:pStyle w:val="ListBullet"/>
      </w:pPr>
      <w:r>
        <w:t>SETS 대부분 주식의 표준 매매단위 (거래단위): 1주</w:t>
      </w:r>
    </w:p>
    <w:p>
      <w:pPr>
        <w:pStyle w:val="ListBullet"/>
      </w:pPr>
      <w:r>
        <w:t>SETS 연속 호가창 거래에 최소 매매단위 (거래단위) 없음</w:t>
      </w:r>
    </w:p>
    <w:p>
      <w:pPr>
        <w:pStyle w:val="ListBullet"/>
      </w:pPr>
      <w:r>
        <w:t>MiFID II Large-in-Scale(LIS) 면제에 따른 블록거래 기준은 종목 유동성에 따라 다름</w:t>
      </w:r>
    </w:p>
    <w:p>
      <w:pPr>
        <w:pStyle w:val="Heading3"/>
      </w:pPr>
      <w:r>
        <w:t>2.5 시장조성자 (마켓메이커) / 유동성공급자 프로그램 (Market Maker / Liquidity Provider Programs)</w:t>
      </w:r>
    </w:p>
    <w:p>
      <w:pPr>
        <w:pStyle w:val="ListBullet"/>
      </w:pPr>
      <w:r>
        <w:t>SETS: 특정 종목에 등록된 시장조성자 (마켓메이커)가 지속적 양방향 호가 제공 가능; 의무는 아니나 특정 혜택(수수료 할인, 공매도 면제 등) 수령</w:t>
      </w:r>
    </w:p>
    <w:p>
      <w:pPr>
        <w:pStyle w:val="ListBullet"/>
      </w:pPr>
      <w:r>
        <w:t>SETSqx: 지정 시장조성자 (마켓메이커)가 거래일 동안 지속적 호가 제공 의무; 호가창 체결은 정기 경매를 통해 발생</w:t>
      </w:r>
    </w:p>
    <w:p>
      <w:pPr>
        <w:pStyle w:val="ListBullet"/>
      </w:pPr>
      <w:r>
        <w:t>SEAQ: 시장조성자 (마켓메이커) 호가에 전적으로 의존하는 순수 호가주도 시스템; 공개 지정가주문 호가창 없음; 최저 유동성 종목에 사용</w:t>
      </w:r>
    </w:p>
    <w:p>
      <w:pPr>
        <w:pStyle w:val="ListBullet"/>
      </w:pPr>
      <w:r>
        <w:t>유동성공급자 스킴: LSE는 지정 종목에 지속적 유동성을 제공하는 기업에 체결수수료 인하 인센티브 프로그램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매매메커니즘 (Trading Mechanism)</w:t>
      </w:r>
    </w:p>
    <w:p>
      <w:pPr>
        <w:pStyle w:val="Heading3"/>
      </w:pPr>
      <w:r>
        <w:t>3.1 경매 메커니즘 (Auction Mechanisms)</w:t>
      </w:r>
    </w:p>
    <w:p>
      <w:pPr>
        <w:pStyle w:val="ListBullet"/>
      </w:pPr>
      <w:r>
        <w:t>시가단일가매매 (개장 경매): 10분간의 주문입력 기간(07:50-08:00) 후 08:00에 시작된다. 주문이 축적되고 체결 알고리즘이 최대 거래량을 체결할 수 있는 가격을 결정한다. 조작 방지를 위한 무작위 종료 기간(최대 30초)이 뒤따른다.</w:t>
      </w:r>
    </w:p>
    <w:p>
      <w:pPr>
        <w:pStyle w:val="ListBullet"/>
      </w:pPr>
      <w:r>
        <w:t>종가단일가매매 (장마감 경매): 16:30에 접속매매 (연속매매)가 중단되고 종가단일가매매 (장마감 경매) 기간이 시작된다. 종가단일가매매 체결이 공식 종가를 결정하며(지수 제공자, 펀드 매니저가 사용), 무작위 종료 기간이 뒤따른다.</w:t>
      </w:r>
    </w:p>
    <w:p>
      <w:pPr>
        <w:pStyle w:val="ListBullet"/>
      </w:pPr>
      <w:r>
        <w:t>장중 경매 (SETSqx): 08:00, 09:00, 11:00, 14:00, 16:35에 SETSqx 종목에 대해 실시된다. 경매 사이에 주문이 축적되고 예정 시간에 체결된다.</w:t>
      </w:r>
    </w:p>
    <w:p>
      <w:pPr>
        <w:pStyle w:val="ListBullet"/>
      </w:pPr>
      <w:r>
        <w:t>변동성완화장치 (VI) 발동 시 단일가매매: 잠재적 체결이 가격모니터링 기준(서킷브레이커 (매매거래중단))을 위반할 때 발동된다. 매매가 중단되고 질서 있는 가격발견을 위한 단일가 경매가 개시된다.</w:t>
      </w:r>
    </w:p>
    <w:p>
      <w:pPr>
        <w:pStyle w:val="Heading3"/>
      </w:pPr>
      <w:r>
        <w:t>3.2 접속매매 (연속매매) (Continuous Trading)</w:t>
      </w:r>
    </w:p>
    <w:p>
      <w:pPr>
        <w:pStyle w:val="ListBullet"/>
      </w:pPr>
      <w:r>
        <w:t>SETS (Stock Exchange Electronic Trading Service): FTSE 100, FTSE 250, FTSE SmallCap 및 기타 유동성 종목의 주 호가창. 시장조성자 (마켓메이커)의 선택적 참여가 가능한 순수 주문주도 시장. 08:00-16:30 연속 세션 동안 가격-시간 우선원칙 체결 알고리즘 적용.</w:t>
      </w:r>
    </w:p>
    <w:p>
      <w:pPr>
        <w:pStyle w:val="ListBullet"/>
      </w:pPr>
      <w:r>
        <w:t>SETSqx: 정기 경매와 시장조성자 (마켓메이커)의 지속적 호가를 결합한 하이브리드 시스템. 경매 사이에 투자자는 시장조성자 (마켓메이커) 호가를 상대로 거래 가능. 호가창 체결은 경매 시에만 발생.</w:t>
      </w:r>
    </w:p>
    <w:p>
      <w:pPr>
        <w:pStyle w:val="ListBullet"/>
      </w:pPr>
      <w:r>
        <w:t>SEAQ: 유동성이 낮은 종목을 위한 호가주도 시스템. 전자 주문 체결 없이 화면에 표시되는 시장조성자 (마켓메이커) 호가를 통해 거래 체결.</w:t>
      </w:r>
    </w:p>
    <w:p>
      <w:pPr>
        <w:pStyle w:val="Heading3"/>
      </w:pPr>
      <w:r>
        <w:t>3.3 가격발견 (Price Discovery)</w:t>
      </w:r>
    </w:p>
    <w:p>
      <w:pPr>
        <w:pStyle w:val="ListBullet"/>
      </w:pPr>
      <w:r>
        <w:t>가격발견은 주로 시가 및 종가 단일가매매와 SETS의 연속 호가창 상호작용을 통해 이루어진다</w:t>
      </w:r>
    </w:p>
    <w:p>
      <w:pPr>
        <w:pStyle w:val="ListBullet"/>
      </w:pPr>
      <w:r>
        <w:t>체결 알고리즘은 체결 가능 수량을 최대화한 후 잉여를 최소화하고, 이전 가격을 참조하여 경매가를 결정한다</w:t>
      </w:r>
    </w:p>
    <w:p>
      <w:pPr>
        <w:pStyle w:val="ListBullet"/>
      </w:pPr>
      <w:r>
        <w:t>Closing Price Crossing 세션(16:35-16:40)은 확정된 종가에서 추가 거래량의 체결을 허용한다</w:t>
      </w:r>
    </w:p>
    <w:p>
      <w:pPr>
        <w:pStyle w:val="ListBullet"/>
      </w:pPr>
      <w:r>
        <w:t>서킷브레이커 (매매거래중단) 기준가격은 경매 체결가에서 파생되고 접속매매 (연속매매) 중 동적으로 갱신된다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주문유형 (Order Types)</w:t>
      </w:r>
    </w:p>
    <w:p>
      <w:pPr>
        <w:pStyle w:val="Heading3"/>
      </w:pPr>
      <w:r>
        <w:t>4.1 기본 주문유형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 주문; 즉시 체결되지 않으면 호가창에 잔류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가용 가격으로 체결; 미체결분은 취소됨 (호가창에 잔류하지 않음)</w:t>
            </w:r>
          </w:p>
        </w:tc>
      </w:tr>
    </w:tbl>
    <w:p/>
    <w:p>
      <w:pPr>
        <w:pStyle w:val="Heading3"/>
      </w:pPr>
      <w:r>
        <w:t>4.2 고급 주문유형 (Advanced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Iceberg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일부분(공개 피크)만 호가창에 표시; 공개 수량 체결 시 비공개 예비에서 자동 보충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Hidden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주문수량이 공개 호가창에서 비표시; 동일 가격의 공개 주문보다 낮은 우선순위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Mid-Price Pegged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매수/매도호가(BBO) 중간가격에 연동; BBO 변동에 따라 자동 조정; SETS 다크풀 (비공개 거래소) 호가창에서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Stop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시장가가 지정 정지가격에 도달하면 발동, 활성 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Passive Only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입력 시 즉시 체결되지 않도록 보장; 호가창에 수동 주문으로 등록되거나 공격적일 경우 거부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Named Order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SETSqx에서 사용 — 시장조성자 (마켓메이커) 호가가 지정 체결 가능 주문으로 입력</w:t>
            </w:r>
          </w:p>
        </w:tc>
      </w:tr>
    </w:tbl>
    <w:p/>
    <w:p>
      <w:pPr>
        <w:pStyle w:val="Heading3"/>
      </w:pPr>
      <w:r>
        <w:t>4.3 유효기간 (Time-in-Force Options)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for Day (GFD)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 매매시간에만 유효; 장 마감 시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Cancelled (GTC)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 또는 명시적 취소까지 유효 (거래소가 정한 최대 일수까지)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Good till Date (GTD)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만료일까지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잔여분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Fill or Kill (FOK)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 또는 전량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Open (ATO)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시가단일가매매 (개장 경매)에서만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 the Close (ATC)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종가단일가매매 (장마감 경매)에서만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Execute and Eliminate (EaE)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IOC와 유사 — 가용 수량 체결 후 잔여분 취소</w:t>
            </w:r>
          </w:p>
        </w:tc>
      </w:tr>
    </w:tbl>
    <w:p/>
    <w:p>
      <w:pPr>
        <w:pStyle w:val="Heading3"/>
      </w:pPr>
      <w:r>
        <w:t>4.4 주문 정정/취소 (Order Modification / Cancellation)</w:t>
      </w:r>
    </w:p>
    <w:p>
      <w:pPr>
        <w:pStyle w:val="ListBullet"/>
      </w:pPr>
      <w:r>
        <w:t>FIX 또는 Native 게이트웨이를 통해 매매시간 중 언제든 주문 정정(가격, 수량) 또는 취소 가능</w:t>
      </w:r>
    </w:p>
    <w:p>
      <w:pPr>
        <w:pStyle w:val="ListBullet"/>
      </w:pPr>
      <w:r>
        <w:t>우선순위를 개선하는 가격 정정은 새 타임스탬프 발생 (시간 우선순위 상실)</w:t>
      </w:r>
    </w:p>
    <w:p>
      <w:pPr>
        <w:pStyle w:val="ListBullet"/>
      </w:pPr>
      <w:r>
        <w:t>수량 감소는 시간 우선순위에 영향 없음</w:t>
      </w:r>
    </w:p>
    <w:p>
      <w:pPr>
        <w:pStyle w:val="ListBullet"/>
      </w:pPr>
      <w:r>
        <w:t>경매 호가기간 중 주문 입력, 정정, 취소 가능하나 체결은 발생하지 않음</w:t>
      </w:r>
    </w:p>
    <w:p>
      <w:pPr>
        <w:pStyle w:val="ListBullet"/>
      </w:pPr>
      <w:r>
        <w:t>대량 취소 기능 이용 가능; Kill Switch로 회사의 모든 미체결 주문 취소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(Trading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Millennium Exchange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주체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개발 (LSEG의 완전 자회사인 스리랑카 소재 MillenniumIT 개발)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범용 하드웨어 기반 분산형 저지연 아키텍처; 이벤트 주도형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(매칭엔진)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가격-시간 우선원칙의 중앙 매매체결엔진 (매칭엔진); 복수 자산군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~126마이크로초 (네이티브 API); ~196마이크로초 (FIX 5.0) — 2011년 출시 시 측정값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수만 건의 주문 처리 가능 [추정치]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초당 메시지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고처리량 용량 설계; 정확한 현재 수치 미공개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2011년 (2011년 2월 14일 가동)</w:t>
            </w:r>
          </w:p>
        </w:tc>
      </w:tr>
    </w:tbl>
    <w:p/>
    <w:p>
      <w:pPr>
        <w:pStyle w:val="Heading3"/>
      </w:pPr>
      <w:r>
        <w:t>시스템 변천사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1986년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플로어 거래 (공개호가)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물리적 트레이딩 플로어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1986-1997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SEAQ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빅뱅 시 도입된 화면 기반 호가 표시 시스템; 호가주도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1997-2007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전자 호가창; 주문주도 체결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2007-2011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TradElect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Microsoft .NET 기반; 출시 시 평균 지연시간 ~2밀리초, 이후 부하 문제로 ~6ms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2011-현재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Millennium Exchange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C++/Linux 기반; 서브밀리초 지연시간; TradElect 대체</w:t>
            </w:r>
          </w:p>
        </w:tc>
      </w:tr>
    </w:tbl>
    <w:p/>
    <w:p>
      <w:pPr>
        <w:pStyle w:val="Heading3"/>
      </w:pPr>
      <w:r>
        <w:t>기술 스택 (Technology Stack)</w:t>
      </w:r>
    </w:p>
    <w:p>
      <w:pPr>
        <w:pStyle w:val="ListBullet"/>
      </w:pPr>
      <w:r>
        <w:t>운영체제: Novell SUSE Linux Enterprise</w:t>
      </w:r>
    </w:p>
    <w:p>
      <w:pPr>
        <w:pStyle w:val="ListBullet"/>
      </w:pPr>
      <w:r>
        <w:t>프로그래밍 언어: C++</w:t>
      </w:r>
    </w:p>
    <w:p>
      <w:pPr>
        <w:pStyle w:val="ListBullet"/>
      </w:pPr>
      <w:r>
        <w:t>네트워크 프로토콜: 매매 게이트웨이용 TCP/IP; 시장데이터 배포용 UDP/IP 멀티캐스트</w:t>
      </w:r>
    </w:p>
    <w:p>
      <w:pPr>
        <w:pStyle w:val="ListBullet"/>
      </w:pPr>
      <w:r>
        <w:t>하드웨어: 범용 x86 서버 (독점 하드웨어 의존성 없음)</w:t>
      </w:r>
    </w:p>
    <w:p>
      <w:pPr>
        <w:pStyle w:val="ListBullet"/>
      </w:pPr>
      <w:r>
        <w:t>매매 게이트웨이: Native (바이너리, 최저 지연시간) 및 FIX 5.0 SP2 (업계 표준)</w:t>
      </w:r>
    </w:p>
    <w:p>
      <w:pPr>
        <w:pStyle w:val="ListBullet"/>
      </w:pPr>
      <w:r>
        <w:t>시장데이터 배포: MITCH 프로토콜 (ITCH의 LSE 변형) UDP 멀티캐스트 방식</w:t>
      </w:r>
    </w:p>
    <w:p>
      <w:pPr>
        <w:pStyle w:val="Heading3"/>
      </w:pPr>
      <w:r>
        <w:t>재해복구 / 업무연속성 (Disaster Recovery / Business Continuity)</w:t>
      </w:r>
    </w:p>
    <w:p>
      <w:pPr>
        <w:pStyle w:val="ListBullet"/>
      </w:pPr>
      <w:r>
        <w:t>실시간 복제가 이루어지는 완전 이중화 매매체결엔진 (매칭엔진) 아키텍처</w:t>
      </w:r>
    </w:p>
    <w:p>
      <w:pPr>
        <w:pStyle w:val="ListBullet"/>
      </w:pPr>
      <w:r>
        <w:t>장애전환 기능을 갖춘 주 전산센터 및 보조 전산센터</w:t>
      </w:r>
    </w:p>
    <w:p>
      <w:pPr>
        <w:pStyle w:val="ListBullet"/>
      </w:pPr>
      <w:r>
        <w:t>이중 시장데이터 피드 (Feed A 및 Feed B) — 클라이언트 측 중재를 위해 동일 시퀀스</w:t>
      </w:r>
    </w:p>
    <w:p>
      <w:pPr>
        <w:pStyle w:val="ListBullet"/>
      </w:pPr>
      <w:r>
        <w:t>FCA 규정에 따라 업무연속성 계획을 정기적으로 테스트</w:t>
      </w:r>
    </w:p>
    <w:p>
      <w:pPr>
        <w:pStyle w:val="ListBullet"/>
      </w:pPr>
      <w:r>
        <w:t>복구시점목표(RPO) 및 복구시간목표(RTO)가 규제 기대에 부합 [구체적 수치 미공개]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시장데이터 (Market Data)</w:t>
      </w:r>
    </w:p>
    <w:p>
      <w:pPr>
        <w:pStyle w:val="Heading3"/>
      </w:pPr>
      <w:r>
        <w:t>6.1 데이터 피드 프로토콜 (Data 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MITCH (Level 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기반 LSE 네이티브 바이너리 시장데이터 프로토콜; 주문별 전체 심도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알고리즘 및 고빈도매매(HFT)를 위한 초저지연 시장데이터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MITCH (Level 1)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MITCH 바이너리 형식의 집계 최우선호가 및 체결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 애플리케이션용 실시간 최우선호가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프로토콜을 통한 시장데이터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표준화된 FIX 접속을 선호하는 기업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RDF (Reference Data Feed)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 매개변수, 호가단위 (최소가격변동폭) 표, 매매일정의 일일 참조데이터 파일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사전 거래 설정, 종목 정적 데이터</w:t>
            </w:r>
          </w:p>
        </w:tc>
      </w:tr>
    </w:tbl>
    <w:p/>
    <w:p>
      <w:pPr>
        <w:pStyle w:val="Heading3"/>
      </w:pPr>
      <w:r>
        <w:t>6.2 데이터 수준 (Data Levels)</w:t>
      </w:r>
    </w:p>
    <w:p>
      <w:pPr>
        <w:pStyle w:val="ListBullet"/>
      </w:pPr>
      <w:r>
        <w:t>Level 1: 최우선 매수/매도호가(BBO), 최종 체결가, 거래량, VWAP; 실시간 또는 지연(무료 15분 지연)으로 이용 가능</w:t>
      </w:r>
    </w:p>
    <w:p>
      <w:pPr>
        <w:pStyle w:val="ListBullet"/>
      </w:pPr>
      <w:r>
        <w:t>Level 2: 전체 호가창 심도 (모든 가격 수준의 모든 공개 주문); MITCH를 통한 주문별 세분화</w:t>
      </w:r>
    </w:p>
    <w:p>
      <w:pPr>
        <w:pStyle w:val="ListBullet"/>
      </w:pPr>
      <w:r>
        <w:t>Level 3: 해당 없음 (LSE에서는 Level 2가 전체 심도 제공)</w:t>
      </w:r>
    </w:p>
    <w:p>
      <w:pPr>
        <w:pStyle w:val="Heading3"/>
      </w:pPr>
      <w:r>
        <w:t>6.3 배포 인프라 (Distribution Infrastructure)</w:t>
      </w:r>
    </w:p>
    <w:p>
      <w:pPr>
        <w:pStyle w:val="ListBullet"/>
      </w:pPr>
      <w:r>
        <w:t>시장데이터는 IP 버전 4(IPv4) 기반 UDP 멀티캐스트로 배포</w:t>
      </w:r>
    </w:p>
    <w:p>
      <w:pPr>
        <w:pStyle w:val="ListBullet"/>
      </w:pPr>
      <w:r>
        <w:t>이중화 피드: Feed A 및 Feed B (동일 시퀀스)</w:t>
      </w:r>
    </w:p>
    <w:p>
      <w:pPr>
        <w:pStyle w:val="ListBullet"/>
      </w:pPr>
      <w:r>
        <w:t>각 UDP 패킷에 하나의 Unit Header 포함</w:t>
      </w:r>
    </w:p>
    <w:p>
      <w:pPr>
        <w:pStyle w:val="ListBullet"/>
      </w:pPr>
      <w:r>
        <w:t>복수 IP 멀티캐스트 채널에 걸쳐 부하 분산</w:t>
      </w:r>
    </w:p>
    <w:p>
      <w:pPr>
        <w:pStyle w:val="ListBullet"/>
      </w:pPr>
      <w:r>
        <w:t>갭 복구를 위한 TCP/IP 재생 서비스 (최근 65,000개 메시지까지)</w:t>
      </w:r>
    </w:p>
    <w:p>
      <w:pPr>
        <w:pStyle w:val="ListBullet"/>
      </w:pPr>
      <w:r>
        <w:t>초기 상태 재구성을 위한 스냅샷 복구 서비스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LSEG(Refinitiv) Tick History를 통해 과거 틱 데이터 이용 가능</w:t>
      </w:r>
    </w:p>
    <w:p>
      <w:pPr>
        <w:pStyle w:val="ListBullet"/>
      </w:pPr>
      <w:r>
        <w:t>일말 데이터, 기업행위, 참조데이터 이용 가능</w:t>
      </w:r>
    </w:p>
    <w:p>
      <w:pPr>
        <w:pStyle w:val="ListBullet"/>
      </w:pPr>
      <w:r>
        <w:t>LSEG Data Platform, Workspace, 제3자 벤더를 통해 데이터 접근</w:t>
      </w:r>
    </w:p>
    <w:p>
      <w:pPr>
        <w:pStyle w:val="ListBullet"/>
      </w:pPr>
      <w:r>
        <w:t>파트너십을 통한 학술 및 연구 접근 이용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참가 (Connectivity &amp; Access)</w:t>
      </w:r>
    </w:p>
    <w:p>
      <w:pPr>
        <w:pStyle w:val="Heading3"/>
      </w:pPr>
      <w:r>
        <w:t>7.1 회원자격 / 참가 (Membership / Participation)</w:t>
      </w:r>
    </w:p>
    <w:p>
      <w:pPr>
        <w:pStyle w:val="ListBullet"/>
      </w:pPr>
      <w:r>
        <w:t>회원사: FCA(또는 패스포팅 약정을 통한 동등 EU/EEA 감독기관)의 인가를 받아야 하며, LSE에 회원자격 신청</w:t>
      </w:r>
    </w:p>
    <w:p>
      <w:pPr>
        <w:pStyle w:val="ListBullet"/>
      </w:pPr>
      <w:r>
        <w:t>회원 유형: 매매 회원(직접 전자 접속), 시장조성자 (마켓메이커), 후원 접속(후원 회원사를 통해)</w:t>
      </w:r>
    </w:p>
    <w:p>
      <w:pPr>
        <w:pStyle w:val="ListBullet"/>
      </w:pPr>
      <w:r>
        <w:t>요건: 적절한 재무자원, 유능한 인력, 견고한 시스템 및 통제, 컴플라이언스 체계</w:t>
      </w:r>
    </w:p>
    <w:p>
      <w:pPr>
        <w:pStyle w:val="ListBullet"/>
      </w:pPr>
      <w:r>
        <w:t>일반청산회원(GCM): 거래 청산을 위해 지정 중앙청산소 (중앙거래상대방)(LCH 등)의 회원이어야 함</w:t>
      </w:r>
    </w:p>
    <w:p>
      <w:pPr>
        <w:pStyle w:val="Heading3"/>
      </w:pPr>
      <w:r>
        <w:t>7.2 접속 방법 (Connection Methods)</w:t>
      </w:r>
    </w:p>
    <w:p>
      <w:pPr>
        <w:pStyle w:val="ListBullet"/>
      </w:pPr>
      <w:r>
        <w:t>LSE Extranet: 안정적 접속을 위한 전용 관리 네트워크 서비스</w:t>
      </w:r>
    </w:p>
    <w:p>
      <w:pPr>
        <w:pStyle w:val="ListBullet"/>
      </w:pPr>
      <w:r>
        <w:t>코로케이션 (전산센터 공동입주) / 근접 호스팅: 주 전산센터 내 코로케이션 랙에서의 직접 크로스 커넥트</w:t>
      </w:r>
    </w:p>
    <w:p>
      <w:pPr>
        <w:pStyle w:val="ListBullet"/>
      </w:pPr>
      <w:r>
        <w:t>제3자 네트워크: 승인된 네트워크 제공자(BT Radianz, IPC 등)를 통해</w:t>
      </w:r>
    </w:p>
    <w:p>
      <w:pPr>
        <w:pStyle w:val="ListBullet"/>
      </w:pPr>
      <w:r>
        <w:t>VPN: 소규모 참가자를 위한 보안 VPN 접속 옵션 [미확인]</w:t>
      </w:r>
    </w:p>
    <w:p>
      <w:pPr>
        <w:pStyle w:val="ListBullet"/>
      </w:pPr>
      <w:r>
        <w:t>인터넷: 일반적으로 운영 거래에 사용되지 않음; 테스트/UAT에 이용 가능할 수 있음</w:t>
      </w:r>
    </w:p>
    <w:p>
      <w:pPr>
        <w:pStyle w:val="Heading3"/>
      </w:pPr>
      <w:r>
        <w:t>7.3 코로케이션 (전산센터 공동입주) / 근접 서비스 (Co-location / Proximity Services)</w:t>
      </w:r>
    </w:p>
    <w:p>
      <w:pPr>
        <w:pStyle w:val="ListBullet"/>
      </w:pPr>
      <w:r>
        <w:t>주 전산센터: Interxion LON1(City of London)에 위치하여 매매체결엔진 (매칭엔진)과 근접 [미확인 — 일부 출처에서는 특정 LSEG 시장에 대해 LD4 Slough 인용]</w:t>
      </w:r>
    </w:p>
    <w:p>
      <w:pPr>
        <w:pStyle w:val="ListBullet"/>
      </w:pPr>
      <w:r>
        <w:t>크로스 커넥트: 최저 지연시간을 위한 직접 광섬유 크로스 커넥트 이용 가능</w:t>
      </w:r>
    </w:p>
    <w:p>
      <w:pPr>
        <w:pStyle w:val="ListBullet"/>
      </w:pPr>
      <w:r>
        <w:t>근접 호스팅: 매매체결엔진 (매칭엔진)과 동일 데이터센터 내 랙 공간, 전력, 냉각</w:t>
      </w:r>
    </w:p>
    <w:p>
      <w:pPr>
        <w:pStyle w:val="ListBullet"/>
      </w:pPr>
      <w:r>
        <w:t>추가 시장: Equinix LD4(Slough)에 Turquoise 및 BATS Chi-X Europe 포함 관련 시장 호스팅</w:t>
      </w:r>
    </w:p>
    <w:p>
      <w:pPr>
        <w:pStyle w:val="ListBullet"/>
      </w:pPr>
      <w:r>
        <w:t>제3자 제공자(예: Beeks Group)를 통한 관리형 호스팅 서비스 이용 가능</w:t>
      </w:r>
    </w:p>
    <w:p>
      <w:pPr>
        <w:pStyle w:val="Heading3"/>
      </w:pPr>
      <w:r>
        <w:t>7.4 API 프로토콜 (API Protocols)</w:t>
      </w:r>
    </w:p>
    <w:p>
      <w:pPr>
        <w:pStyle w:val="ListBullet"/>
      </w:pPr>
      <w:r>
        <w:t>Native Trading Gateway: 독점 바이너리 프로토콜(SAIL); 최저 지연시간(~126마이크로초); MIT203 사양</w:t>
      </w:r>
    </w:p>
    <w:p>
      <w:pPr>
        <w:pStyle w:val="ListBullet"/>
      </w:pPr>
      <w:r>
        <w:t>FIX 5.0 SP2 Trading Gateway: 주문입력 및 체결을 위한 업계 표준 FIX 프로토콜 (금융정보교환 규약); MIT202 사양</w:t>
      </w:r>
    </w:p>
    <w:p>
      <w:pPr>
        <w:pStyle w:val="ListBullet"/>
      </w:pPr>
      <w:r>
        <w:t>Drop Copy Gateway: FIX 5.0 기반; 체결 및 주문 갱신의 실시간 사본; MIT205 사양</w:t>
      </w:r>
    </w:p>
    <w:p>
      <w:pPr>
        <w:pStyle w:val="ListBullet"/>
      </w:pPr>
      <w:r>
        <w:t>MITCH Market Data: Level 1 및 Level 2 시장데이터용 바이너리 프로토콜(MIT303)</w:t>
      </w:r>
    </w:p>
    <w:p>
      <w:pPr>
        <w:pStyle w:val="ListBullet"/>
      </w:pPr>
      <w:r>
        <w:t>Reference Data Service: 종목 참조데이터용 MIT401 사양</w:t>
      </w:r>
    </w:p>
    <w:p>
      <w:pPr>
        <w:pStyle w:val="Heading3"/>
      </w:pPr>
      <w:r>
        <w:t>7.5 인증 / 테스트 (Certification / Testing)</w:t>
      </w:r>
    </w:p>
    <w:p>
      <w:pPr>
        <w:pStyle w:val="ListBullet"/>
      </w:pPr>
      <w:r>
        <w:t>Customer Development Service(CDS): 회원사의 접속 및 주문관리 테스트를 위한 운영 기능 복제 테스트 환경</w:t>
      </w:r>
    </w:p>
    <w:p>
      <w:pPr>
        <w:pStyle w:val="ListBullet"/>
      </w:pPr>
      <w:r>
        <w:t>적합성 테스트: 운영 접속 전 필수; 올바른 메시지 처리, 주문관리, 오류 처리 검증</w:t>
      </w:r>
    </w:p>
    <w:p>
      <w:pPr>
        <w:pStyle w:val="ListBullet"/>
      </w:pPr>
      <w:r>
        <w:t>신규 릴리즈 테스트: 시스템 업그레이드에 대해 회원사에 사전 통보 및 테스트 시간 제공</w:t>
      </w:r>
    </w:p>
    <w:p>
      <w:pPr>
        <w:pStyle w:val="ListBullet"/>
      </w:pPr>
      <w:r>
        <w:t>기술 계정관리팀: londontam@lseg.com — 온보딩 및 인증 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(매매거래중단) (Risk Controls &amp; Circuit Breakers)</w:t>
      </w:r>
    </w:p>
    <w:p>
      <w:pPr>
        <w:pStyle w:val="Heading3"/>
      </w:pPr>
      <w:r>
        <w:t>8.1 가격제한 (Price Limits)</w:t>
      </w:r>
    </w:p>
    <w:p>
      <w:pPr>
        <w:pStyle w:val="ListBullet"/>
      </w:pPr>
      <w:r>
        <w:t>LSE는 고정 일일 가격제한을 부과하지 않는다 (상한/하한 없음)</w:t>
      </w:r>
    </w:p>
    <w:p>
      <w:pPr>
        <w:pStyle w:val="ListBullet"/>
      </w:pPr>
      <w:r>
        <w:t>대신 비정상적 가격변동 탐지를 위한 동적 및 정적 가격모니터링 밴드를 사용</w:t>
      </w:r>
    </w:p>
    <w:p>
      <w:pPr>
        <w:pStyle w:val="ListBullet"/>
      </w:pPr>
      <w:r>
        <w:t>가격모니터링 기준은 종목별로 설정되며 정기적으로 검토</w:t>
      </w:r>
    </w:p>
    <w:p>
      <w:pPr>
        <w:pStyle w:val="Heading3"/>
      </w:pPr>
      <w:r>
        <w:t>8.2 서킷브레이커 (매매거래중단) (Circuit Breakers)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발동조건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동적 서킷브레이커 (매매거래중단)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체결가가 지속 갱신되는 기준가(최근 거래 기반)로부터 동적 기준 이상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자동 중단; 해당 종목 변동성완화장치 (VI) 발동 시 단일가매매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정적 서킷브레이커 (매매거래중단)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잠재 체결가가 직전 경매 체결가(시가/종가)로부터 정적 기준 이상 이탈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자동 중단; 해당 종목 변동성완화장치 (VI) 발동 시 단일가매매 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FTSE 100 종목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시가 대비 ~8% 이탈 시 정적 서킷브레이커 (매매거래중단) 발동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변동성완화장치 (VI) 발동 시 단일가매매 개시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경매 연장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변동성완화장치 (VI) 발동 시 단일가매매의 예상 체결가가 다시 모니터링 기준 위반 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경매 호가기간 연장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시장가주문 연장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최종 가격모니터링 이벤트(PME) 종료 시 시장가주문이 미체결 상태일 경우 2분 연장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최대 30초의 무작위 종료 기간 뒤따름</w:t>
            </w:r>
          </w:p>
        </w:tc>
      </w:tr>
    </w:tbl>
    <w:p/>
    <w:p>
      <w:pPr>
        <w:pStyle w:val="Heading3"/>
      </w:pPr>
      <w:r>
        <w:t>8.3 사전 리스크 관리 (Pre-trade Risk Controls)</w:t>
      </w:r>
    </w:p>
    <w:p>
      <w:pPr>
        <w:pStyle w:val="ListBullet"/>
      </w:pPr>
      <w:r>
        <w:t>최대 주문가치: 회사/게이트웨이별 설정 가능; 기준 초과 주문 거부</w:t>
      </w:r>
    </w:p>
    <w:p>
      <w:pPr>
        <w:pStyle w:val="ListBullet"/>
      </w:pPr>
      <w:r>
        <w:t>최대 주문수량: 단일 주문의 최대 주식 수 제한</w:t>
      </w:r>
    </w:p>
    <w:p>
      <w:pPr>
        <w:pStyle w:val="ListBullet"/>
      </w:pPr>
      <w:r>
        <w:t>최대 총 대금: 금일 전체 거래가치 합계와 모든 미체결 주문/호가의 가치 합계; 글로벌 및 종목군 수준에서 관리 가능</w:t>
      </w:r>
    </w:p>
    <w:p>
      <w:pPr>
        <w:pStyle w:val="ListBullet"/>
      </w:pPr>
      <w:r>
        <w:t>메시지 스로틀링: 시스템 과부하 방지를 위한 초당 주문 제출 건수 제한</w:t>
      </w:r>
    </w:p>
    <w:p>
      <w:pPr>
        <w:pStyle w:val="ListBullet"/>
      </w:pPr>
      <w:r>
        <w:t>가격 칼라 점검: 현재 시장가와 크게 괴리된 주문은 거부될 수 있음</w:t>
      </w:r>
    </w:p>
    <w:p>
      <w:pPr>
        <w:pStyle w:val="ListBullet"/>
      </w:pPr>
      <w:r>
        <w:t>리스크 관리자: 일반적으로 일반청산회원(GCM), 중앙청산소 (중앙거래상대방), 또는 회원사 자체가 GUI를 통해 실시간으로 사전 거래 한도를 설정하고 모니터링 가능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GUI 킬 스위치: 리스크관리 인터페이스를 통해 이용 가능; 권한 있는 인력이 특정 CompID 또는 사용자의 모든 미체결 주문 취소 가능</w:t>
      </w:r>
    </w:p>
    <w:p>
      <w:pPr>
        <w:pStyle w:val="ListBullet"/>
      </w:pPr>
      <w:r>
        <w:t>전화 킬 스위치: LSE 시장운영팀에 연락하여 활성화 가능; 감사 목적으로 서면(이메일) 확인이 뒤따라야 함</w:t>
      </w:r>
    </w:p>
    <w:p>
      <w:pPr>
        <w:pStyle w:val="ListBullet"/>
      </w:pPr>
      <w:r>
        <w:t>범위: 매매 게이트웨이 CompID, Native UserID, 또는 전체 회사에 걸친 모든 주문 취소 가능</w:t>
      </w:r>
    </w:p>
    <w:p>
      <w:pPr>
        <w:pStyle w:val="ListBullet"/>
      </w:pPr>
      <w:r>
        <w:t>실시간 모니터링: 리스크 익스포저가 실시간 모니터링됨; 설정 기준 위반 시 경보 전송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감독기관 (Supervising Authority)</w:t>
      </w:r>
    </w:p>
    <w:p>
      <w:pPr>
        <w:pStyle w:val="ListBullet"/>
      </w:pPr>
      <w:r>
        <w:t>Financial Conduct Authority(FCA): 금융서비스 및 시장법 2000(FSMA)에 따라 공인투자거래소(RIE)로서 LSE의 주 감독기관</w:t>
      </w:r>
    </w:p>
    <w:p>
      <w:pPr>
        <w:pStyle w:val="ListBullet"/>
      </w:pPr>
      <w:r>
        <w:t>Bank of England / Prudential Regulation Authority(PRA): 시스템적으로 중요한 금융 인프라의 건전성 감독</w:t>
      </w:r>
    </w:p>
    <w:p>
      <w:pPr>
        <w:pStyle w:val="ListBullet"/>
      </w:pPr>
      <w:r>
        <w:t>HM Treasury: 입법 체계 수립 (예: 브렉시트 후 EU 규정 국내법화)</w:t>
      </w:r>
    </w:p>
    <w:p>
      <w:pPr>
        <w:pStyle w:val="Heading3"/>
      </w:pPr>
      <w:r>
        <w:t>9.2 주요 규제 (Key Regulations)</w:t>
      </w:r>
    </w:p>
    <w:p>
      <w:pPr>
        <w:pStyle w:val="ListBullet"/>
      </w:pPr>
      <w:r>
        <w:t>UK MiFID 체계: 브렉시트 후 국내법화된 MiFID II/MiFIR 버전, 거래시장, 투명성, 투자자 보호 규율</w:t>
      </w:r>
    </w:p>
    <w:p>
      <w:pPr>
        <w:pStyle w:val="ListBullet"/>
      </w:pPr>
      <w:r>
        <w:t>Market Abuse Regulation(UK MAR): 내부자거래, 시장조작, 내부정보의 불법 공개 금지</w:t>
      </w:r>
    </w:p>
    <w:p>
      <w:pPr>
        <w:pStyle w:val="ListBullet"/>
      </w:pPr>
      <w:r>
        <w:t>Financial Services and Markets Act 2000(FSMA): 영국 금융서비스를 규율하는 주 입법; RIE 인가 체계 제공</w:t>
      </w:r>
    </w:p>
    <w:p>
      <w:pPr>
        <w:pStyle w:val="ListBullet"/>
      </w:pPr>
      <w:r>
        <w:t>Listing Rules / Prospectus Regulation: FCA Listing Rules가 공식 목록 편입 규율; UK Prospectus Regulation이 증권 공모 규율</w:t>
      </w:r>
    </w:p>
    <w:p>
      <w:pPr>
        <w:pStyle w:val="ListBullet"/>
      </w:pPr>
      <w:r>
        <w:t>Transparency Directive(DTRs): 상장증권 발행인에 대한 공시 및 투명성 규칙</w:t>
      </w:r>
    </w:p>
    <w:p>
      <w:pPr>
        <w:pStyle w:val="ListBullet"/>
      </w:pPr>
      <w:r>
        <w:t>Settlement Discipline Regime: 결제 효율성을 위한 UK CSDR 규정</w:t>
      </w:r>
    </w:p>
    <w:p>
      <w:pPr>
        <w:pStyle w:val="Heading3"/>
      </w:pPr>
      <w:r>
        <w:t>9.3 시장감시 (Market Surveillance)</w:t>
      </w:r>
    </w:p>
    <w:p>
      <w:pPr>
        <w:pStyle w:val="ListBullet"/>
      </w:pPr>
      <w:r>
        <w:t>LSE 시장감시: Millennium Surveillance 기술을 활용하여 의심스러운 패턴, 잠재적 시장남용, 규칙 위반에 대한 거래활동 실시간 모니터링</w:t>
      </w:r>
    </w:p>
    <w:p>
      <w:pPr>
        <w:pStyle w:val="ListBullet"/>
      </w:pPr>
      <w:r>
        <w:t>FCA 시장모니터링: FCA는 UK MiFIR Article 26에 따라 기업이 제출한 거래보고 데이터를 사용하여 자체 감시 수행</w:t>
      </w:r>
    </w:p>
    <w:p>
      <w:pPr>
        <w:pStyle w:val="ListBullet"/>
      </w:pPr>
      <w:r>
        <w:t>의심거래 및 주문보고(STOR): 회원사는 의심스러운 활동을 FCA에 보고해야 함</w:t>
      </w:r>
    </w:p>
    <w:p>
      <w:pPr>
        <w:pStyle w:val="ListBullet"/>
      </w:pPr>
      <w:r>
        <w:t>교차시장 감시: 영국 및 국제 감독기관과의 조율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거래보고: 투자기업은 UK MiFIR Article 26에 따라 거래당 65개 데이터 필드를 T+1(익영업일 종료까지)에 FCA에 보고 필수</w:t>
      </w:r>
    </w:p>
    <w:p>
      <w:pPr>
        <w:pStyle w:val="ListBullet"/>
      </w:pPr>
      <w:r>
        <w:t>사후 거래 투명성: 체결 세부정보(가격, 거래량, 시간) 가능한 실시간에 가깝게 공시; 대규모 및 비유동성 종목에 대한 공시 유예 가능</w:t>
      </w:r>
    </w:p>
    <w:p>
      <w:pPr>
        <w:pStyle w:val="ListBullet"/>
      </w:pPr>
      <w:r>
        <w:t>사전 거래 투명성: 호가창 종목에 대한 매수/매도호가 및 심도 공시</w:t>
      </w:r>
    </w:p>
    <w:p>
      <w:pPr>
        <w:pStyle w:val="ListBullet"/>
      </w:pPr>
      <w:r>
        <w:t>공매도 공시: 순 공매도 포지션이 발행주식 자본금의 0.2% 초과 시 FCA에 보고; 0.5% 초과 시 공개 공시</w:t>
      </w:r>
    </w:p>
    <w:p>
      <w:pPr>
        <w:pStyle w:val="ListBullet"/>
      </w:pPr>
      <w:r>
        <w:t>대량 지분 공시: 의결권의 3% 및 이후 1%씩 초과 시 공시 필요 (DTR 5)</w:t>
      </w:r>
    </w:p>
    <w:p>
      <w:pPr>
        <w:pStyle w:val="ListBullet"/>
      </w:pPr>
      <w:r>
        <w:t>연간/반기 재무보고: DTR에 따라 발행인에게 요구</w:t>
      </w:r>
    </w:p>
    <w:p>
      <w:pPr>
        <w:pStyle w:val="Heading3"/>
      </w:pPr>
      <w:r>
        <w:t>9.5 국제 협력 (Cross-border Arrangements)</w:t>
      </w:r>
    </w:p>
    <w:p>
      <w:pPr>
        <w:pStyle w:val="ListBullet"/>
      </w:pPr>
      <w:r>
        <w:t>브렉시트 후 영국은 독립적 규제 체계를 운영; EU 동등성 결정은 제한적</w:t>
      </w:r>
    </w:p>
    <w:p>
      <w:pPr>
        <w:pStyle w:val="ListBullet"/>
      </w:pPr>
      <w:r>
        <w:t>영국 소재 기업은 현지 EU 회원국 규칙에 따라 EU 시장에 접근 가능 (포괄적 패스포팅 없음)</w:t>
      </w:r>
    </w:p>
    <w:p>
      <w:pPr>
        <w:pStyle w:val="ListBullet"/>
      </w:pPr>
      <w:r>
        <w:t>해외 기업은 FCA 인가를 신청하여 LSE에 접근 가능</w:t>
      </w:r>
    </w:p>
    <w:p>
      <w:pPr>
        <w:pStyle w:val="ListBullet"/>
      </w:pPr>
      <w:r>
        <w:t>정보공유 및 감독 협력을 위한 국제 감독기관과의 양해각서(MoU)</w:t>
      </w:r>
    </w:p>
    <w:p>
      <w:pPr>
        <w:pStyle w:val="ListBullet"/>
      </w:pPr>
      <w:r>
        <w:t>IOSCO MMOU 서명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수익모델 (Fees &amp; Revenue Model)</w:t>
      </w:r>
    </w:p>
    <w:p>
      <w:pPr>
        <w:pStyle w:val="Heading3"/>
      </w:pPr>
      <w:r>
        <w:t>10.1 매매수수료 (Trading Fees)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체결수수료 (주식/ETF)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가치 기반 (종가 기준)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거래대금의 ~0.45 bps (가격 패키지 및 거래량 등급에 따라 변동) [추정치]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거래소 수수료 (Interactive Brokers 경유)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건당, 가치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x 0.000045 (0.45 bps), 최소 0.10-0.11 GBP/건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Hidden/Iceberg 주문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x 0.000025 (0.25 bps), 최소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소매 주문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지정 소매 주문흐름에 대해 경감/면제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x 0.0000 (특정 스킴 경유 무료)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건당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건당 0.06 GBP (LCH EquityClear)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SETSqx / SEAQ 거래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가치 기반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SETS와 다른 수수료 체계 [구체적 요율 미공개 확인]</w:t>
            </w:r>
          </w:p>
        </w:tc>
      </w:tr>
    </w:tbl>
    <w:p/>
    <w:p>
      <w:pPr>
        <w:pStyle w:val="Heading3"/>
      </w:pPr>
      <w:r>
        <w:t>10.2 기타 수수료 (Other Fees)</w:t>
      </w:r>
    </w:p>
    <w:p>
      <w:pPr>
        <w:pStyle w:val="ListBullet"/>
      </w:pPr>
      <w:r>
        <w:t>회원자격 / 연회비: 연간 매매 회원수수료; 회사 유형별 차등 [구체적 금액 미공개]</w:t>
      </w:r>
    </w:p>
    <w:p>
      <w:pPr>
        <w:pStyle w:val="ListBullet"/>
      </w:pPr>
      <w:r>
        <w:t>접속 수수료: 매매 게이트웨이 접속, 시장데이터 접속, 코로케이션 (전산센터 공동입주) 크로스 커넥트별 요금</w:t>
      </w:r>
    </w:p>
    <w:p>
      <w:pPr>
        <w:pStyle w:val="ListBullet"/>
      </w:pPr>
      <w:r>
        <w:t>시장데이터 수수료: Level 1 및 Level 2 데이터의 사용자별 및 엔터프라이즈 라이선싱; 실시간 vs. 지연 별도 가격</w:t>
      </w:r>
    </w:p>
    <w:p>
      <w:pPr>
        <w:pStyle w:val="ListBullet"/>
      </w:pPr>
      <w:r>
        <w:t>상장수수료 (최초): 시가총액에 따라 변동; Main Market 최초 상장수수료는 수천 GBP부터 시작</w:t>
      </w:r>
    </w:p>
    <w:p>
      <w:pPr>
        <w:pStyle w:val="ListBullet"/>
      </w:pPr>
      <w:r>
        <w:t>상장수수료 (연간): 상장 유지를 위한 연간수수료; 소규모 발행인의 경우 상장년도에 GBP 1,525 비례배분으로 시작; 시가총액에 따라 증가</w:t>
      </w:r>
    </w:p>
    <w:p>
      <w:pPr>
        <w:pStyle w:val="ListBullet"/>
      </w:pPr>
      <w:r>
        <w:t>테스트/인증 수수료: Customer Development Service(CDS) 테스트 환경 사용 요금</w:t>
      </w:r>
    </w:p>
    <w:p>
      <w:pPr>
        <w:pStyle w:val="ListBullet"/>
      </w:pPr>
      <w:r>
        <w:t>가격 패키지: LSE는 거래량 기반 가격 패키지 제공; 기업은 전월 마지막 영업일 15:00까지 clients@lseg.com에 통지하여 매월 패키지 변경 가능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 (System Upgrades)</w:t>
      </w:r>
    </w:p>
    <w:p>
      <w:pPr>
        <w:pStyle w:val="ListBullet"/>
      </w:pPr>
      <w:r>
        <w:t>2021-2022년: Millennium Exchange 지속 강화; LCH EquityClear가 신규 LSEG Technology 사후거래 플랫폼으로 이전</w:t>
      </w:r>
    </w:p>
    <w:p>
      <w:pPr>
        <w:pStyle w:val="ListBullet"/>
      </w:pPr>
      <w:r>
        <w:t>2023년: 매매체결엔진 (매칭엔진) 지연시간 감소 및 용량 업그레이드 지속 [미확인 세부사항]</w:t>
      </w:r>
    </w:p>
    <w:p>
      <w:pPr>
        <w:pStyle w:val="ListBullet"/>
      </w:pPr>
      <w:r>
        <w:t>2024년: LSEG Workspace 플랫폼 대폭 강화; Microsoft Cloud 파트너십 첫 상품 출시; 2025년 클라우드 기반 데이터 전달 파이프라인 강화</w:t>
      </w:r>
    </w:p>
    <w:p>
      <w:pPr>
        <w:pStyle w:val="ListBullet"/>
      </w:pPr>
      <w:r>
        <w:t>2025년: 매매시스템 안정성 개선; 시장데이터 인프라 강화 [미확인]</w:t>
      </w:r>
    </w:p>
    <w:p>
      <w:pPr>
        <w:pStyle w:val="ListBullet"/>
      </w:pPr>
      <w:r>
        <w:t>2026년: Digital Markets Infrastructure(DMI) 블록체인 결제 이니셔티브 발표, Microsoft Azure 분산원장 기술 활용, 규제 승인 대기 중</w:t>
      </w:r>
    </w:p>
    <w:p>
      <w:pPr>
        <w:pStyle w:val="Heading3"/>
      </w:pPr>
      <w:r>
        <w:t>신규 상품/세그먼트 (New Products / Segments)</w:t>
      </w:r>
    </w:p>
    <w:p>
      <w:pPr>
        <w:pStyle w:val="ListBullet"/>
      </w:pPr>
      <w:r>
        <w:t>Voluntary Carbon Market(VCM): LSE가 2024년 자발적 탄소시장 출시 [미확인]</w:t>
      </w:r>
    </w:p>
    <w:p>
      <w:pPr>
        <w:pStyle w:val="ListBullet"/>
      </w:pPr>
      <w:r>
        <w:t>PISCES (Private Intermittent Securities and Capital Exchange System): LSE를 통한 비상장기업 주식거래를 위한 영국 정부 후원 이니셔티브; 2024년 샌드박스 출시 [미확인]</w:t>
      </w:r>
    </w:p>
    <w:p>
      <w:pPr>
        <w:pStyle w:val="ListBullet"/>
      </w:pPr>
      <w:r>
        <w:t>LSEG Sustainability Ratings and Data: 2026년 3월 출시, 투자자를 위한 ESG 점수 및 지속가능성 분석 제공</w:t>
      </w:r>
    </w:p>
    <w:p>
      <w:pPr>
        <w:pStyle w:val="ListBullet"/>
      </w:pPr>
      <w:r>
        <w:t>Closing Price Crossing 세션: 종가단일가매매 (장마감 경매) 프로세스 강화</w:t>
      </w:r>
    </w:p>
    <w:p>
      <w:pPr>
        <w:pStyle w:val="Heading3"/>
      </w:pPr>
      <w:r>
        <w:t>규제 변화 (Regulatory Changes)</w:t>
      </w:r>
    </w:p>
    <w:p>
      <w:pPr>
        <w:pStyle w:val="ListBullet"/>
      </w:pPr>
      <w:r>
        <w:t>UK Listing Rules 개혁: FCA가 2024년 주요 상장 체계 개혁 완료, Premium과 Standard 세그먼트를 2024년 7월부 단일 상장 카테고리로 통합</w:t>
      </w:r>
    </w:p>
    <w:p>
      <w:pPr>
        <w:pStyle w:val="ListBullet"/>
      </w:pPr>
      <w:r>
        <w:t>UK MiFIR 검토: FCA가 영국 거래보고 체계 개선에 관한 토론문서 발간(의견 접수 2025년 2월 마감); 2025-2026년 자문서 발간 예정</w:t>
      </w:r>
    </w:p>
    <w:p>
      <w:pPr>
        <w:pStyle w:val="ListBullet"/>
      </w:pPr>
      <w:r>
        <w:t>Edinburgh Reforms: 브렉시트 후 영국 정부의 광범위한 금융서비스 개혁 패키지, 상장, 투자설명서, 거래시장 규제에 영향</w:t>
      </w:r>
    </w:p>
    <w:p>
      <w:pPr>
        <w:pStyle w:val="ListBullet"/>
      </w:pPr>
      <w:r>
        <w:t>결제주기: 영국에서 T+2에서 T+1 결제로의 전환에 대한 업계 논의 (EU 일정과 잠재적 연계, 2027년 예상)</w:t>
      </w:r>
    </w:p>
    <w:p>
      <w:pPr>
        <w:pStyle w:val="ListBullet"/>
      </w:pPr>
      <w:r>
        <w:t>공매도 규제: 영국이 브렉시트 후 갱신된 FCA 규칙으로 공매도 체계 개혁 중</w:t>
      </w:r>
    </w:p>
    <w:p>
      <w:pPr>
        <w:pStyle w:val="Heading3"/>
      </w:pPr>
      <w:r>
        <w:t>전략적 이니셔티브 (Strategic Initiatives)</w:t>
      </w:r>
    </w:p>
    <w:p>
      <w:pPr>
        <w:pStyle w:val="ListBullet"/>
      </w:pPr>
      <w:r>
        <w:t>Microsoft 파트너십: 클라우드 인프라, 데이터 전달, AI 통합을 위한 심층 전략적 파트너십; Microsoft Azure 및 Teams를 통해 상품 전달</w:t>
      </w:r>
    </w:p>
    <w:p>
      <w:pPr>
        <w:pStyle w:val="ListBullet"/>
      </w:pPr>
      <w:r>
        <w:t>AI &amp; ChatGPT 통합: LSEG 금융데이터가 OpenAI ChatGPT에 통합 (2025년 12월 발표); AI 소비를 위한 데이터 및 분석 포지셔닝</w:t>
      </w:r>
    </w:p>
    <w:p>
      <w:pPr>
        <w:pStyle w:val="ListBullet"/>
      </w:pPr>
      <w:r>
        <w:t>자사주 매입 프로그램: 2025년에 주주에 21억 GBP 환원; 2027년 2월까지 30억 GBP 프로그램 완료 예정</w:t>
      </w:r>
    </w:p>
    <w:p>
      <w:pPr>
        <w:pStyle w:val="ListBullet"/>
      </w:pPr>
      <w:r>
        <w:t>2027-2029 성장 프레임워크: 총 수입의 연간 중고 한자릿수 유기적 고정환율 성장 목표; 구독 기반 매출 가속</w:t>
      </w:r>
    </w:p>
    <w:p>
      <w:pPr>
        <w:pStyle w:val="ListBullet"/>
      </w:pPr>
      <w:r>
        <w:t>IPO 파이프라인: 2025년 4분기부터 2026년까지 런던 IPO 시장 회복, 수년간의 침체 후 파이프라인 개선</w:t>
      </w:r>
    </w:p>
    <w:p>
      <w:pPr>
        <w:pStyle w:val="ListBullet"/>
      </w:pPr>
      <w:r>
        <w:t>데이터 및 분석 주도: Refinitiv 인수 후 데이터 및 분석이 LSEG 매출의 ~70% 차지; 데이터셋, 클라우드 전달, 실시간 역량에 지속 투자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r>
        <w:t>[Source: London Stock Exchange Official Website, "londonstockexchange.com", accessed 2026-04-03]</w:t>
      </w:r>
    </w:p>
    <w:p>
      <w:r>
        <w:t>[Source: LSEG Official Website, "lseg.com - About Us / History", accessed 2026-04-03]</w:t>
      </w:r>
    </w:p>
    <w:p>
      <w:r>
        <w:t>[Source: LSEG, "Preliminary Results for Year Ended 31 December 2025", accessed 2026-04-03]</w:t>
      </w:r>
    </w:p>
    <w:p>
      <w:r>
        <w:t>[Source: LSEG, "Preliminary Results for Year Ended 31 December 2024", accessed 2026-04-03]</w:t>
      </w:r>
    </w:p>
    <w:p>
      <w:r>
        <w:t>[Source: LSE Docs, "MIT201 - Guide to the Trading System Issue 15.6", accessed 2026-04-03]</w:t>
      </w:r>
    </w:p>
    <w:p>
      <w:r>
        <w:t>[Source: LSE Docs, "Trading Services Price List, Effective 01 January 2025", accessed 2026-04-03]</w:t>
      </w:r>
    </w:p>
    <w:p>
      <w:r>
        <w:t>[Source: LSE Docs, "Fees for Issuers, Effective 01 January 2026", accessed 2026-04-03]</w:t>
      </w:r>
    </w:p>
    <w:p>
      <w:r>
        <w:t>[Source: LSE Docs, "MIT303 - Level 2 MITCH Specification Issue 11.9", accessed 2026-04-03]</w:t>
      </w:r>
    </w:p>
    <w:p>
      <w:r>
        <w:t>[Source: LSE Docs, "MIT202 - FIX Trading Gateway (FIX 5.0) Issue 13.1", accessed 2026-04-03]</w:t>
      </w:r>
    </w:p>
    <w:p>
      <w:r>
        <w:t>[Source: LSE Docs, "MIT203 - Native Trading Gateway Specification Issue 17", accessed 2026-04-03]</w:t>
      </w:r>
    </w:p>
    <w:p>
      <w:r>
        <w:t>[Source: LSE Docs, "MIT301 - Guide to Market Data Services Issue 10.1", accessed 2026-04-03]</w:t>
      </w:r>
    </w:p>
    <w:p>
      <w:r>
        <w:t>[Source: LSE Docs, "MIT401 - Guide to Reference Data Services Issue 18.1", accessed 2026-04-03]</w:t>
      </w:r>
    </w:p>
    <w:p>
      <w:r>
        <w:t>[Source: LSE Docs, "MIT1001 - Connectivity Guide Issue 4.2", accessed 2026-04-03]</w:t>
      </w:r>
    </w:p>
    <w:p>
      <w:r>
        <w:t>[Source: LSE Docs, "Maintaining Orderly Markets - Circuit Breakers Explained", accessed 2026-04-03]</w:t>
      </w:r>
    </w:p>
    <w:p>
      <w:r>
        <w:t>[Source: LSE Docs, "ETP Price Monitoring Mechanisms", accessed 2026-04-03]</w:t>
      </w:r>
    </w:p>
    <w:p>
      <w:r>
        <w:t>[Source: LSE Docs, "Exchange Level Controls - Enhanced Pre-Trade Risk Controls Technical Description", accessed 2026-04-03]</w:t>
      </w:r>
    </w:p>
    <w:p>
      <w:r>
        <w:t>[Source: LSE Docs, "Secondary Markets Factsheet June 2025", accessed 2026-04-03]</w:t>
      </w:r>
    </w:p>
    <w:p>
      <w:r>
        <w:t>[Source: Interactive Brokers, "LSE Stock Exchange Fees", accessed 2026-04-03]</w:t>
      </w:r>
    </w:p>
    <w:p>
      <w:r>
        <w:t>[Source: AIM-Watch, "LSE Auctions Explained", accessed 2026-04-03]</w:t>
      </w:r>
    </w:p>
    <w:p>
      <w:r>
        <w:t>[Source: AIM-Watch, "SEAQ, SETS &amp; SETSqx Trading Systems Explained", accessed 2026-04-03]</w:t>
      </w:r>
    </w:p>
    <w:p>
      <w:r>
        <w:t>[Source: Computerworld, "London Stock Exchange declares Millennium IT migration successful", accessed 2026-04-03]</w:t>
      </w:r>
    </w:p>
    <w:p>
      <w:r>
        <w:t>[Source: IEEE Spectrum, "London Stock Exchange New Trading Platform Twice as Fast as Rivals", accessed 2026-04-03]</w:t>
      </w:r>
    </w:p>
    <w:p>
      <w:r>
        <w:t>[Source: Statista, "London Stock Exchange statistics &amp; facts", accessed 2026-04-03]</w:t>
      </w:r>
    </w:p>
    <w:p>
      <w:r>
        <w:t>[Source: FCA, "Regulation of markets in financial instruments", accessed 2026-04-03]</w:t>
      </w:r>
    </w:p>
    <w:p>
      <w:r>
        <w:t>[Source: ESMA, "MiFID II Article 49 Tick Sizes / RTS 11", accessed 2026-04-03]</w:t>
      </w:r>
    </w:p>
    <w:p>
      <w:r>
        <w:t>[Source: Crowdfund Insider, "LSEG Enhances Digital Markets Infrastructure With On-Chain Settlement", February 2026, accessed 2026-04-03]</w:t>
      </w:r>
    </w:p>
    <w:p>
      <w:r>
        <w:t>[Source: Ballotpedia News, "LSEG launches new ESG scores", March 2026, accessed 2026-04-03]</w:t>
      </w:r>
    </w:p>
    <w:p>
      <w:r>
        <w:t>[Source: EY UK, "IPO Eye Q4 2025 - London Stock Exchange", January 2026, accessed 2026-04-03]</w:t>
      </w:r>
    </w:p>
    <w:p>
      <w:r>
        <w:t>[Source: TS2 Tech, "LSEG Stock: ChatGPT Deal, Buyback and 2026 Price Targets", December 2025, accessed 2026-04-03]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