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Nasdaq Nordic (OMX 북유럽 거래소)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Stockholm (Stockholmsborsen), Nasdaq Helsinki (Helsingin Porssi), Nasdaq Copenhagen (Kobenhavns Fondsbors), Nasdaq Iceland (Kaupholl Islands), Nasdaq Tallinn, Nasdaq Riga, Nasdaq Vilnius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통칭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Nordic (북유럽); Nasdaq Baltic (발트해)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https://www.nasdaqomxnordic.com / https://www.nasdaqbaltic.com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스톡홀름: 1863년; 헬싱키: 1912년; 코펜하겐: 1808년; 아이슬란드: 1985년; OMX 설립: 2003년; Nasdaq의 OMX 인수: 2008년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스웨덴(스톡홀름), 핀란드(헬싱키), 덴마크(코펜하겐), 아이슬란드(레이캬비크), 에스토니아(탈린), 라트비아(리가), 리투아니아(빌뉴스)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Inc.의 완전 자회사 (Nasdaq 미국에 상장, 종목코드: NDAQ)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**스웨덴:** Finansinspektionen (FI); **핀란드:** Finanssivalvonta (FIN-FSA); **덴마크:** Finanstilsynet; **아이슬란드:** 아이슬란드 중앙은행 (FME); **에스토니아:** Finantsinspektsioon (EFSA); **라트비아:** FCMC; **리투아니아:** Lietuvos Bankas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합산 시가총액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말 기준 약 2,003억 유로 (북유럽 + 발트해 합산)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말 기준 약 1,119개사: 메인마켓 약 675개사 (북유럽 + 발트해), First North Growth Market 약 444개사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32.38억 유로 (2025년 연간 주식), 2024년 29.71억 유로 대비 9.0% 증가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주요 지수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OMXS30(스톡홀름 30), OMXH25(헬싱키 25), OMXC25(코펜하겐 25), OMXN40(북유럽 40), OMXN120(북유럽 120), OMX All-Share 지수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1808년: 코펜하겐 증권거래소 설립</w:t>
      </w:r>
    </w:p>
    <w:p>
      <w:pPr>
        <w:pStyle w:val="ListBullet"/>
      </w:pPr>
      <w:r>
        <w:t>1863년: 스톡홀름 증권거래소 설립</w:t>
      </w:r>
    </w:p>
    <w:p>
      <w:pPr>
        <w:pStyle w:val="ListBullet"/>
      </w:pPr>
      <w:r>
        <w:t>1912년: 헬싱키 증권거래소 설립</w:t>
      </w:r>
    </w:p>
    <w:p>
      <w:pPr>
        <w:pStyle w:val="ListBullet"/>
      </w:pPr>
      <w:r>
        <w:t>1985년: 아이슬란드 증권거래소 설립; OM AB (Optionsmaklarna) 설립</w:t>
      </w:r>
    </w:p>
    <w:p>
      <w:pPr>
        <w:pStyle w:val="ListBullet"/>
      </w:pPr>
      <w:r>
        <w:t>1998년: OM AB, 스톡홀름 증권거래소 인수</w:t>
      </w:r>
    </w:p>
    <w:p>
      <w:pPr>
        <w:pStyle w:val="ListBullet"/>
      </w:pPr>
      <w:r>
        <w:t>2003년: OM AB와 HEX plc(핀란드) 합병으로 OMX AB 설립, 스톡홀름 및 헬싱키 거래소 통합</w:t>
      </w:r>
    </w:p>
    <w:p>
      <w:pPr>
        <w:pStyle w:val="ListBullet"/>
      </w:pPr>
      <w:r>
        <w:t>2004-2005년: OMX, 아이슬란드 및 코펜하겐 증권거래소 인수</w:t>
      </w:r>
    </w:p>
    <w:p>
      <w:pPr>
        <w:pStyle w:val="ListBullet"/>
      </w:pPr>
      <w:r>
        <w:t>2006년: 개별 종목 리스트를 통합 북유럽 리스트로 합치는 가상 북유럽증권거래소 출범</w:t>
      </w:r>
    </w:p>
    <w:p>
      <w:pPr>
        <w:pStyle w:val="ListBullet"/>
      </w:pPr>
      <w:r>
        <w:t>2007년: Nasdaq, 약 37억 달러에 OMX 인수 합의</w:t>
      </w:r>
    </w:p>
    <w:p>
      <w:pPr>
        <w:pStyle w:val="ListBullet"/>
      </w:pPr>
      <w:r>
        <w:t>2008년: 인수 완료 (2008년 2월 27일); NASDAQ OMX Group으로 개명</w:t>
      </w:r>
    </w:p>
    <w:p>
      <w:pPr>
        <w:pStyle w:val="ListBullet"/>
      </w:pPr>
      <w:r>
        <w:t>2010년: 발트해 거래소(탈린, 리가, 빌뉴스) NASDAQ OMX 체제에 완전 통합</w:t>
      </w:r>
    </w:p>
    <w:p>
      <w:pPr>
        <w:pStyle w:val="ListBullet"/>
      </w:pPr>
      <w:r>
        <w:t>2015년: NASDAQ OMX Group이 Nasdaq, Inc.로 개명; OMX AB가 Nasdaq AB로 개명</w:t>
      </w:r>
    </w:p>
    <w:p>
      <w:pPr>
        <w:pStyle w:val="ListBullet"/>
      </w:pPr>
      <w:r>
        <w:t>2018년: MiFID II 호가단위(최소가격변동폭) 체제가 전 Nasdaq Nordic 및 Baltic 시장에 시행 (2018년 1월 2일)</w:t>
      </w:r>
    </w:p>
    <w:p>
      <w:pPr>
        <w:pStyle w:val="ListBullet"/>
      </w:pPr>
      <w:r>
        <w:t>2025년: 보조 데이터센터를 PORT에서 STOCKHOLM SOUTH (Equinix SK2)로 이전; 12억 유로 초과의 기록적 채권 상장; 방위 채권 프레임워크 출시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**Large Cap**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시가총액 10억 유로 이상 기업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규제시장 입회; 3년 영업실적; 25% 유동주식비율; IFRS 감사 재무제표; 현지 FSA 승인 투자설명서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**Mid Cap**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시가총액 1.5억~10억 유로 기업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 Cap과 동일; 시가총액 기준에 의한 세분화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**Small Cap**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시가총액 1.5억 유로 미만 기업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 Cap과 동일; 시가총액 기준에 의한 세분화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**First North Growth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소형/성장기업을 위한 MTF; MiFID II 하 SME 성장시장으로 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Certified Adviser 지정 필수; 메인마켓보다 완화된 요건; 최소 시가총액 없음; 간소화된 투자설명서 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**First North Premier Growth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메인마켓 상장 준비 기업을 위한 First North의 상위 부문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First North보다 높은 공시 및 회계 요건; IFRS 적합 재무제표 필수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**Nasdaq Baltic 메인마켓**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탈린, 리가, 빌뉴스의 규제시장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지침에 맞춘 현지 상장 규정; 일반적으로 북유럽 메인마켓보다 낮은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**Nasdaq Baltic First North**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발트해 국가의 MTF 부문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완화된 요건; Certified Adviser 필수</w:t>
            </w:r>
          </w:p>
        </w:tc>
      </w:tr>
    </w:tbl>
    <w:p/>
    <w:p>
      <w:r>
        <w:t>시가총액 부문 검토는 11월 평균 시가총액을 기준으로 매년 실시된다. 2026년 1월 2일 기준 35개사가 부문 변경(22개사 상위 부문, 13개사 하위 부문 이동).</w:t>
      </w:r>
    </w:p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시간 (CET)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장전 / 주문접수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~08:00 - 09:00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입력, 수정, 취소 가능; 매칭 미발생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시가단일가매매(개장 경매) 호출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장전 기간 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가격 발견을 위한 주문 집적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시가단일가매매(개장 경매) 언크로싱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게이밍 방지를 위해 09:00:00~09:00:05 사이 랜덤 언크로싱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접속매매(연속매매)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09:00 - 17:25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주문주도형 연속 매칭; 점심시간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종가단일가매매(장마감 경매) 호출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17:25 - 17:30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종가 결정을 위한 주문 집적 [미확인 정확한 시간 -- 시장별 상이 가능]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종가단일가매매(장마감 경매) 언크로싱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~17:30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언크로싱에 의한 종가 결정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종가매매 (Trading@Closing Price)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17:30 - 17:40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확정된 종가에서만 체결 가능 (코펜하겐: 17:00-17:10 CET) [미확인]</w:t>
            </w:r>
          </w:p>
        </w:tc>
      </w:tr>
    </w:tbl>
    <w:p/>
    <w:p>
      <w:r>
        <w:t>참고: 아이슬란드는 GMT(UTC+0)로 CET-1. 시장별(스톡홀름, 헬싱키, 코펜하겐, 아이슬란드, 발트해) 구체적 매매시간은 약간 상이할 수 있다.</w:t>
      </w:r>
    </w:p>
    <w:p>
      <w:pPr>
        <w:pStyle w:val="Heading3"/>
      </w:pPr>
      <w:r>
        <w:t>2.3 호가단위 (Tick Sizes)</w:t>
      </w:r>
    </w:p>
    <w:p>
      <w:r>
        <w:t>Nasdaq Nordic 및 Baltic 시장은 2018년 1월 2일부터 시행된 MiFID II 호가단위(최소가격변동폭) 체제 (RTS 11)를 따른다.</w:t>
      </w:r>
    </w:p>
    <w:p>
      <w:pPr>
        <w:pStyle w:val="ListBullet"/>
      </w:pPr>
      <w:r>
        <w:t>호가단위(최소가격변동폭)는 가격 수준과 유동성 밴드 (일평균거래건수, ADNT 기준)의 매트릭스로 결정</w:t>
      </w:r>
    </w:p>
    <w:p>
      <w:pPr>
        <w:pStyle w:val="ListBullet"/>
      </w:pPr>
      <w:r>
        <w:t>전 EU/EEA 규제시장에서 사용되는 것과 동일한 호가단위(최소가격변동폭) 표 (MiFID II 하 조화)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(유로)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저유동성 (&lt; 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중유동성 (80-600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고유동성 (&gt;= 9000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0.2 - 0.5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0.1 - 0.2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0.02 - 0.05</w:t>
            </w:r>
          </w:p>
        </w:tc>
      </w:tr>
    </w:tbl>
    <w:p/>
    <w:p>
      <w:r>
        <w:t>[출처: ESMA RTS 11; 대표적 일부 -- 전체 표는 13개 가격 범위 x 6개 유동성 밴드]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대부분 주식에 대해 1주</w:t>
      </w:r>
    </w:p>
    <w:p>
      <w:pPr>
        <w:pStyle w:val="ListBullet"/>
      </w:pPr>
      <w:r>
        <w:t>단주 매매 지원</w:t>
      </w:r>
    </w:p>
    <w:p>
      <w:pPr>
        <w:pStyle w:val="ListBullet"/>
      </w:pPr>
      <w:r>
        <w:t>MiFID II 대규모(LIS) 면제에 의한 대량매매 기준, 상품 유동성에 따라 상이</w:t>
      </w:r>
    </w:p>
    <w:p>
      <w:pPr>
        <w:pStyle w:val="Heading3"/>
      </w:pPr>
      <w:r>
        <w:t>2.5 시장조성자(마켓메이커) / 유동성공급자 프로그램</w:t>
      </w:r>
    </w:p>
    <w:p>
      <w:pPr>
        <w:pStyle w:val="ListBullet"/>
      </w:pPr>
      <w:r>
        <w:t>Nasdaq Nordic은 시장조성자(마켓메이커)가 지정된 스프레드 및 수량 범위 내에서 지속적 양방향 호가를 유지하는 유동성공급자 프로그램 운영</w:t>
      </w:r>
    </w:p>
    <w:p>
      <w:pPr>
        <w:pStyle w:val="ListBullet"/>
      </w:pPr>
      <w:r>
        <w:t>등록 시장조성자(마켓메이커)는 인센티브로 매매 수수료 할인을 받을 수 있음</w:t>
      </w:r>
    </w:p>
    <w:p>
      <w:pPr>
        <w:pStyle w:val="ListBullet"/>
      </w:pPr>
      <w:r>
        <w:t>First North Growth Market은 Certified Adviser 필요 (시장조성자(마켓메이커)가 아닌 자문 역할); 일부 First North 종목에도 유동성공급자 배치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</w:t>
      </w:r>
    </w:p>
    <w:p>
      <w:pPr>
        <w:pStyle w:val="ListBullet"/>
      </w:pPr>
      <w:r>
        <w:t>시가단일가매매(개장 경매): 장전 단계 동안 주문 집적. 09:00 CET에 체결 가능 수량을 최대화하는 시가 경매 언크로싱. 각 호가장은 조작 방지를 위해 5초 창(09:00:00-09:00:05) 내 랜덤 언크로싱</w:t>
      </w:r>
    </w:p>
    <w:p>
      <w:pPr>
        <w:pStyle w:val="ListBullet"/>
      </w:pPr>
      <w:r>
        <w:t>종가단일가매매(장마감 경매): 접속매매(연속매매) 종료 시(약 17:25 CET) 종가 호출 기간 진입. 약 17:30 CET 종가 경매 언크로싱으로 공식 종가 결정</w:t>
      </w:r>
    </w:p>
    <w:p>
      <w:pPr>
        <w:pStyle w:val="ListBullet"/>
      </w:pPr>
      <w:r>
        <w:t>정기 장중 경매: "Auction Only" 매매 부문의 저유동성 종목에 대해 정기적 장중 경매가 접속매매(연속매매) 없이 설정 간격(예: 11:00, 13:00, 15:00 CET)으로 실시</w:t>
      </w:r>
    </w:p>
    <w:p>
      <w:pPr>
        <w:pStyle w:val="ListBullet"/>
      </w:pPr>
      <w:r>
        <w:t>변동성 경매: 잠재적 체결가가 Volatility Guard 기준을 위반할 때 발동. 접속매매(연속매매) 중단 후 60-180초의 경매 호출 기간 실시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가격/시간 우선원칙의 주문주도형 시장</w:t>
      </w:r>
    </w:p>
    <w:p>
      <w:pPr>
        <w:pStyle w:val="ListBullet"/>
      </w:pPr>
      <w:r>
        <w:t>시가 및 종가 경매 사이(약 09:00-17:25 CET) 연속 매칭 실시</w:t>
      </w:r>
    </w:p>
    <w:p>
      <w:pPr>
        <w:pStyle w:val="ListBullet"/>
      </w:pPr>
      <w:r>
        <w:t>INET 매매체결엔진(매칭엔진)이 엄격한 가격/시간 우선원칙으로 호가장에 대해 수신 주문 처리</w:t>
      </w:r>
    </w:p>
    <w:p>
      <w:pPr>
        <w:pStyle w:val="ListBullet"/>
      </w:pPr>
      <w:r>
        <w:t>다크 주문 기능(숨김 및 중간가 주문) 이용 가능</w:t>
      </w:r>
    </w:p>
    <w:p>
      <w:pPr>
        <w:pStyle w:val="Heading3"/>
      </w:pPr>
      <w:r>
        <w:t>3.3 가격 발견</w:t>
      </w:r>
    </w:p>
    <w:p>
      <w:pPr>
        <w:pStyle w:val="ListBullet"/>
      </w:pPr>
      <w:r>
        <w:t>주요 가격 발견은 시가 및 종가 경매를 통해 발생</w:t>
      </w:r>
    </w:p>
    <w:p>
      <w:pPr>
        <w:pStyle w:val="ListBullet"/>
      </w:pPr>
      <w:r>
        <w:t>언크로싱 알고리즘은 체결 가능 수량 최대화 후, 잉여 최소화, 직전 가격 참조</w:t>
      </w:r>
    </w:p>
    <w:p>
      <w:pPr>
        <w:pStyle w:val="ListBullet"/>
      </w:pPr>
      <w:r>
        <w:t>Volatility Guard의 기준가는 최근 거래(동적) 및 당일 시가 경매 가격(정적)을 기반으로 동적 갱신</w:t>
      </w:r>
    </w:p>
    <w:p>
      <w:pPr>
        <w:pStyle w:val="ListBullet"/>
      </w:pPr>
      <w:r>
        <w:t>종가매매 세션은 확정된 종가에서 추가 거래량을 허용하여 장마감 유동성 보장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매수/매도; 즉시 매칭되지 않으면 호가장에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체결; 미매칭 잔량 취소</w:t>
            </w:r>
          </w:p>
        </w:tc>
      </w:tr>
    </w:tbl>
    <w:p/>
    <w:p>
      <w:pPr>
        <w:pStyle w:val="Heading3"/>
      </w:pPr>
      <w:r>
        <w:t>4.2 고급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빙산주문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가시적 부분(피크)만 표시; 숨겨진 예비 물량이 피크 체결 시 자동 보충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숨김주문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수량이 공개 호가장에서 숨겨짐; 동일 가격의 표시 주문보다 낮은 우선순위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중간가주문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매수/매도 호가의 중간가에 연동; 다크북에서 체결 [미확인]</w:t>
            </w:r>
          </w:p>
        </w:tc>
      </w:tr>
    </w:tbl>
    <w:p/>
    <w:p>
      <w:pPr>
        <w:pStyle w:val="Heading3"/>
      </w:pPr>
      <w:r>
        <w:t>4.3 주문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 (DAY)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유효; 장마감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취소 시까지 유효 (거래소 최대 기간 적용)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만기일까지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수량 즉시 체결;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전체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Open (ATO)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시가단일가매매(개장 경매) 중에만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Close (ATC)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종가단일가매매(장마감 경매) 중에만 유효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**INET Nordic** (주식, ETF, 워런트, 인증서); **Genium INET** (파생상품, 채권)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(Nasdaq Technology)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분산형, 저지연 아키텍처; 이벤트 구동형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엄격한 가격/시간 우선원칙의 중앙 매매체결엔진(매칭엔진); 다중 자산군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평균 100마이크로초 미만 (Genium INET 백본)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1,000,000 메시지 이상 처리 능력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타임스탬프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나노초 정밀도 (자정 UTC 이후 나노초)</w:t>
            </w:r>
          </w:p>
        </w:tc>
      </w:tr>
    </w:tbl>
    <w:p/>
    <w:p>
      <w:pPr>
        <w:pStyle w:val="Heading3"/>
      </w:pPr>
      <w:r>
        <w:t>프로토콜 버전 (2025년 기준): OUCH 5.02.6, FIX Order Entry 2.02.2, TotalView-ITCH 3.04.5</w:t>
      </w:r>
    </w:p>
    <w:p>
      <w:pPr>
        <w:pStyle w:val="Heading3"/>
      </w:pPr>
      <w:r>
        <w:t>기술 스택 (Technology Stack)</w:t>
      </w:r>
    </w:p>
    <w:p>
      <w:pPr>
        <w:pStyle w:val="ListBullet"/>
      </w:pPr>
      <w:r>
        <w:t>프로토콜: OUCH (네이티브 주문 입력, 최저 지연시간), FIX (업계 표준 주문 입력), ITCH (UDP 멀티캐스트 시장 데이터), GLIMPSE (스냅샷 복구), FIX Drop Copy</w:t>
      </w:r>
    </w:p>
    <w:p>
      <w:pPr>
        <w:pStyle w:val="ListBullet"/>
      </w:pPr>
      <w:r>
        <w:t>시장 데이터: TotalView-ITCH가 시장 참가자 속성을 포함한 전체 주문 깊이 제공; MoldUDP64 패킷 형식의 UDP/IP 멀티캐스트로 전달</w:t>
      </w:r>
    </w:p>
    <w:p>
      <w:pPr>
        <w:pStyle w:val="Heading3"/>
      </w:pPr>
      <w:r>
        <w:t>재해복구 / 업무연속성</w:t>
      </w:r>
    </w:p>
    <w:p>
      <w:pPr>
        <w:pStyle w:val="ListBullet"/>
      </w:pPr>
      <w:r>
        <w:t>주 데이터센터: Vasby (Upplands Vasby), 스톡홀름 북부</w:t>
      </w:r>
    </w:p>
    <w:p>
      <w:pPr>
        <w:pStyle w:val="ListBullet"/>
      </w:pPr>
      <w:r>
        <w:t>보조 데이터센터: STOCKHOLM SOUTH (Equinix SK2) -- 2025년 4-9월 PORT에서 이전</w:t>
      </w:r>
    </w:p>
    <w:p>
      <w:pPr>
        <w:pStyle w:val="ListBullet"/>
      </w:pPr>
      <w:r>
        <w:t>주 및 보조 사이트의 이중 시장 데이터 피드</w:t>
      </w:r>
    </w:p>
    <w:p>
      <w:pPr>
        <w:pStyle w:val="ListBullet"/>
      </w:pPr>
      <w:r>
        <w:t>주 사이트와 보조 사이트 간 실시간 복제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TotalView-ITCH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참가자 속성을 포함한 전체 주문별 호가 깊이; UDP 멀티캐스트 네이티브 바이너리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HFT 및 알고리즘 매매를 위한 초저지연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ITCH Level 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가격 수준의 집계된 매수/매도 호가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애플리케이션을 위한 표준 시장 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프로토콜에 의한 시장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표준화된 FIX 접속 선호 회사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GLIMPSE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기반 스냅샷/복구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초기 상태 재구축 및 갭 복구</w:t>
            </w:r>
          </w:p>
        </w:tc>
      </w:tr>
    </w:tbl>
    <w:p/>
    <w:p>
      <w:pPr>
        <w:pStyle w:val="Heading3"/>
      </w:pPr>
      <w:r>
        <w:t>6.2 데이터 수준</w:t>
      </w:r>
    </w:p>
    <w:p>
      <w:pPr>
        <w:pStyle w:val="ListBullet"/>
      </w:pPr>
      <w:r>
        <w:t>Level 1: 최우선 매수/매도 호가(BBO), 최근 체결가, 거래량</w:t>
      </w:r>
    </w:p>
    <w:p>
      <w:pPr>
        <w:pStyle w:val="ListBullet"/>
      </w:pPr>
      <w:r>
        <w:t>Level 2: 5개 가격 수준의 집계된 깊이</w:t>
      </w:r>
    </w:p>
    <w:p>
      <w:pPr>
        <w:pStyle w:val="ListBullet"/>
      </w:pPr>
      <w:r>
        <w:t>TotalView (전체 깊이): 속성 포함 전체 호가장 깊이, 주문별 세분화</w:t>
      </w:r>
    </w:p>
    <w:p>
      <w:pPr>
        <w:pStyle w:val="ListBullet"/>
      </w:pPr>
      <w:r>
        <w:t>지연 데이터: 15분 지연 피드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</w:t>
      </w:r>
    </w:p>
    <w:p>
      <w:pPr>
        <w:pStyle w:val="ListBullet"/>
      </w:pPr>
      <w:r>
        <w:t>회원은 해당 현지 금융감독기관(또는 동등한 EU/EEA 규제기관)의 인가 필요</w:t>
      </w:r>
    </w:p>
    <w:p>
      <w:pPr>
        <w:pStyle w:val="ListBullet"/>
      </w:pPr>
      <w:r>
        <w:t>유형: 직접 회원, 원격 회원(타 EU/EEA국), 스폰서드 액세스 참가자</w:t>
      </w:r>
    </w:p>
    <w:p>
      <w:pPr>
        <w:pStyle w:val="Heading3"/>
      </w:pPr>
      <w:r>
        <w:t>7.2 접속 방법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Direct Link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Nordic에 대한 전용 네트워크 접속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인가 Extranet/VPN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승인된 네트워크 제공업체 경유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코로케이션(전산센터 공동입주)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Vasby 주 데이터센터 코로케이션(전산센터 공동입주) 랙에서 직접 크로스커넥트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Point-of-Presence (PoP)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런던 및 프랑크푸르트의 Nasdaq PoP 서비스</w:t>
            </w:r>
          </w:p>
        </w:tc>
      </w:tr>
    </w:tbl>
    <w:p/>
    <w:p>
      <w:pPr>
        <w:pStyle w:val="Heading3"/>
      </w:pPr>
      <w:r>
        <w:t>7.3 코로케이션(전산센터 공동입주) / 근접 서비스</w:t>
      </w:r>
    </w:p>
    <w:p>
      <w:pPr>
        <w:pStyle w:val="ListBullet"/>
      </w:pPr>
      <w:r>
        <w:t>위치: Vasby (Upplands Vasby), 스톡홀름, 스웨덴 -- 주 데이터센터</w:t>
      </w:r>
    </w:p>
    <w:p>
      <w:pPr>
        <w:pStyle w:val="ListBullet"/>
      </w:pPr>
      <w:r>
        <w:t>서비스: 랙 공간, 전력, 냉각, 매매체결엔진(매칭엔진)에 대한 직접 크로스커넥트</w:t>
      </w:r>
    </w:p>
    <w:p>
      <w:pPr>
        <w:pStyle w:val="ListBullet"/>
      </w:pPr>
      <w:r>
        <w:t>매매체결엔진(매칭엔진) 사이트 코로케이션(전산센터 공동입주)을 통한 최저 지연시간</w:t>
      </w:r>
    </w:p>
    <w:p>
      <w:pPr>
        <w:pStyle w:val="Heading3"/>
      </w:pPr>
      <w:r>
        <w:t>7.4 API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OUCH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네이티브 바이너리 주문 입력; 최저 지연시간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업계 표준 주문 입력 및 체결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ITCH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배포 (발신 전용)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GLIMPSE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데이터 스냅샷 복구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</w:t>
      </w:r>
    </w:p>
    <w:p>
      <w:pPr>
        <w:pStyle w:val="ListBullet"/>
      </w:pPr>
      <w:r>
        <w:t>Nasdaq Nordic은 고정 일일 가격제한을 부과하지 않는다 (상한/하한 백분율 제한 없음)</w:t>
      </w:r>
    </w:p>
    <w:p>
      <w:pPr>
        <w:pStyle w:val="ListBullet"/>
      </w:pPr>
      <w:r>
        <w:t>대신 비정상적 가격 변동을 감지 및 관리하기 위한 Volatility Guard (동적 및 정적) 사용</w:t>
      </w:r>
    </w:p>
    <w:p>
      <w:pPr>
        <w:pStyle w:val="Heading3"/>
      </w:pPr>
      <w:r>
        <w:t>8.2 서킷브레이커(매매거래중단) (Volatility Guards)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 Volatility Guard**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체결가가 **최근 체결가**(지속 갱신 기준)에서 백분율 기준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접속매매(연속매매) 중단; 60-180초 변동성 경매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 Volatility Guard**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잠재적 체결가가 **기준가**(통상 당일 시가 경매 가격)에서 백분율 기준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접속매매(연속매매) 중단; 60-180초 변동성 경매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**경매 안전장치**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 경매 언크로싱 가격이 동적 Volatility Guard 기준의 2배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기간 연장</w:t>
            </w:r>
          </w:p>
        </w:tc>
      </w:tr>
    </w:tbl>
    <w:p/>
    <w:p>
      <w:pPr>
        <w:pStyle w:val="ListBullet"/>
      </w:pPr>
      <w:r>
        <w:t>Volatility Guard 기준은 종목별로 설정되고 거래소가 주기적으로 검토</w:t>
      </w:r>
    </w:p>
    <w:p>
      <w:pPr>
        <w:pStyle w:val="Heading3"/>
      </w:pPr>
      <w:r>
        <w:t>8.3 사전 위험 통제 (PRM)</w:t>
      </w:r>
    </w:p>
    <w:p>
      <w:r>
        <w:t>Nasdaq Nordic의 Pre-trade Risk Management (PRM) 서비스는 OUCH 및 FIX 프로토콜을 통한 주문을 검증한다: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통제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**Blow-Through Protection**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이탈을 제출 전 확인하여 Volatility Guard 발동 방지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금액**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회사별 설정 가능; 기준 초과 주문 거부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**최대 주문 수량**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 주문당 최대 주식 수 제한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**오류 주문 방지**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 및 수량 합리성 점검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**메시지 제한 조절**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주문 접수율 제한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**FIX Drop On-Disconnect**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클라이언트 연결 해제 시 전 미체결 주문 자동 취소 및 신규 주문 입력 차단</w:t>
            </w:r>
          </w:p>
        </w:tc>
      </w:tr>
    </w:tbl>
    <w:p/>
    <w:p>
      <w:r>
        <w:t>PRM은 주문 체결에 지연시간을 추가하지 않도록 설계되었다. MiFID II 제48조에 의한 ESMA 자동매매 시스템 및 통제 지침 준수.</w:t>
      </w:r>
    </w:p>
    <w:p>
      <w:pPr>
        <w:pStyle w:val="Heading3"/>
      </w:pPr>
      <w:r>
        <w:t>8.4 긴급 차단 (Kill Switch)</w:t>
      </w:r>
    </w:p>
    <w:p>
      <w:pPr>
        <w:pStyle w:val="ListBullet"/>
      </w:pPr>
      <w:r>
        <w:t>대량 취소를 위한 긴급 차단: 회사 또는 사용자의 전 미체결 주문을 취소하는 관리자 기능</w:t>
      </w:r>
    </w:p>
    <w:p>
      <w:pPr>
        <w:pStyle w:val="ListBullet"/>
      </w:pPr>
      <w:r>
        <w:t>PRM 인터페이스를 통해 이용 가능</w:t>
      </w:r>
    </w:p>
    <w:p>
      <w:pPr>
        <w:pStyle w:val="ListBullet"/>
      </w:pPr>
      <w:r>
        <w:t>회원사 또는 Nasdaq Market Operations의 요청에 의해 활성화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국가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규제기관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**스웨덴**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Finansinspektionen (FI)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Stockholm을 규제시장으로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**핀란드**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Finanssivalvonta (FIN-FSA)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Helsinki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**덴마크**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Finanstilsynet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Copenhagen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**아이슬란드**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아이슬란드 중앙은행 / FME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Iceland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**에스토니아**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Finantsinspektsioon (EFSA)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Tallinn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**라트비아**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FCMC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Riga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**리투아니아**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Lietuvos Bankas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Vilnius 감독</w:t>
            </w:r>
          </w:p>
        </w:tc>
      </w:tr>
    </w:tbl>
    <w:p/>
    <w:p>
      <w:r>
        <w:t>각 거래소 법인은 해당 관할권에서 규제시장 인가(메인마켓) 및/또는 MTF 인가(First North)를 보유한다. 공동 Nasdaq Nordic 브랜딩 및 조화된 규정 하에 운영되지만, 각 법인은 국가 규제기관의 감독을 받는 별도 법인이다.</w:t>
      </w:r>
    </w:p>
    <w:p>
      <w:pPr>
        <w:pStyle w:val="Heading3"/>
      </w:pPr>
      <w:r>
        <w:t>9.2 주요 규정</w:t>
      </w:r>
    </w:p>
    <w:p>
      <w:pPr>
        <w:pStyle w:val="ListBullet"/>
      </w:pPr>
      <w:r>
        <w:t>MiFID II / MiFIR: 전 Nasdaq Nordic 및 Baltic 시장의 핵심 규제 프레임워크; 투명성, 최선집행, 투자자 보호, 알고리즘 매매 통제, 호가단위(최소가격변동폭) 관할</w:t>
      </w:r>
    </w:p>
    <w:p>
      <w:pPr>
        <w:pStyle w:val="ListBullet"/>
      </w:pPr>
      <w:r>
        <w:t>Market Abuse Regulation (MAR): 내부자거래, 시장 조작, 내부정보 불법 공개에 대한 EU 전체 금지</w:t>
      </w:r>
    </w:p>
    <w:p>
      <w:pPr>
        <w:pStyle w:val="ListBullet"/>
      </w:pPr>
      <w:r>
        <w:t>투자설명서규정: 증권 공모 및 매매 입회를 관할하는 EU 규정</w:t>
      </w:r>
    </w:p>
    <w:p>
      <w:pPr>
        <w:pStyle w:val="ListBullet"/>
      </w:pPr>
      <w:r>
        <w:t>투명성지침: 상장 증권 발행자의 공시 요건</w:t>
      </w:r>
    </w:p>
    <w:p>
      <w:pPr>
        <w:pStyle w:val="ListBullet"/>
      </w:pPr>
      <w:r>
        <w:t>CSDR (중앙예탁기관규정): 결제 규율 및 CSD 인가 관할</w:t>
      </w:r>
    </w:p>
    <w:p>
      <w:pPr>
        <w:pStyle w:val="Heading3"/>
      </w:pPr>
      <w:r>
        <w:t>9.3 시장 감시</w:t>
      </w:r>
    </w:p>
    <w:p>
      <w:pPr>
        <w:pStyle w:val="ListBullet"/>
      </w:pPr>
      <w:r>
        <w:t>Nasdaq Nordic 시장감시: 전 북유럽 및 발트해 시장의 잠재적 시장남용, 의심 패턴, 규정 위반에 대한 중앙집중형 실시간 감시 모니터링</w:t>
      </w:r>
    </w:p>
    <w:p>
      <w:pPr>
        <w:pStyle w:val="ListBullet"/>
      </w:pPr>
      <w:r>
        <w:t>의심거래 및 주문 보고(STORs)가 관련 FSA에 제출</w:t>
      </w:r>
    </w:p>
    <w:p>
      <w:pPr>
        <w:pStyle w:val="Heading3"/>
      </w:pPr>
      <w:r>
        <w:t>9.4 역외 협력 / 북유럽 협력</w:t>
      </w:r>
    </w:p>
    <w:p>
      <w:pPr>
        <w:pStyle w:val="ListBullet"/>
      </w:pPr>
      <w:r>
        <w:t>조화된 규정집: Nasdaq Nordic은 공동 북유럽 메인마켓 발행자 규정집으로 운영, 현지 보충규정(Supplement A~D)으로 현지 법적 요건 존중</w:t>
      </w:r>
    </w:p>
    <w:p>
      <w:pPr>
        <w:pStyle w:val="ListBullet"/>
      </w:pPr>
      <w:r>
        <w:t>EU/EEA 패스포팅: 하나의 EU/EEA국에서 인가된 회원사가 MiFID II 패스포팅에 의해 추가 현지 인가 없이 타 Nasdaq Nordic/Baltic 시장 접근 가능</w:t>
      </w:r>
    </w:p>
    <w:p>
      <w:pPr>
        <w:pStyle w:val="ListBullet"/>
      </w:pPr>
      <w:r>
        <w:t>Nasdaq CSD SE: 라트비아에서 인가되어 에스토니아, 라트비아, 리투아니아, 아이슬란드에 걸쳐 운영되는 단일 CSD 법인, EU CSDR 패스포팅에 의한 조화된 사후거래 인프라 촉진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체결 수수료 (주식)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비례(ad valorem) + 가능한 고정 거래당 요소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거래량 등급 및 가격 패키지에 따라 상이; Nasdaq Nordic Cash Market Fee List 참조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라우팅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타 시장으로 라우팅된 주문에 대한 추가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 체결 수수료에 추가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시장조성자(마켓메이커)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등록 유동성공급자에 대한 수수료 할인 또는 리베이트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지속적 호가 제시 장려</w:t>
            </w:r>
          </w:p>
        </w:tc>
      </w:tr>
    </w:tbl>
    <w:p/>
    <w:p>
      <w:pPr>
        <w:pStyle w:val="Heading3"/>
      </w:pPr>
      <w:r>
        <w:t>10.2 기타 수수료</w:t>
      </w:r>
    </w:p>
    <w:p>
      <w:pPr>
        <w:pStyle w:val="ListBullet"/>
      </w:pPr>
      <w:r>
        <w:t>상장 수수료: 시가총액 및 시장 부문 기준 초기 및 연간 상장 수수료</w:t>
      </w:r>
    </w:p>
    <w:p>
      <w:pPr>
        <w:pStyle w:val="ListBullet"/>
      </w:pPr>
      <w:r>
        <w:t>시장 데이터 수수료: 실시간, 지연, 파생 데이터별 사용자 및 기업 라이선스 차등 가격</w:t>
      </w:r>
    </w:p>
    <w:p>
      <w:pPr>
        <w:pStyle w:val="ListBullet"/>
      </w:pPr>
      <w:r>
        <w:t>코로케이션(전산센터 공동입주) 수수료: Vasby 데이터센터의 랙 공간, 크로스커넥트, 전력 비용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</w:t>
      </w:r>
    </w:p>
    <w:p>
      <w:pPr>
        <w:pStyle w:val="ListBullet"/>
      </w:pPr>
      <w:r>
        <w:t>2021년: INET Nordic을 위한 차세대 OUCH 및 FIX 프로토콜 도입</w:t>
      </w:r>
    </w:p>
    <w:p>
      <w:pPr>
        <w:pStyle w:val="ListBullet"/>
      </w:pPr>
      <w:r>
        <w:t>2025년: PORT에서 STOCKHOLM SOUTH(Equinix SK2)로 보조 데이터센터 이전 (4-9월)</w:t>
      </w:r>
    </w:p>
    <w:p>
      <w:pPr>
        <w:pStyle w:val="ListBullet"/>
      </w:pPr>
      <w:r>
        <w:t>2025-2026년: 프로토콜 버전 지속 업데이트 (OUCH 5.02.6, TotalView-ITCH 3.04.5)</w:t>
      </w:r>
    </w:p>
    <w:p>
      <w:pPr>
        <w:pStyle w:val="Heading3"/>
      </w:pPr>
      <w:r>
        <w:t>신상품 / 신시장</w:t>
      </w:r>
    </w:p>
    <w:p>
      <w:pPr>
        <w:pStyle w:val="ListBullet"/>
      </w:pPr>
      <w:r>
        <w:t>방위 채권 프레임워크 (2025년): 유럽 최초의 방위 채권 프레임워크 출시; 리투아니아 국영 Valstybiu Investicinis Kapitalas가 최초 발행자(2025년 10월)</w:t>
      </w:r>
    </w:p>
    <w:p>
      <w:pPr>
        <w:pStyle w:val="ListBullet"/>
      </w:pPr>
      <w:r>
        <w:t>지속가능 채권 시장: 800억 유로 이상 상장 규모로 10주년; 북유럽 시장 전체 채권 상장 총 1.2조 유로 초과</w:t>
      </w:r>
    </w:p>
    <w:p>
      <w:pPr>
        <w:pStyle w:val="Heading3"/>
      </w:pPr>
      <w:r>
        <w:t>전략적 이니셔티브</w:t>
      </w:r>
    </w:p>
    <w:p>
      <w:pPr>
        <w:pStyle w:val="ListBullet"/>
      </w:pPr>
      <w:r>
        <w:t>금융범죄 방지 기술: Nasdaq, Tier 1 유럽 은행과 최초 PoC 체결; 유럽금융범죄보고서(2025년) 발간</w:t>
      </w:r>
    </w:p>
    <w:p>
      <w:pPr>
        <w:pStyle w:val="ListBullet"/>
      </w:pPr>
      <w:r>
        <w:t>시장 점유율: Nasdaq Nordic Exchange Network, 2024년 북유럽 주식 거래의 약 72% 시장 점유율 확보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Nasdaq Official, "Nordic About Us &amp; Legal", https://www.nasdaq.com/european-markets/about-nordic-exchanges, accessed 2026-04-06]</w:t>
      </w:r>
    </w:p>
    <w:p>
      <w:r>
        <w:t>[Source: Nasdaq Official, "European Markets Trading Hours", https://www.nasdaq.com/european-market-activity/trading-hours, accessed 2026-04-06]</w:t>
      </w:r>
    </w:p>
    <w:p>
      <w:r>
        <w:t>[Source: Nasdaq Official, "INET Nordic Protocol Specifications", https://www.nasdaq.com/solutions/inet-nordic-protocol-specifications, accessed 2026-04-06]</w:t>
      </w:r>
    </w:p>
    <w:p>
      <w:r>
        <w:t>[Source: Nasdaq Official, "Nasdaq Nordic Market Model 2026-01", accessed 2026-04-06]</w:t>
      </w:r>
    </w:p>
    <w:p>
      <w:r>
        <w:t>[Source: Nasdaq Official, "Pre-Trade Risk Management for INET Nordic", accessed 2026-04-06]</w:t>
      </w:r>
    </w:p>
    <w:p>
      <w:r>
        <w:t>[Source: Nasdaq Official, "Secondary Data Center Relocation 2025", accessed 2026-04-06]</w:t>
      </w:r>
    </w:p>
    <w:p>
      <w:r>
        <w:t>[Source: Nasdaq Official, "Nordic Cash Market Fee List (November 2024)", accessed 2026-04-06]</w:t>
      </w:r>
    </w:p>
    <w:p>
      <w:r>
        <w:t>[Source: Nasdaq Official, "Annual Trading Statistics 2025", accessed 2026-04-06]</w:t>
      </w:r>
    </w:p>
    <w:p>
      <w:r>
        <w:t>[Source: Wikipedia, "Nasdaq Nordic", https://en.wikipedia.org/wiki/Nasdaq_Nordic, accessed 2026-04-06]</w:t>
      </w:r>
    </w:p>
    <w:p>
      <w:r>
        <w:t>[Source: ESMA, "Commission Delegated Regulation (EU) 2017/588 (RTS 11) - MiFID II Tick Sizes"]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