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Saudi Exchange (Tadawul)</w:t>
      </w:r>
    </w:p>
    <w:p>
      <w:r>
        <w:rPr>
          <w:i/>
          <w:sz w:val="18"/>
        </w:rPr>
        <w:t>**최종 업데이트:** 2026-04-06</w:t>
      </w:r>
    </w:p>
    <w:p>
      <w:r>
        <w:rPr>
          <w:i/>
          <w:sz w:val="18"/>
        </w:rPr>
        <w:t>**조사 등급:** Tier 3</w:t>
      </w:r>
    </w:p>
    <w:p>
      <w:r>
        <w:rPr>
          <w:i/>
          <w:sz w:val="18"/>
        </w:rPr>
        <w:t>**도메인:** 주식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정식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Saudi Exchange (구 Saudi Stock Exchange, Tadawul)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약칭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Tadawul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웹사이트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https://www.saudiexchange.sa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설립 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2007년 (주식회사 정식 설립; 전자매매는 2001년부터; 비공식 주식거래는 1954년부터)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소재지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사우디아라비아 / 리야드 (King Fahd Road)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소유 구조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2021년 12월 자사 거래소에 상장 (종목코드: 1111); PIF가 70% 지분 보유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모회사 / 그룹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Saudi Tadawul Group Holding Company (2021년 12월 8일 상장, 공모가 105리얄; IPO 시 시가총액 126억 리얄)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감독 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Capital Market Authority (CMA), 2003년 자본시장법에 의해 설립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시가총액 (상장기업)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2026년 초 기준 약 10조 리얄 이상 (약 2.7조 달러); 중동 최대 거래소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총 상장기업 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약 390개사 이상 (메인마켓 약 230개 및 Nomu 약 80개), ETF, REITs, 수쿡/채권 별도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거래대금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2026년 2월 기준 45.9억 리얄 (12.2억 달러)</w:t>
            </w:r>
          </w:p>
        </w:tc>
      </w:tr>
    </w:tbl>
    <w:p/>
    <w:p>
      <w:pPr>
        <w:pStyle w:val="Heading3"/>
      </w:pPr>
      <w:r>
        <w:t>주요 연혁 (Key Historical Milestones)</w:t>
      </w:r>
    </w:p>
    <w:p>
      <w:pPr>
        <w:pStyle w:val="ListBullet"/>
      </w:pPr>
      <w:r>
        <w:t>1954년: 사우디아라비아에서 비공식 주식거래 시작</w:t>
      </w:r>
    </w:p>
    <w:p>
      <w:pPr>
        <w:pStyle w:val="ListBullet"/>
      </w:pPr>
      <w:r>
        <w:t>1984년: Saudi Arabian Monetary Agency (SAMA)가 주식시장 규제 개시</w:t>
      </w:r>
    </w:p>
    <w:p>
      <w:pPr>
        <w:pStyle w:val="ListBullet"/>
      </w:pPr>
      <w:r>
        <w:t>2001년: Tadawul 전자매매, 청산, 결제 시스템 출범(10월 16일), 수동 처리 대체</w:t>
      </w:r>
    </w:p>
    <w:p>
      <w:pPr>
        <w:pStyle w:val="ListBullet"/>
      </w:pPr>
      <w:r>
        <w:t>2003년: 자본시장법(국왕 칙령 M/30호)에 의한 Capital Market Authority (CMA) 설립</w:t>
      </w:r>
    </w:p>
    <w:p>
      <w:pPr>
        <w:pStyle w:val="ListBullet"/>
      </w:pPr>
      <w:r>
        <w:t>2007년: Saudi Exchange (Tadawul), 2007년 3월 19일 주식회사로 정식 설립, 사우디아라비아 유일의 증권거래소로 인가</w:t>
      </w:r>
    </w:p>
    <w:p>
      <w:pPr>
        <w:pStyle w:val="ListBullet"/>
      </w:pPr>
      <w:r>
        <w:t>2008년: Tadawul, Nasdaq OMX의 SAXESS 매매 플랫폼 사용 개시</w:t>
      </w:r>
    </w:p>
    <w:p>
      <w:pPr>
        <w:pStyle w:val="ListBullet"/>
      </w:pPr>
      <w:r>
        <w:t>2015년: 적격외국인투자자(QFI) 프로그램 출범, 기관 외국인 투자자에 최초 직접 시장 접근 개방; X-Stream INET 매매 플랫폼 출범(9월 13일), 중동 최초로 Nasdaq 최고속 매매 엔진 채택</w:t>
      </w:r>
    </w:p>
    <w:p>
      <w:pPr>
        <w:pStyle w:val="ListBullet"/>
      </w:pPr>
      <w:r>
        <w:t>2017년: SME 상장을 위한 경량 요건의 Nomu -- Parallel Market 출범(2월 26일)</w:t>
      </w:r>
    </w:p>
    <w:p>
      <w:pPr>
        <w:pStyle w:val="ListBullet"/>
      </w:pPr>
      <w:r>
        <w:t>2019년: Saudi Aramco IPO(12월 11일) -- 256억 달러 조달, 세계 최대 규모 IPO; MSCI 신흥시장 및 FTSE Russell EM 지수 편입 완료</w:t>
      </w:r>
    </w:p>
    <w:p>
      <w:pPr>
        <w:pStyle w:val="ListBullet"/>
      </w:pPr>
      <w:r>
        <w:t>2020년: 종가단일가매매(장마감 경매) 및 Trade-at-Last 세션 도입; 결제주기 T+2로 변경</w:t>
      </w:r>
    </w:p>
    <w:p>
      <w:pPr>
        <w:pStyle w:val="ListBullet"/>
      </w:pPr>
      <w:r>
        <w:t>2021년: Saudi Tadawul Group, 4개 자회사 체제의 지주회사로 재편 후 자사 거래소에 상장(12월 8일)</w:t>
      </w:r>
    </w:p>
    <w:p>
      <w:pPr>
        <w:pStyle w:val="ListBullet"/>
      </w:pPr>
      <w:r>
        <w:t>2025년: 기록적 IPO 활동 -- 38건 상장; 2025년 6월 29일 시행 호가단위(최소가격변동폭) 개혁</w:t>
      </w:r>
    </w:p>
    <w:p>
      <w:pPr>
        <w:pStyle w:val="ListBullet"/>
      </w:pPr>
      <w:r>
        <w:t>2026년: QFI 제도 폐지; 2026년 2월 1일부터 모든 외국인 투자자 범주에 장벽 없는 직접 접근 개방</w:t>
      </w:r>
    </w:p>
    <w:p>
      <w:pPr>
        <w:pStyle w:val="Heading3"/>
      </w:pPr>
      <w:r>
        <w:t>전략적 중요성 -- Vision 2030</w:t>
      </w:r>
    </w:p>
    <w:p>
      <w:r>
        <w:t>Saudi Exchange는 사우디 비전 2030 및 금융부문 개발 프로그램(FSDP)의 핵심 요소이다:</w:t>
      </w:r>
    </w:p>
    <w:p>
      <w:pPr>
        <w:pStyle w:val="ListBullet"/>
      </w:pPr>
      <w:r>
        <w:t>석유 의존 탈피: Aramco IPO는 비석유 경제 다각화를 위한 자본 조달 목적</w:t>
      </w:r>
    </w:p>
    <w:p>
      <w:pPr>
        <w:pStyle w:val="ListBullet"/>
      </w:pPr>
      <w:r>
        <w:t>자본시장 심화: 신상품(파생상품, 수쿡, REITs, ETF), 시장 부문(Nomu), 점진적 외국인 투자자 자유화</w:t>
      </w:r>
    </w:p>
    <w:p>
      <w:pPr>
        <w:pStyle w:val="ListBullet"/>
      </w:pPr>
      <w:r>
        <w:t>글로벌 지수 편입: MSCI 및 FTSE Russell EM 편입(2019년)으로 가시성, 외국 자금 유입, 제도적 발전의 선순환 창출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시장 구조 (Market Structure)</w:t>
      </w:r>
    </w:p>
    <w:p>
      <w:pPr>
        <w:pStyle w:val="Heading3"/>
      </w:pPr>
      <w:r>
        <w:t>2.1 시장 구분 (Market Segments)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구분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상장 요건 (요약)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**메인마켓 (TASI)**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Saudi Aramco, SABIC, Al Rajhi Bank 등 우량 대형주를 포함하는 대형/중형주 주요 시장; Tadawul All Share Index (TASI)로 추적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최소 시가총액 3억 리얄; 3년 영업실적; 30% 최소 유동주식비율(시가총액 20억 리얄 초과 시 20%); CMA 승인 투자설명서; 수익성 및 기업지배구조 요건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**Nomu -- Parallel Market**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경량 상장 요건의 SME 성장시장; 적격투자자(기관 및 고액순자산 개인)만 접근 가능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최소 시가총액 1,000만 리얄; 최소 20% 유동주식비율; 수익성 실적 불요; 재무 자문사 지정 필수; 1년 영업실적</w:t>
            </w:r>
          </w:p>
        </w:tc>
      </w:tr>
    </w:tbl>
    <w:p/>
    <w:p>
      <w:pPr>
        <w:pStyle w:val="Heading3"/>
      </w:pPr>
      <w:r>
        <w:t>2.2 매매시간 (Trading Sessions)</w:t>
      </w:r>
    </w:p>
    <w:p>
      <w:r>
        <w:t>참고: 사우디아라비아는 연중 Arabia Standard Time (AST, UTC+3) 사용 (일광절약시간제 없음). 매매 주간은 일요일~목요일 (금요일, 토요일 주말).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현지시간 (AST)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장전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09:30 - 10:00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06:30 - 07:00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주문 입력, 수정, 취소 가능; 매칭 없음; 예상 가격 표시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시가단일가매매(개장 경매)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10:00:00 - 10:00:30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07:00:00 - 07:00:30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30초 창 내 랜덤 언크로싱으로 시가 결정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접속매매(연속매매)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10:00 - 15:00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07:00 - 12:00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가격-시간 우선원칙에 의한 연속 주문 매칭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장전마감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15:00 - 15:10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12:00 - 12:10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종가 경매 주문 집적 기간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종가단일가매매(장마감 경매) 언크로싱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15:10:00 - 15:10:30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12:10:00 - 12:10:30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30초 창 내 랜덤 언크로싱으로 종가 결정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Trade-at-Last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15:10 - 15:20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12:10 - 12:20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종가 경매가에서만 매매 허용</w:t>
            </w:r>
          </w:p>
        </w:tc>
      </w:tr>
    </w:tbl>
    <w:p/>
    <w:p>
      <w:pPr>
        <w:pStyle w:val="ListBullet"/>
      </w:pPr>
      <w:r>
        <w:t>총 접속매매(연속매매): 일 5시간 (10:00-15:00 AST)</w:t>
      </w:r>
    </w:p>
    <w:p>
      <w:pPr>
        <w:pStyle w:val="ListBullet"/>
      </w:pPr>
      <w:r>
        <w:t>점심시간 없음 (많은 아시아 거래소와 상이)</w:t>
      </w:r>
    </w:p>
    <w:p>
      <w:pPr>
        <w:pStyle w:val="ListBullet"/>
      </w:pPr>
      <w:r>
        <w:t>랜덤 개장/마감: 시장 건전성 강화를 위해 시가 및 종가 경매 언크로싱 시간 모두 30초 창 내 랜덤화</w:t>
      </w:r>
    </w:p>
    <w:p>
      <w:pPr>
        <w:pStyle w:val="Heading3"/>
      </w:pPr>
      <w:r>
        <w:t>2.3 호가단위 (Tick Sizes)</w:t>
      </w:r>
    </w:p>
    <w:p>
      <w:r>
        <w:t>주식 호가단위(최소가격변동폭) 범위 (2025년 6월 29일 시행)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가격 범위 (리얄)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호가단위(최소가격변동폭) (리얄)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25.00 미만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0.01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25.00 - 49.98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0.02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50.00 - 99.95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100.00 - 249.90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0.10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250.00 - 499.75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0.25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500.00 이상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0.50</w:t>
            </w:r>
          </w:p>
        </w:tc>
      </w:tr>
    </w:tbl>
    <w:p/>
    <w:p>
      <w:r>
        <w:t>2025년 6월 개혁으로 25리얄 미만 증권의 최소 호가단위(최소가격변동폭)를 0.02리얄에서 0.01리얄로 인하하고, 고가 증권에 대한 새로운 밴드를 도입하였다. 이 개혁은 채무상품을 제외한 메인마켓 및 Nomu 모두에 적용된다.</w:t>
      </w:r>
    </w:p>
    <w:p>
      <w:pPr>
        <w:pStyle w:val="Heading3"/>
      </w:pPr>
      <w:r>
        <w:t>2.4 매매단위 (Lot Sizes)</w:t>
      </w:r>
    </w:p>
    <w:p>
      <w:pPr>
        <w:pStyle w:val="ListBullet"/>
      </w:pPr>
      <w:r>
        <w:t>표준 매매단위(거래단위): 1주 (최소 거래 가능 수량 1주) [미확인]</w:t>
      </w:r>
    </w:p>
    <w:p>
      <w:pPr>
        <w:pStyle w:val="ListBullet"/>
      </w:pPr>
      <w:r>
        <w:t>단주 매매: 이용 가능</w:t>
      </w:r>
    </w:p>
    <w:p>
      <w:pPr>
        <w:pStyle w:val="Heading3"/>
      </w:pPr>
      <w:r>
        <w:t>2.5 시장조성자(마켓메이커) / 유동성공급자 프로그램</w:t>
      </w:r>
    </w:p>
    <w:p>
      <w:pPr>
        <w:pStyle w:val="ListBullet"/>
      </w:pPr>
      <w:r>
        <w:t>Saudi Exchange는 상장 증권의 유동성 향상을 위한 시장조성 프레임워크 운영</w:t>
      </w:r>
    </w:p>
    <w:p>
      <w:pPr>
        <w:pStyle w:val="ListBullet"/>
      </w:pPr>
      <w:r>
        <w:t>시장조성자(마켓메이커)는 CMA 인가를 받고 지속적 양방향 호가 제공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매매 메커니즘 (Trading Mechanism)</w:t>
      </w:r>
    </w:p>
    <w:p>
      <w:pPr>
        <w:pStyle w:val="Heading3"/>
      </w:pPr>
      <w:r>
        <w:t>3.1 경매 메커니즘</w:t>
      </w:r>
    </w:p>
    <w:p>
      <w:pPr>
        <w:pStyle w:val="ListBullet"/>
      </w:pPr>
      <w:r>
        <w:t>시가단일가매매(개장 경매): 장전 단계(09:30-10:00 AST) 동안 매칭 없이 주문 집적. 10:00에 30초 창(10:00:00-10:00:30) 내 랜덤 언크로싱으로 체결 가능 수량을 최대화하는 단일가매매에 의해 시가 결정</w:t>
      </w:r>
    </w:p>
    <w:p>
      <w:pPr>
        <w:pStyle w:val="ListBullet"/>
      </w:pPr>
      <w:r>
        <w:t>종가단일가매매(장마감 경매): 15:00 AST에 장전마감 단계 시작. 10분간 주문 집적. 15:10에 30초 내 랜덤 언크로싱으로 종가 결정. 지수 산출, NAV 계산, 결제에 사용되는 공식 종가</w:t>
      </w:r>
    </w:p>
    <w:p>
      <w:pPr>
        <w:pStyle w:val="ListBullet"/>
      </w:pPr>
      <w:r>
        <w:t>Trade-at-Last: 종가 경매 언크로싱 후(15:10-15:20 AST) 확정된 종가에서만 주문 체결 가능</w:t>
      </w:r>
    </w:p>
    <w:p>
      <w:pPr>
        <w:pStyle w:val="ListBullet"/>
      </w:pPr>
      <w:r>
        <w:t>변동성 경매(인터럽션): 증권 가격이 +/-10% 정적 가격제한에 도달하면 접속매매(연속매매) 중단 후 5분간 단일가매매 실시. 경매 가격이 새로운 기준가가 되고 접속매매(연속매매) 재개</w:t>
      </w:r>
    </w:p>
    <w:p>
      <w:pPr>
        <w:pStyle w:val="Heading3"/>
      </w:pPr>
      <w:r>
        <w:t>3.2 접속매매 (Continuous Trading)</w:t>
      </w:r>
    </w:p>
    <w:p>
      <w:pPr>
        <w:pStyle w:val="ListBullet"/>
      </w:pPr>
      <w:r>
        <w:t>유형: 주문주도형 시장</w:t>
      </w:r>
    </w:p>
    <w:p>
      <w:pPr>
        <w:pStyle w:val="ListBullet"/>
      </w:pPr>
      <w:r>
        <w:t>우선순위: 가격-시간 우선원칙</w:t>
      </w:r>
    </w:p>
    <w:p>
      <w:pPr>
        <w:pStyle w:val="ListBullet"/>
      </w:pPr>
      <w:r>
        <w:t>세션: 10:00 - 15:00 AST (5시간)</w:t>
      </w:r>
    </w:p>
    <w:p>
      <w:pPr>
        <w:pStyle w:val="ListBullet"/>
      </w:pPr>
      <w:r>
        <w:t>매칭: X-Stream INET 엔진에 의한 연속 자동 매칭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주문 유형 (Order Types)</w:t>
      </w:r>
    </w:p>
    <w:p>
      <w:pPr>
        <w:pStyle w:val="Heading3"/>
      </w:pPr>
      <w:r>
        <w:t>4.1 표준 주문 유형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지정가주문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 가격 이상/이하로 매수/매도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시장가주문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최우선 가격으로 즉시 체결</w:t>
            </w:r>
          </w:p>
        </w:tc>
      </w:tr>
    </w:tbl>
    <w:p/>
    <w:p>
      <w:pPr>
        <w:pStyle w:val="Heading3"/>
      </w:pPr>
      <w:r>
        <w:t>4.2 주문 유효기간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TIF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DAY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당일 매매 세션에만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IOC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즉시체결-잔량취소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FOK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전량체결-또는-취소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매매시스템 (기술) (Trading System / Technology)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시스템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X-Stream INET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벤더 / 자체 개발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Nasdaq Technology (Nasdaq, Inc.에서 라이선스)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아키텍처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주식, 수쿡, 채권, ETF를 지원하는 다중자산 매매 플랫폼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매매체결엔진 (Matching Engine)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Nasdaq X-Stream INET -- 다중 매매체결엔진(매칭엔진)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왕복 지연시간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40마이크로초 미만 (2015년 출시 시)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주문 처리 용량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초당 40,000건 지속 처리량 (출시 시)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출시 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2015년 (2015년 9월 13일 가동)</w:t>
            </w:r>
          </w:p>
        </w:tc>
      </w:tr>
    </w:tbl>
    <w:p/>
    <w:p>
      <w:pPr>
        <w:pStyle w:val="Heading3"/>
      </w:pPr>
      <w:r>
        <w:t>시스템 연혁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시스템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2001년 이전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수동 매매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종이 기반, 중개인 매개 거래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2001-2008년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Tadawul 전자시스템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최초 전자매매, 청산, 결제 시스템; 2001년 10월 16일 출범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2008-2015년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SAXESS (Nasdaq OMX)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Nasdaq OMX 매매 플랫폼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2015년-현재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X-Stream INET (Nasdaq)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당시 세계 최고속 다중자산 매매 엔진; 중동 최초; 초당 40K건, 40마이크로초 미만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6~7절: 시장 데이터 및 접속 (Market Data &amp; Connectivity)</w:t>
      </w:r>
    </w:p>
    <w:p>
      <w:pPr>
        <w:pStyle w:val="ListBullet"/>
      </w:pPr>
      <w:r>
        <w:t>시장 데이터: Market Data Feed (MDF) 직접 피드 및 ICE Consolidated Feed 경유 서드파티 배포</w:t>
      </w:r>
    </w:p>
    <w:p>
      <w:pPr>
        <w:pStyle w:val="ListBullet"/>
      </w:pPr>
      <w:r>
        <w:t>데이터 수준: Best Price (Level 1), Market Depth (Level 2, 5단계), Premium (전체 깊이)</w:t>
      </w:r>
    </w:p>
    <w:p>
      <w:pPr>
        <w:pStyle w:val="ListBullet"/>
      </w:pPr>
      <w:r>
        <w:t>접속: 인가 사우디 중개기관을 통한 DMA; 2026년 2월부터 외국인 투자자가 QFI 자격 없이 인가 사우디 중개기관을 통해 직접 접근 가능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위험 통제 및 서킷브레이커(매매거래중단) (Risk Controls &amp; Circuit Breakers)</w:t>
      </w:r>
    </w:p>
    <w:p>
      <w:pPr>
        <w:pStyle w:val="Heading3"/>
      </w:pPr>
      <w:r>
        <w:t>8.1 가격제한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기준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조치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정적 일일 가격제한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기준가(전일 종가) 대비 +/- 10%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제한 초과 주문 거부; 가격이 제한에 도달하면 변동성 인터럽션 발동</w:t>
            </w:r>
          </w:p>
        </w:tc>
      </w:tr>
    </w:tbl>
    <w:p/>
    <w:p>
      <w:pPr>
        <w:pStyle w:val="Heading3"/>
      </w:pPr>
      <w:r>
        <w:t>8.2 서킷브레이커(매매거래중단)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수준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발동 기준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중단 기간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변동성 인터럽션 (개별 증권)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증권 가격이 +/- 10% 정적 가격제한 도달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5분 단일가매매; 경매 가격이 새 기준가; 접속매매(연속매매) 재개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신규 상장 증권 (메인마켓)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최초 3거래일 +/- 10% 제한 적용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발동 시 5분 단일가매매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Nomu -- Parallel Market (전 증권)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지속적 +/- 10% 제한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발동 시 5분 단일가매매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규제 체계 (Regulatory Framework)</w:t>
      </w:r>
    </w:p>
    <w:p>
      <w:pPr>
        <w:pStyle w:val="Heading3"/>
      </w:pPr>
      <w:r>
        <w:t>9.1 감독 기관</w:t>
      </w:r>
    </w:p>
    <w:p>
      <w:pPr>
        <w:pStyle w:val="ListBullet"/>
      </w:pPr>
      <w:r>
        <w:t>Capital Market Authority (CMA) -- 2003년 자본시장법(국왕 칙령 M/30호)에 의해 설립</w:t>
      </w:r>
    </w:p>
    <w:p>
      <w:pPr>
        <w:pStyle w:val="ListBullet"/>
      </w:pPr>
      <w:r>
        <w:t>CMA는 국무총리에 직접 보고하는 독립 정부 기관</w:t>
      </w:r>
    </w:p>
    <w:p>
      <w:pPr>
        <w:pStyle w:val="ListBullet"/>
      </w:pPr>
      <w:r>
        <w:t>사우디 자본시장 규제 및 발전, 투자자 보호, 시장 공정성 및 투명성 보장 담당</w:t>
      </w:r>
    </w:p>
    <w:p>
      <w:pPr>
        <w:pStyle w:val="Heading3"/>
      </w:pPr>
      <w:r>
        <w:t>9.2 외국인 투자자 접근 변천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연도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이정표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2015년 이전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스왑 계약 및 P-Notes를 통해서만 외국인 접근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2015년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QFI 프로그램 출범 -- AUM 50억 달러 이상 기관투자자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2018년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QFI 기준 완화; 투자자당 보유 상한 5%에서 10%로 인상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2019년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Foreign Strategic Investor (FSI) 프레임워크 도입; MSCI EM 및 FTSE Russell EM 지수 편입 완료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2026년 (2월 1일)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**QFI 제도 폐지** -- 모든 외국인 투자자에 인가 사우디 중개기관을 통한 장벽 없는 직접 접근 부여; 스왑 계약 프레임워크 중단</w:t>
            </w:r>
          </w:p>
        </w:tc>
      </w:tr>
    </w:tbl>
    <w:p/>
    <w:p>
      <w:r>
        <w:t>현행 외국인 보유 한도 (2026년 2월 기준):</w:t>
      </w:r>
    </w:p>
    <w:p>
      <w:pPr>
        <w:pStyle w:val="ListBullet"/>
      </w:pPr>
      <w:r>
        <w:t>상장기업당 총 외국인 보유 상한 49%</w:t>
      </w:r>
    </w:p>
    <w:p>
      <w:pPr>
        <w:pStyle w:val="ListBullet"/>
      </w:pPr>
      <w:r>
        <w:t>단일 외국인 투자자당 10% 상한</w:t>
      </w:r>
    </w:p>
    <w:p>
      <w:pPr>
        <w:pStyle w:val="ListBullet"/>
      </w:pPr>
      <w:r>
        <w:t>외국전략투자자는 표준 한도 초과 보유에 별도 규정 적용</w:t>
      </w:r>
    </w:p>
    <w:p>
      <w:r>
        <w:t>외국인 보유 현황: 2026년 2월 말 기준 총 외국인 보유 가치 4,437.8억 리얄(1,183.4억 달러) 도달.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10~11절: 수수료, 최근 동향 (Fees &amp; Recent Developments)</w:t>
      </w:r>
    </w:p>
    <w:p>
      <w:pPr>
        <w:pStyle w:val="Heading3"/>
      </w:pPr>
      <w:r>
        <w:t>매매 수수료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수수료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요율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거래소 수수료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거래대금의 약 0.00105 (10.5 bps) [미확인]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CMA 수수료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거래대금의 약 0.0003 (3 bps)</w:t>
            </w:r>
          </w:p>
        </w:tc>
      </w:tr>
    </w:tbl>
    <w:p/>
    <w:p>
      <w:pPr>
        <w:pStyle w:val="Heading3"/>
      </w:pPr>
      <w:r>
        <w:t>최근 동향</w:t>
      </w:r>
    </w:p>
    <w:p>
      <w:pPr>
        <w:pStyle w:val="ListBullet"/>
      </w:pPr>
      <w:r>
        <w:t>2025년: 호가단위(최소가격변동폭) 개혁(6월 29일 시행); 기록적 38건 IPO 상장</w:t>
      </w:r>
    </w:p>
    <w:p>
      <w:pPr>
        <w:pStyle w:val="ListBullet"/>
      </w:pPr>
      <w:r>
        <w:t>2026년 2월: QFI 제도 폐지, 모든 외국인 투자자에 장벽 없는 직접 접근 부여</w:t>
      </w:r>
    </w:p>
    <w:p>
      <w:pPr>
        <w:pStyle w:val="ListBullet"/>
      </w:pPr>
      <w:r>
        <w:t>비전 2030 / FSDP 연계: 자본시장 심화, GDP 대비 시가총액 비율 증대, 석유 의존 탈피 경제 다각화를 위한 지속적 개혁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출처 (Sources)</w:t>
      </w:r>
    </w:p>
    <w:p>
      <w:pPr>
        <w:pStyle w:val="ListNumber"/>
      </w:pPr>
      <w:r>
        <w:t>[Saudi Exchange Official Website](https://www.saudiexchange.sa)</w:t>
      </w:r>
    </w:p>
    <w:p>
      <w:pPr>
        <w:pStyle w:val="ListNumber"/>
      </w:pPr>
      <w:r>
        <w:t>[Saudi Exchange -- Wikipedia](https://en.wikipedia.org/wiki/Saudi_Exchange)</w:t>
      </w:r>
    </w:p>
    <w:p>
      <w:pPr>
        <w:pStyle w:val="ListNumber"/>
      </w:pPr>
      <w:r>
        <w:t>[Saudi Exchange -- Saudipedia](https://saudipedia.com/en/article/2003/economy-and-business/finance/saudi-exchange-tadawul)</w:t>
      </w:r>
    </w:p>
    <w:p>
      <w:pPr>
        <w:pStyle w:val="ListNumber"/>
      </w:pPr>
      <w:r>
        <w:t>[Argaam -- X-Stream INET launch](https://www.argaam.com/en/article/articledetail/id/386855)</w:t>
      </w:r>
    </w:p>
    <w:p>
      <w:pPr>
        <w:pStyle w:val="ListNumber"/>
      </w:pPr>
      <w:r>
        <w:t>[Nasdaq IR -- Tadawul extends contract](https://ir.nasdaq.com/news-releases/news-release-details/photo-release-tadawul-bolsters-trading-technology-extends)</w:t>
      </w:r>
    </w:p>
    <w:p>
      <w:pPr>
        <w:pStyle w:val="ListNumber"/>
      </w:pPr>
      <w:r>
        <w:t>[Greenberg Traurig -- QFI Abolishment](https://www.gtlaw.com/en/insights/2026/01/saudi-arabia-abolishes-qfi-status-and-opens-the-market-to-all-foreign-investors)</w:t>
      </w:r>
    </w:p>
    <w:p>
      <w:pPr>
        <w:pStyle w:val="ListNumber"/>
      </w:pPr>
      <w:r>
        <w:t>[CMA -- Foreign Investor Opening announcement](https://cma.gov.sa/en/MediaCenter/NEWS/Pages/CMA_N_3974.aspx)</w:t>
      </w:r>
    </w:p>
    <w:p>
      <w:pPr>
        <w:pStyle w:val="ListNumber"/>
      </w:pPr>
      <w:r>
        <w:t>[Bloomberg/Tadawul -- Foreign Equity Flows](https://sponsored.bloomberg.com/article/tadawul/saudi-stock-exchange-is-a-top-destination-for-foreign-equity-flows)</w:t>
      </w:r>
    </w:p>
    <w:p>
      <w:pPr>
        <w:pStyle w:val="ListNumber"/>
      </w:pPr>
      <w:r>
        <w:t>[Mondovisione -- Tick Size Amendment](https://mondovisione.com/media-and-resources/news/the-saudi-exchange-amends-tick-size-bands-of-securities-to-enhance-market-effici-2025626)</w:t>
      </w:r>
    </w:p>
    <w:p>
      <w:pPr>
        <w:pStyle w:val="ListNumber"/>
      </w:pPr>
      <w:r>
        <w:t>[Sahm Capital -- Fee Schedule](https://www.sahmcapital.com/support/detail/saudi-arabia-stock-fees-schedule)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