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EU/UK 주식시장 규제 (EU/UK Equities Market Regulation)</w:t>
      </w:r>
    </w:p>
    <w:p>
      <w:r>
        <w:rPr>
          <w:i/>
          <w:sz w:val="18"/>
        </w:rPr>
        <w:t>**최종 수정일:** 2026-04-06</w:t>
      </w:r>
    </w:p>
    <w:p>
      <w:r>
        <w:rPr>
          <w:i/>
          <w:sz w:val="18"/>
        </w:rPr>
        <w:t>**연구 등급:** Tier 1</w:t>
      </w:r>
    </w:p>
    <w:p>
      <w:r>
        <w:rPr>
          <w:i/>
          <w:sz w:val="18"/>
        </w:rPr>
        <w:t>**분야:** 주식 — 규제 프레임워크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목차 (Table of Contents)</w:t>
      </w:r>
    </w:p>
    <w:p>
      <w:pPr>
        <w:pStyle w:val="ListNumber"/>
      </w:pPr>
      <w:r>
        <w:t>[규제 기관 구조](#1-규제-기관-구조)</w:t>
      </w:r>
    </w:p>
    <w:p>
      <w:pPr>
        <w:pStyle w:val="ListNumber"/>
      </w:pPr>
      <w:r>
        <w:t>[주요 규정](#2-주요-규정)</w:t>
      </w:r>
    </w:p>
    <w:p>
      <w:pPr>
        <w:pStyle w:val="ListNumber"/>
      </w:pPr>
      <w:r>
        <w:t>[시장구조 규칙](#3-시장구조-규칙)</w:t>
      </w:r>
    </w:p>
    <w:p>
      <w:pPr>
        <w:pStyle w:val="ListNumber"/>
      </w:pPr>
      <w:r>
        <w:t>[시장데이터 규칙](#4-시장데이터-규칙)</w:t>
      </w:r>
    </w:p>
    <w:p>
      <w:pPr>
        <w:pStyle w:val="ListNumber"/>
      </w:pPr>
      <w:r>
        <w:t>[시장감시](#5-시장감시)</w:t>
      </w:r>
    </w:p>
    <w:p>
      <w:pPr>
        <w:pStyle w:val="ListNumber"/>
      </w:pPr>
      <w:r>
        <w:t>[보고 요건](#6-보고-요건)</w:t>
      </w:r>
    </w:p>
    <w:p>
      <w:pPr>
        <w:pStyle w:val="ListNumber"/>
      </w:pPr>
      <w:r>
        <w:t>[국경간 제도](#7-국경간-제도)</w:t>
      </w:r>
    </w:p>
    <w:p>
      <w:pPr>
        <w:pStyle w:val="ListNumber"/>
      </w:pPr>
      <w:r>
        <w:t>[최근 변경 사항 (2021-2026)](#8-최근-변경-사항-2021-2026)</w:t>
      </w:r>
    </w:p>
    <w:p>
      <w:pPr>
        <w:pStyle w:val="ListNumber"/>
      </w:pPr>
      <w:r>
        <w:t>[한국 프레임워크와의 비교](#9-한국-프레임워크와의-비교)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규제 기관 구조 (Regulatory Authority Structure)</w:t>
      </w:r>
    </w:p>
    <w:p>
      <w:pPr>
        <w:pStyle w:val="Heading3"/>
      </w:pPr>
      <w:r>
        <w:t>1.1 EU 차원: 유럽증권시장감독청 (European Securities and Markets Authority, ESMA)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2011년 (CESR를 대체)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법적 근거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Regulation (EU) No 1095/2010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본부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프랑스 파리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역할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 차원의 감독 수렴, 규칙 제정(기술기준), 특정 기관(신용평가기관, 거래정보저장소, 현재는 통합테이프 제공자)에 대한 직접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거버넌스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27개 회원국 감독당국(NCA) 수장, 의장, 유럽집행위원회·ECB·ESRB·EBA·EIOPA 대표로 구성된 감독이사회</w:t>
            </w:r>
          </w:p>
        </w:tc>
      </w:tr>
    </w:tbl>
    <w:p/>
    <w:p>
      <w:r>
        <w:t>ESMA의 주식시장에서의 핵심 기능은 다음과 같다:</w:t>
      </w:r>
    </w:p>
    <w:p>
      <w:pPr>
        <w:pStyle w:val="ListBullet"/>
      </w:pPr>
      <w:r>
        <w:t>규칙 제정: MiFID II/MiFIR (금융상품시장지침 II / 규정), MAR, CSDR 및 기타 Level 1 법률에 따른 규제기술기준(RTS)과 시행기술기준(ITS) 작성. 이는 유럽집행위원회에 의해 구속력 있는 EU 규정으로 채택됨.</w:t>
      </w:r>
    </w:p>
    <w:p>
      <w:pPr>
        <w:pStyle w:val="ListBullet"/>
      </w:pPr>
      <w:r>
        <w:t>감독 수렴: 회원국 간 NCA 행위를 조화시키기 위한 지침, Q&amp;A, 의견서, 감독 브리핑 발행.</w:t>
      </w:r>
    </w:p>
    <w:p>
      <w:pPr>
        <w:pStyle w:val="ListBullet"/>
      </w:pPr>
      <w:r>
        <w:t>직접 감독: CTP 운영자, 거래정보저장소, 신용평가기관이 ESMA의 직접 권한 하에 있음. MiFIR 개정에 따라 ESMA는 이제 통합테이프 제공자도 직접 인가·감독.</w:t>
      </w:r>
    </w:p>
    <w:p>
      <w:pPr>
        <w:pStyle w:val="ListBullet"/>
      </w:pPr>
      <w:r>
        <w:t>데이터 수집 및 공표: FITRS(금융상품투명성시스템), FIRDS(금융상품참조데이터시스템) 운영, 거래량상한·유동성·투명성 산출 결과 공표.</w:t>
      </w:r>
    </w:p>
    <w:p>
      <w:pPr>
        <w:pStyle w:val="ListBullet"/>
      </w:pPr>
      <w:r>
        <w:t>시장 건전성 조율: 국경간 MAR 집행 조율, STORs(의심거래·주문보고) 프레임워크 유지.</w:t>
      </w:r>
    </w:p>
    <w:p>
      <w:r>
        <w:t>[Source: ESMA, "About ESMA", accessed 2026-04-06]</w:t>
      </w:r>
    </w:p>
    <w:p>
      <w:pPr>
        <w:pStyle w:val="Heading3"/>
      </w:pPr>
      <w:r>
        <w:t>1.2 각국 감독당국 (National Competent Authorities, NCAs)</w:t>
      </w:r>
    </w:p>
    <w:p>
      <w:r>
        <w:t>EU 증권규제의 일상적 감독 및 집행은 각 회원국의 NCA가 수행한다. 주식시장의 주요 NCA는 다음과 같다: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국가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NCA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책임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**영국**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FCA (Financial Conduct Authority, 금융행위감독청)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브렉시트 이후 독립 규제기관; ~50,000개 회사의 건전성 및 행위 감독; EU와 상이한 영국 자체 규제 프레임워크 운영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**독일**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BaFin (Bundesanstalt fur Finanzdienstleistungsaufsicht)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Deutsche Borse/Xetra, 은행, 보험 감독; MAR, MiFID II 국내 집행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**프랑스**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AMF (Autorite des marches financiers)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Paris 감독; 2024년 유럽 최고 MAR 과징금 부과; 시장행위 및 투자자보호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**네덜란드**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AFM (Autoriteit Financiele Markten)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Amsterdam 감독; 브렉시트 이후 암스테르담이 매매 허브로 부상하여 견고한 알고/HFT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**이탈리아**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CONSOB (Commissione Nazionale per le Societa e la Borsa)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Borsa Italiana (현 Euronext 소속) 감독; 시장남용 집행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**스페인**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CNMV (Comision Nacional del Mercado de Valores)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BME (Bolsas y Mercados Espanoles) 감독; 공매도 모니터링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**아일랜드**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아일랜드중앙은행 (Central Bank of Ireland)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브렉시트 이후 자산운용사와 매매회사의 이전으로 역할 확대</w:t>
            </w:r>
          </w:p>
        </w:tc>
      </w:tr>
    </w:tbl>
    <w:p/>
    <w:p>
      <w:r>
        <w:t>NCA는 다음에 대한 권한을 보유한다:</w:t>
      </w:r>
    </w:p>
    <w:p>
      <w:pPr>
        <w:pStyle w:val="ListBullet"/>
      </w:pPr>
      <w:r>
        <w:t>투자회사, 거래장소(정규시장, MTF, OTF), 체계적 내부화업자의 인가 및 감독</w:t>
      </w:r>
    </w:p>
    <w:p>
      <w:pPr>
        <w:pStyle w:val="ListBullet"/>
      </w:pPr>
      <w:r>
        <w:t>사전거래 투명성 면제 부여 (ESMA 의견 메커니즘에 따라)</w:t>
      </w:r>
    </w:p>
    <w:p>
      <w:pPr>
        <w:pStyle w:val="ListBullet"/>
      </w:pPr>
      <w:r>
        <w:t>내부자거래 및 시장조작 조사를 포함한 MAR 집행</w:t>
      </w:r>
    </w:p>
    <w:p>
      <w:pPr>
        <w:pStyle w:val="ListBullet"/>
      </w:pPr>
      <w:r>
        <w:t>MiFIR 제26조에 따른 거래보고 관리</w:t>
      </w:r>
    </w:p>
    <w:p>
      <w:pPr>
        <w:pStyle w:val="ListBullet"/>
      </w:pPr>
      <w:r>
        <w:t>행정 제재 부과 (과징금, 정지, 금지)</w:t>
      </w:r>
    </w:p>
    <w:p>
      <w:r>
        <w:t>[Source: ESMA, "National Competent Authorities — MiFID", accessed 2026-04-06]</w:t>
      </w:r>
    </w:p>
    <w:p>
      <w:pPr>
        <w:pStyle w:val="Heading3"/>
      </w:pPr>
      <w:r>
        <w:t>1.3 브렉시트 이후 규제 분기: 영국 vs EU (Post-Brexit Divergence: UK vs EU)</w:t>
      </w:r>
    </w:p>
    <w:p>
      <w:r>
        <w:t>2020년 12월 31일 영국의 EU 단일시장 탈퇴 이후, 두 개의 병행 규제 체제가 등장하였다: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EU (ESMA + NCAs)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영국 (FCA + PRA)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**입법 절차**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집행위원회 제안, 의회·이사회 공동결정; ESMA가 Level 2 조치 작성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재무부가 프레임워크 설정; FCA가 FSMA 2023(구 FSMA 2000) 하에서 규칙 제정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**규제 철학**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조화된 단일 규칙집; ESMA 수렴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성과 기반 규제; FCA 사명에 경쟁력 부차적 목표 추가 (2023)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**개혁 속도**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느림 (27개 회원국 조율)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빠름 (단일 관할권); Edinburgh/Leeds 개혁 의제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**동등성 지위**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EU는 투자서비스에 대한 영국의 광범위한 동등성을 부여하지 않음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영국은 EU에 대한 광범위한 동등성을 부여 (임시과도권 2023년 만료; 대부분 유지)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**주요 분기 영역**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MiFIR 개정 (새 거래량상한, CTP 체제, 투명성)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도매시장 검토, 새 UKLR 상장규칙, 자체 투자설명서 제도, 경량화된 SI 제도</w:t>
            </w:r>
          </w:p>
        </w:tc>
      </w:tr>
    </w:tbl>
    <w:p/>
    <w:p>
      <w:r>
        <w:t>영국의 2023년 금융서비스시장법(FSMA 2023)은 FCA와 PRA에 잔류 EU 법을 영국 자체 규칙으로 대체할 수 있는 권한을 부여하였으며 — 이른바 "더 스마트한 규제 프레임워크(Smarter Regulatory Framework)"이다. 이는 EU 지침의 영국법 직접 이식을 점진적으로 해체하는 결과를 가져오고 있으며, FCA가 자체 규칙집(Handbook)에 맞춤형 규칙을 작성하고 있다.</w:t>
      </w:r>
    </w:p>
    <w:p>
      <w:r>
        <w:t>[Source: FCA, "Statement on market reforms and what's to come", accessed 2026-04-06]</w:t>
      </w:r>
    </w:p>
    <w:p>
      <w:r>
        <w:t>[Source: Davis Polk, "Capital markets reform in the UK",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주요 규정 (Key Regulations)</w:t>
      </w:r>
    </w:p>
    <w:p>
      <w:pPr>
        <w:pStyle w:val="Heading3"/>
      </w:pPr>
      <w:r>
        <w:t>2.1 MiFID II / MiFIR (금융상품시장지침 II / 규정)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**정식명칭**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Directive 2014/65/EU (MiFID II) 및 Regulation (EU) No 600/2014 (MiFIR)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**시행일**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2018년 1월 3일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**적용 범위**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투자회사, 거래장소(정규시장, MTF, OTF), 체계적 내부화업자, 데이터보고서비스 제공자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**주요 내용**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시장구조(장소 분류, 투명성), 투자자보호, 거래보고, 알고/HFT 규칙, 제3국 체제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**Level 2 조치**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30개 이상 규제기술기준(RTS) 및 시행기술기준(ITS), 다수의 ESMA 지침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**주요 개정**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MiFIR 개정 (Regulation (EU) 2024/791)이 2024년 3월 28일 발효; MiFID II 개정 이행 기한 2025년 9월 29일</w:t>
            </w:r>
          </w:p>
        </w:tc>
      </w:tr>
    </w:tbl>
    <w:p/>
    <w:p>
      <w:r>
        <w:t>영국 동등 규정: EU Withdrawal Act에 따라 UK MiFID 및 UK MiFIR로 이입. FCA의 도매시장 검토(2021-진행 중)가 이를 점진적으로 영국 고유 규칙으로 대체하고 있다.</w:t>
      </w:r>
    </w:p>
    <w:p>
      <w:r>
        <w:t>[Source: ESMA, "MiFID II and MiFIR review", accessed 2026-04-06]</w:t>
      </w:r>
    </w:p>
    <w:p>
      <w:pPr>
        <w:pStyle w:val="Heading3"/>
      </w:pPr>
      <w:r>
        <w:t>2.2 시장남용규정 (Market Abuse Regulation, MAR)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**정식명칭**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Regulation (EU) No 596/2014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**시행일**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2016년 7월 3일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**적용 범위**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 거래장소(MTF 및 OTF 포함, 전신인 MAD와 달리 정규시장만이 아닌)에서 거래되도록 허용된 모든 금융상품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**주요 금지사항**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내부자거래(제14조), 내부정보의 불법공개(제14조), 시장조작(제15조)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**주요 의무**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발행인의 내부정보 공시(제17조), 경영진 거래 통보(제19조), 내부자 목록(제18조), STORs(의심거래·주문보고, 제16조)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**집행 (2024)**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24개 회원국에서 377건의 집행 조치; EUR 1억 초과의 행정 과징금; 6개 회원국에서 EUR 7,200만 초과의 77건 형사 제재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**최근 개정**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 상장법이 보호적 절차 및 지연 조건 관련 MAR 제17조를 개정; 2026년 6월 5일 시행</w:t>
            </w:r>
          </w:p>
        </w:tc>
      </w:tr>
    </w:tbl>
    <w:p/>
    <w:p>
      <w:r>
        <w:t>영국 동등 규정: UK MAR (이입). FCA는 자체 판례법에 따라 독립적 집행을 유지.</w:t>
      </w:r>
    </w:p>
    <w:p>
      <w:r>
        <w:t>[Source: ESMA, "Consolidated Report on Sanctions and Measures 2024", accessed 2026-04-06]</w:t>
      </w:r>
    </w:p>
    <w:p>
      <w:r>
        <w:t>[Source: ESMA, "Final Report on changes to MAR inside information disclosure rules", May 2025, accessed 2026-04-06]</w:t>
      </w:r>
    </w:p>
    <w:p>
      <w:pPr>
        <w:pStyle w:val="Heading3"/>
      </w:pPr>
      <w:r>
        <w:t>2.3 중앙예탁기관 규정 (Central Securities Depositories Regulation, CSDR)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**정식명칭**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Regulation (EU) No 909/2014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**시행일**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2014년 9월 17일 (단계적 시행)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**적용 범위**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중앙예탁기관(CSD)(예: Euroclear, Clearstream), 결제 규율, 무권화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**주요 규정**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중앙예탁기관(CSD) 인가 및 감독, 결제 규율 체제(의무적 매수명령은 연기, 현금 과태료는 2022년 2월 1일부터 적용), T+2 표준 결제주기(Settlement Cycle)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**CSDR 개정**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10월 14일 EU 관보에 게재; 2027년 10월 11일 T+1 전환의 법적 근거 제공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**결제 규율**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과태료 체제 운영 중; 의무적 매수명령은 검토 보류 중 정지</w:t>
            </w:r>
          </w:p>
        </w:tc>
      </w:tr>
    </w:tbl>
    <w:p/>
    <w:p>
      <w:r>
        <w:t>영국 동등 규정: UK CSDR (이입). 영국은 EU 일정에 맞추어 2027년 10월 11일까지 T+1로 이행할 것을 시사.</w:t>
      </w:r>
    </w:p>
    <w:p>
      <w:r>
        <w:t>[Source: European Commission, "T+1 settlement", February 2025, accessed 2026-04-06]</w:t>
      </w:r>
    </w:p>
    <w:p>
      <w:pPr>
        <w:pStyle w:val="Heading3"/>
      </w:pPr>
      <w:r>
        <w:t>2.4 투자설명서 규정 (Prospectus Regulation)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**정식명칭**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Regulation (EU) 2017/1129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**시행일**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2019년 7월 21일 (투자설명서 지침 대체)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**주요 규정**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특정 기준을 초과하는 증권의 공모 또는 정규시장 거래허용 시 NCA 승인 투자설명서 요구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**EU 상장법 개정 (2024)**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소규모 공모 면제 EUR 8M에서 EUR 12M으로 인상(회원국 옵션으로 EUR 5M 하한); 유통시장 희석 기준 20%에서 30%로 인상; 최소 EUR 1M 기준 삭제; 표준 투자설명서 300페이지 한도 및 재무제표 3년에서 2년으로 축소; 대부분 콘텐츠 개혁 2026년 3월 5일 및 6월 5일 시행</w:t>
            </w:r>
          </w:p>
        </w:tc>
      </w:tr>
    </w:tbl>
    <w:p/>
    <w:p>
      <w:r>
        <w:t>영국 동등 규정: FCA의 새 Prospectus Rules: Admission to Trading on a Regulated Market(PRM) 규칙집이 2026년 1월 19일 시행되어, 이입된 EU 투자설명서 규정을 영국 맞춤형 제도로 대체. FCA 접근법은 공시 기준 설정에 더 큰 유연성을 부여.</w:t>
      </w:r>
    </w:p>
    <w:p>
      <w:r>
        <w:t>[Source: Osborne Clarke, "The EU Listing Act: what are the key changes to the Prospectus Regulation?", accessed 2026-04-06]</w:t>
      </w:r>
    </w:p>
    <w:p>
      <w:r>
        <w:t>[Source: FCA, "PS24/6: Primary Markets Effectiveness Review", accessed 2026-04-06]</w:t>
      </w:r>
    </w:p>
    <w:p>
      <w:pPr>
        <w:pStyle w:val="Heading3"/>
      </w:pPr>
      <w:r>
        <w:t>2.5 공매도 규정 (Short Selling Regulation, SSR)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**정식명칭**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Regulation (EU) No 236/2012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**시행일**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2012년 11월 1일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**주요 규정**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 및 국채의 무차입 공매도 금지; 발행주식자본의 0.1%에서 NCA에 순공매도 포지션 보고(0.1% 초과 시 매 0.1%마다); 0.5%에서 공개 공시(0.1% 초과 시 매 0.1%마다); 차입확인 요건; NCA 및 ESMA의 긴급 개입 권한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**ESMA 검토 제안**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영구적 0.1% 보고 기준(이전 COVID 기간 임시 조치); ESMA 중앙 공시 시스템; 강화된 ESMA 개입 권한; 명확화된 금지 절차</w:t>
            </w:r>
          </w:p>
        </w:tc>
      </w:tr>
    </w:tbl>
    <w:p/>
    <w:p>
      <w:r>
        <w:t>영국 동등 규정: Short Selling Regulations 2025(UK SI 2025/29)가 이입된 EU SSR을 보다 경량화된 영국 제도로 대체. 주요 변경사항으로 공개 공시 요건 삭제(포지션은 FCA에만 보고, 공개하지 않음), 보고 기준 인상, FCA에 보다 유연한 개입 권한 부여.</w:t>
      </w:r>
    </w:p>
    <w:p>
      <w:r>
        <w:t>[Source: ESMA, "Short Selling", accessed 2026-04-06]</w:t>
      </w:r>
    </w:p>
    <w:p>
      <w:r>
        <w:t>[Source: UK Legislation, "The Short Selling Regulations 2025", accessed 2026-04-06]</w:t>
      </w:r>
    </w:p>
    <w:p>
      <w:pPr>
        <w:pStyle w:val="Heading3"/>
      </w:pPr>
      <w:r>
        <w:t>2.6 주요 규정 요약 (Summary of Key Regulations)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규정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EU 버전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영국 동등 규정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주요 초점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MiFID II / MiFIR (금융상품시장지침 II / 규정)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Directive 2014/65/EU / Regulation 600/2014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UK MiFID / UK MiFIR (FCA 규칙으로 대체 중)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시장구조, 투명성, 투자자보호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Regulation 596/2014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UK MAR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시장남용 방지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CSDR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Regulation 909/2014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UK CSDR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결제, 중앙예탁기관(CSD) 규제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투자설명서 규정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Regulation 2017/1129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FCA PRM 규칙집 (2026년 1월부터)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IPO/상장 공시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SSR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Regulation 236/2012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Short Selling Regulations 2025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공매도 규제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EMIR (유럽시장인프라규정)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Regulation 648/2012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UK EMIR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장외파생상품, 중앙청산소(중앙거래상대방, CCP)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BMR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Regulation 2016/1011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UK BMR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벤치마크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DORA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Regulation 2022/2554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N/A (영국 자체 운영 회복력 프레임워크 보유)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ICT/사이버 회복력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시장구조 규칙 (Market Structure Rules)</w:t>
      </w:r>
    </w:p>
    <w:p>
      <w:pPr>
        <w:pStyle w:val="Heading3"/>
      </w:pPr>
      <w:r>
        <w:t>3.1 거래장소 분류 (Venue Categories)</w:t>
      </w:r>
    </w:p>
    <w:p>
      <w:r>
        <w:t>MiFID II (금융상품시장지침 II)는 MiFID I 하에서 상당한 매매가 규제된 장소 밖(다크풀 및 브로커 크로싱 네트워크)에서 발생하던 격차를 해소하며, 포괄적인 집행장소 분류체계를 수립한다.</w:t>
      </w:r>
    </w:p>
    <w:p>
      <w:pPr>
        <w:pStyle w:val="Heading4"/>
      </w:pPr>
      <w:r>
        <w:t>3.1.1 정규시장 (Regulated Market, RM)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속성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시장운영자가 운영하는 다자간 시스템으로, 비재량적 규칙에 따라 다수의 제3자 매수·매도 관심을 금융상품에 대해 결합하여 계약을 성립시킴 (MiFID II 제4(1)(21)조)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핵심 특징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비재량적 매칭; 운영자가 주문 체결에 대해 재량을 행사할 수 없음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자산군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금융상품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예시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Paris, Deutsche Borse (Xetra), Borsa Italiana, BME, LSE 주시장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본국 회원국 NCA의 인가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운영자 제한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시장운영자만이 운영 가능 (투자회사 자체 자격으로는 불가)</w:t>
            </w:r>
          </w:p>
        </w:tc>
      </w:tr>
    </w:tbl>
    <w:p/>
    <w:p>
      <w:pPr>
        <w:pStyle w:val="Heading4"/>
      </w:pPr>
      <w:r>
        <w:t>3.1.2 다자간거래시설 (Multilateral Trading Facility, MTF)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속성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투자회사 또는 시장운영자가 운영하는 다자간 시스템으로, 비재량적 규칙에 따라 다수의 제3자 매수·매도 관심을 결합하여 계약을 성립시킴 (제4(1)(22)조)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핵심 특징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정규시장과 마찬가지로 비재량적; 투자회사가 운영 가능 (정규시장과 달리)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자산군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금융상품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예시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Europe (구 BATS Chi-X), Turquoise (LSEG), Aquis Exchange, LSE AIM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정규시장과의 차이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경량화된 조직 요건; MTF에서의 거래허용은 "상장"에 해당하지 않음</w:t>
            </w:r>
          </w:p>
        </w:tc>
      </w:tr>
    </w:tbl>
    <w:p/>
    <w:p>
      <w:pPr>
        <w:pStyle w:val="Heading4"/>
      </w:pPr>
      <w:r>
        <w:t>3.1.3 조직화된거래시설 (Organised Trading Facility, OTF)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속성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정규시장이나 MTF가 아닌 다자간 시스템으로, 채권, 구조화금융상품, 배출권, 파생상품에 대한 다수의 제3자 매수·매도 관심이 계약 성립으로 이어질 수 있는 방식으로 상호작용 (제4(1)(23)조)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핵심 특징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**재량적 체결** — 운영자가 주문 상호작용 방식에 대해 재량 행사 가능; MiFID II가 브로커 크로싱 네트워크를 포착하기 위해 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자산군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**비주식만** — 채권, 구조화금융, 배출권, 파생상품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제한사항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 거래 불가; 운영자가 자기자본 사용 불가(비유동성 국채 제외); SI 활동과 결합 불가</w:t>
            </w:r>
          </w:p>
        </w:tc>
      </w:tr>
    </w:tbl>
    <w:p/>
    <w:p>
      <w:pPr>
        <w:pStyle w:val="Heading4"/>
      </w:pPr>
      <w:r>
        <w:t>3.1.4 체계적 내부화업자 (Systematic Internaliser, SI)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속성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조직적, 빈번, 체계적, 상당한 규모로 자기계정 거래를 통해 거래장소 밖에서 고객 주문을 체결하는 투자회사 (제4(1)(20)조)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핵심 특징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양자간(다자간이 아닌); 회사가 고객의 거래상대방으로 행동; MiFID II 하에서 "거래장소"가 아님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자산군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금융상품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사전거래 투명성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표준시장규모(SMS) 이하 거래 시 유동성 있는 주식에 대해 확정호가를 공표해야 함; 호가는 다른 고객에게도 비차별적으로 제공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예시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주요 투자은행(Goldman Sachs, JP Morgan, Citadel Securities)이 운영하는 SI 데스크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정량 기준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원래 MiFID II: 빈도(주 1회 이상 또는 분기 전체 일수의 절반 초과)와 상당성(해당 상품 총거래대금의 15% 이상 또는 EU 총거래대금의 25%) 기준 초과 시 SI. MiFIR 개정에 따라, 이러한 정량 기준이 정성적 자체 평가 방식으로 대체</w:t>
            </w:r>
          </w:p>
        </w:tc>
      </w:tr>
    </w:tbl>
    <w:p/>
    <w:p>
      <w:r>
        <w:t>[Source: ESMA, "MiFID II Article 4 — Definitions", accessed 2026-04-06]</w:t>
      </w:r>
    </w:p>
    <w:p>
      <w:r>
        <w:t>[Source: Norton Rose Fulbright, "MiFID II: Trading venues and market infrastructure", accessed 2026-04-06]</w:t>
      </w:r>
    </w:p>
    <w:p>
      <w:pPr>
        <w:pStyle w:val="Heading4"/>
      </w:pPr>
      <w:r>
        <w:t>3.1.5 거래장소 분류 비교 (Venue Category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특징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RM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MTF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OTF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SI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다자간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아니오 (양자간)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재량적 체결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아니오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아니오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(자기자본)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주식 거래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**아니오**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운영 주체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시장운영자만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시장운영자 또는 투자회사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시장운영자 또는 투자회사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투자회사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사전거래 투명성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(전체 호가창)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(전체 호가창)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(비주식)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(유동성 주식 SMS 이하 호가)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사후거래 투명성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</w:tbl>
    <w:p/>
    <w:p>
      <w:pPr>
        <w:pStyle w:val="Heading3"/>
      </w:pPr>
      <w:r>
        <w:t>3.2 사전거래 투명성 (주식) (Pre-Trade Transparency, Equities)</w:t>
      </w:r>
    </w:p>
    <w:p>
      <w:r>
        <w:t>MiFIR 제3-4조 및 RTS 1이 주식 상품에 대한 사전거래 투명성을 규율한다. 거래장소는 거래시간 중 지속적으로 현재 매수·매도 가격과 매매관심 수량을 공표해야 한다.</w:t>
      </w:r>
    </w:p>
    <w:p>
      <w:r>
        <w:t>공표해야 할 정보:</w:t>
      </w:r>
    </w:p>
    <w:p>
      <w:pPr>
        <w:pStyle w:val="ListBullet"/>
      </w:pPr>
      <w:r>
        <w:t>호가창 시스템: 최우선 5단계 매수·매도 가격 및 각 단계의 수량</w:t>
      </w:r>
    </w:p>
    <w:p>
      <w:pPr>
        <w:pStyle w:val="ListBullet"/>
      </w:pPr>
      <w:r>
        <w:t>호가주도 시스템: 각 시장조성자(마켓메이커)의 최우선 매수·매도호가 및 해당 수량</w:t>
      </w:r>
    </w:p>
    <w:p>
      <w:pPr>
        <w:pStyle w:val="ListBullet"/>
      </w:pPr>
      <w:r>
        <w:t>정기경매 시스템: 매칭 알고리즘을 가장 잘 충족시킬 가격 및 해당 가격에서 잠재적으로 체결 가능한 수량</w:t>
      </w:r>
    </w:p>
    <w:p>
      <w:r>
        <w:t>사전거래 투명성 면제 (MiFIR 제4조):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면제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거래량상한 적용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**참조가격 면제 (RPW)**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1차 시장 또는 유동성 측면에서 가장 관련 있는 시장의 현재 매수·매도 중간가에 주문을 매칭하는 시스템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단일거래량상한(SVC) 적용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**대규모 면제 (LIS)**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정상시장규모에 비해 대규모인 주문; RTS 1 부속서 II의 유동성 구간별 기준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거래량상한 미적용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**협상거래 면제 (NTW)**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현재 시장가격 이외의 조건(예: 벤치마크, VWAP)에 따른 협상 거래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MiFIR 개정에 따라 거래량상한 미적용 (이전에는 DVC 적용)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**주문관리시설 면제**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공시 전까지 거래장소의 주문관리시설에 보유된 주문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거래량상한 미적용</w:t>
            </w:r>
          </w:p>
        </w:tc>
      </w:tr>
    </w:tbl>
    <w:p/>
    <w:p>
      <w:r>
        <w:t>[Source: ESMA, "MiFIR Article 4 — Waivers for equity instruments", accessed 2026-04-06]</w:t>
      </w:r>
    </w:p>
    <w:p>
      <w:pPr>
        <w:pStyle w:val="Heading3"/>
      </w:pPr>
      <w:r>
        <w:t>3.3 사후거래 투명성 (주식) (Post-Trade Transparency, Equities)</w:t>
      </w:r>
    </w:p>
    <w:p>
      <w:r>
        <w:t>MiFIR 제6조 및 RTS 1은 거래장소와 투자회사(SI 포함)가 모든 주식 거래의 가격, 수량, 시간을 기술적으로 가능한 한 실시간에 가깝게 공표할 것을 요구한다. 표준 최대 지연시간은 체결 후 1분이다.</w:t>
      </w:r>
    </w:p>
    <w:p>
      <w:r>
        <w:t>지연 공표 (MiFIR 제7조): NCA는 다음에 대해 지연 공표를 승인할 수 있다:</w:t>
      </w:r>
    </w:p>
    <w:p>
      <w:pPr>
        <w:pStyle w:val="ListBullet"/>
      </w:pPr>
      <w:r>
        <w:t>정상시장규모에 비해 대규모인 거래 (RTS 1 부속서 II의 LIS 기준)</w:t>
      </w:r>
    </w:p>
    <w:p>
      <w:pPr>
        <w:pStyle w:val="ListBullet"/>
      </w:pPr>
      <w:r>
        <w:t>유동성 있는 시장이 없는 상품의 거래</w:t>
      </w:r>
    </w:p>
    <w:p>
      <w:r>
        <w:t>RTS 1에 따른 지연 옵션:</w:t>
      </w:r>
    </w:p>
    <w:p>
      <w:pPr>
        <w:pStyle w:val="ListBullet"/>
      </w:pPr>
      <w:r>
        <w:t>거래일(T) 종료 전 또는 현지시간 15:30 이후 체결 거래의 경우 T+1 오전 9:00까지 모든 세부사항 공표</w:t>
      </w:r>
    </w:p>
    <w:p>
      <w:pPr>
        <w:pStyle w:val="ListBullet"/>
      </w:pPr>
      <w:r>
        <w:t>제한된 수량 정보로 모든 세부사항 공표 (일일 집계)</w:t>
      </w:r>
    </w:p>
    <w:p>
      <w:pPr>
        <w:pStyle w:val="ListBullet"/>
      </w:pPr>
      <w:r>
        <w:t>매우 대규모 거래의 경우 최대 4주까지 추가 지연</w:t>
      </w:r>
    </w:p>
    <w:p>
      <w:r>
        <w:t>영국 접근법: FCA가 도매시장 검토에 따라 사후거래 투명성 체제를 검토 중. CP25/20(2025년 7월)이 영국 주식시장의 구조와 투명성 체제에 대한 추가 의견을 요청.</w:t>
      </w:r>
    </w:p>
    <w:p>
      <w:r>
        <w:t>[Source: ESMA, "MiFID II/MiFIR transparency", accessed 2026-04-06]</w:t>
      </w:r>
    </w:p>
    <w:p>
      <w:pPr>
        <w:pStyle w:val="Heading3"/>
      </w:pPr>
      <w:r>
        <w:t>3.4 다크풀 거래량상한 (Dark Pool Volume Cap)</w:t>
      </w:r>
    </w:p>
    <w:p>
      <w:pPr>
        <w:pStyle w:val="Heading4"/>
      </w:pPr>
      <w:r>
        <w:t>원래의 이중거래량상한 (DVC) — 현재 폐지</w:t>
      </w:r>
    </w:p>
    <w:p>
      <w:r>
        <w:t>원래 MiFID II (2018-2025) 하에서, DVC 메커니즘은 참조가격 면제 및 협상거래 면제에 따른 다크 매매를 제한하였다:</w:t>
      </w:r>
    </w:p>
    <w:p>
      <w:pPr>
        <w:pStyle w:val="ListBullet"/>
      </w:pPr>
      <w:r>
        <w:t>장소별 4% 상한: 특정 주식 상품의 EU 전체 거래 중 4% 초과분이 12개월 이동 기간 동안 단일 거래장소에서 이러한 면제 하에 발생할 수 없음</w:t>
      </w:r>
    </w:p>
    <w:p>
      <w:pPr>
        <w:pStyle w:val="ListBullet"/>
      </w:pPr>
      <w:r>
        <w:t>EU 전체 8% 상한: 특정 상품의 EU 전체 거래 중 8% 초과분이 12개월 이동 기간 동안 모든 EU 장소에 걸쳐 이러한 면제 하에 발생할 수 없음</w:t>
      </w:r>
    </w:p>
    <w:p>
      <w:pPr>
        <w:pStyle w:val="ListBullet"/>
      </w:pPr>
      <w:r>
        <w:t>초과 결과: 상한 초과 시 ESMA가 관련 NCA에 해당 상품의 면제 사용을 6개월간 정지하도록 요구</w:t>
      </w:r>
    </w:p>
    <w:p>
      <w:pPr>
        <w:pStyle w:val="Heading4"/>
      </w:pPr>
      <w:r>
        <w:t>신규 단일거래량상한 (SVC) — 2025년 10월부터</w:t>
      </w:r>
    </w:p>
    <w:p>
      <w:r>
        <w:t>MiFIR 개정이 DVC를 단일거래량상한(SVC)으로 대체하였다:</w:t>
      </w:r>
    </w:p>
    <w:p>
      <w:pPr>
        <w:pStyle w:val="ListBullet"/>
      </w:pPr>
      <w:r>
        <w:t>7% 단일상한: 참조가격 면제만 상한 적용; 협상거래 면제는 제외</w:t>
      </w:r>
    </w:p>
    <w:p>
      <w:pPr>
        <w:pStyle w:val="ListBullet"/>
      </w:pPr>
      <w:r>
        <w:t>측정 기준: 12개월 이동 기간 동안 모든 EU 거래장소에 걸친 해당 상품 전체 거래의 7%</w:t>
      </w:r>
    </w:p>
    <w:p>
      <w:pPr>
        <w:pStyle w:val="ListBullet"/>
      </w:pPr>
      <w:r>
        <w:t>전환: DVC는 2025년 9월 28일 폐지; 최초 SVC 정지 데이터는 2025년 10월 9일 공표, 이후 분기별 공표 및 정지</w:t>
      </w:r>
    </w:p>
    <w:p>
      <w:pPr>
        <w:pStyle w:val="ListBullet"/>
      </w:pPr>
      <w:r>
        <w:t>근거: EU 입법자는 DVC가 지나치게 복잡하고 명시된 목표인 가격 형성 보호에 효과적이지 않다고 판단. SVC는 순수 다크 매매(중간가 매칭)에 초점을 맞춘 간소화된 메커니즘</w:t>
      </w:r>
    </w:p>
    <w:p>
      <w:r>
        <w:t>[Source: ESMA, "Double Volume Cap Mechanism — Discontinued", accessed 2026-04-06]</w:t>
      </w:r>
    </w:p>
    <w:p>
      <w:r>
        <w:t>[Source: PwC Legal, "MiFIR/MiFID II Review: making sense of the key amendments", accessed 2026-04-06]</w:t>
      </w:r>
    </w:p>
    <w:p>
      <w:pPr>
        <w:pStyle w:val="Heading3"/>
      </w:pPr>
      <w:r>
        <w:t>3.5 호가단위 체제 (Tick Size Regime, RTS 11)</w:t>
      </w:r>
    </w:p>
    <w:p>
      <w:r>
        <w:t>위임규정 (EU) 2017/588(RTS 11)은 EU 거래장소에서 거래되는 주식 상품에 대한 최소 호가단위(최소가격변동폭)를 설정한다.</w:t>
      </w:r>
    </w:p>
    <w:p>
      <w:r>
        <w:t>작동 방식:</w:t>
      </w:r>
    </w:p>
    <w:p>
      <w:pPr>
        <w:pStyle w:val="ListBullet"/>
      </w:pPr>
      <w:r>
        <w:t>호가단위(최소가격변동폭)는 두 가지 변수에 따라 결정: (1) 상품의 가격, (2) 유동성 구간</w:t>
      </w:r>
    </w:p>
    <w:p>
      <w:pPr>
        <w:pStyle w:val="ListBullet"/>
      </w:pPr>
      <w:r>
        <w:t>유동성은 가장 관련 있는 시장에서의 일평균거래건수(ADNT)로 측정</w:t>
      </w:r>
    </w:p>
    <w:p>
      <w:pPr>
        <w:pStyle w:val="ListBullet"/>
      </w:pPr>
      <w:r>
        <w:t>ESMA가 ADNT 산출 결과를 매년 공표 (신규 허용 상품에 대해서는 연중 갱신)</w:t>
      </w:r>
    </w:p>
    <w:p>
      <w:pPr>
        <w:pStyle w:val="ListBullet"/>
      </w:pPr>
      <w:r>
        <w:t>Band 0(ADNT 0)에서 Band 12(ADNT &gt;=9,000 [미확인])까지 13개 유동성 구간 존재</w:t>
      </w:r>
    </w:p>
    <w:p>
      <w:r>
        <w:t>호가단위 예시 (EUR):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가격대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Band 1 (&lt;10 ADNT)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Band 6 (2,000-3,999 ADNT)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Band 12 (&gt;=9,000 ADNT)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0.50 - 0.9999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1.00 - 1.9999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5.00 - 9.9999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50.00 - 99.999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</w:tr>
    </w:tbl>
    <w:p/>
    <w:p>
      <w:r>
        <w:t>적용 범위: 주식, 예탁증서, ETF, 인증서 및 기타 유사 금융상품에 적용. SI에도 적용(유동성 있는 상품에 대해 SMS 2배 이하까지 호가단위 단위로 호가 제시).</w:t>
      </w:r>
    </w:p>
    <w:p>
      <w:r>
        <w:t>영국 접근법: FCA는 RTS 11 호가단위(최소가격변동폭) 체제를 유지하였으나 보다 광범위한 시장구조 작업의 일환으로 호가단위를 검토할 수 있음을 시사. CP25/20에서 FCA는 현행 호가단위 체제가 여전히 적절한지 탐색 중.</w:t>
      </w:r>
    </w:p>
    <w:p>
      <w:r>
        <w:t>[Source: ESMA, "RTS 11 — Minimum tick sizes", accessed 2026-04-06]</w:t>
      </w:r>
    </w:p>
    <w:p>
      <w:pPr>
        <w:pStyle w:val="Heading3"/>
      </w:pPr>
      <w:r>
        <w:t>3.6 서킷브레이커(매매거래중단) 및 변동성 메커니즘 (Circuit Breakers and Volatility Mechanisms)</w:t>
      </w:r>
    </w:p>
    <w:p>
      <w:r>
        <w:t>MiFID II (금융상품시장지침 II) 제48(5)조는 정규시장(그리고 제18(5)조를 통해 MTF)이 단기간에 금융상품의 중대한 가격변동 시 매매를 일시 중단하거나 제한하는 메커니즘을 시행할 것을 요구한다.</w:t>
      </w:r>
    </w:p>
    <w:p>
      <w:r>
        <w:t>법적 프레임워크:</w:t>
      </w:r>
    </w:p>
    <w:p>
      <w:pPr>
        <w:pStyle w:val="ListBullet"/>
      </w:pPr>
      <w:r>
        <w:t>MiFID II 제48(5)조: 거래장소는 금융상품의 단기간 내 중대한 가격변동 시 매매를 자동 중단하거나 제한하는 적절한 메커니즘을 보유해야 함</w:t>
      </w:r>
    </w:p>
    <w:p>
      <w:pPr>
        <w:pStyle w:val="ListBullet"/>
      </w:pPr>
      <w:r>
        <w:t>RTS 7 (위임규정 (EU) 2017/584): 시험, 감시, 기록 보관을 포함한 변동성 관리 메커니즘 요건 명시</w:t>
      </w:r>
    </w:p>
    <w:p>
      <w:pPr>
        <w:pStyle w:val="ListBullet"/>
      </w:pPr>
      <w:r>
        <w:t>ESMA 감독 브리핑 (2023년 10월): 서킷브레이커(매매거래중단) 보정에 대한 상세 지침 제공</w:t>
      </w:r>
    </w:p>
    <w:p>
      <w:r>
        <w:t>주요 요건:</w:t>
      </w:r>
    </w:p>
    <w:p>
      <w:pPr>
        <w:pStyle w:val="ListBullet"/>
      </w:pPr>
      <w:r>
        <w:t>거래장소는 거래시간 중 항상 메커니즘을 가동해야 함</w:t>
      </w:r>
    </w:p>
    <w:p>
      <w:pPr>
        <w:pStyle w:val="ListBullet"/>
      </w:pPr>
      <w:r>
        <w:t>고려사항: 유동성 프로필, 변동성 프로필, 매매 모델, 상품 유형</w:t>
      </w:r>
    </w:p>
    <w:p>
      <w:pPr>
        <w:pStyle w:val="ListBullet"/>
      </w:pPr>
      <w:r>
        <w:t>동적 참조(최종체결가격 또는 이동평균)와 정적 참조(가장 최근 경매가격) 모두 발동가격으로 사용</w:t>
      </w:r>
    </w:p>
    <w:p>
      <w:pPr>
        <w:pStyle w:val="ListBullet"/>
      </w:pPr>
      <w:r>
        <w:t>장소는 규칙, 파라미터, 변경, 발동 사례의 기록을 유지해야 함</w:t>
      </w:r>
    </w:p>
    <w:p>
      <w:pPr>
        <w:pStyle w:val="ListBullet"/>
      </w:pPr>
      <w:r>
        <w:t>서킷브레이커(매매거래중단) 발동은 NCA에, 그리고 ESMA 지침에 따라 동일 상품을 거래하는 다른 EU 장소에 통보</w:t>
      </w:r>
    </w:p>
    <w:p>
      <w:r>
        <w:t>일반적인 유럽 서킷브레이커(매매거래중단) 설계: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일반적 접근법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발동 유형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정적 (최종 경매가격 기준) + 동적 (최종 연속매매 체결가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메커니즘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변동성 경매(호가수집 단계)로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지속 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일반적으로 2-5분; 가격이 계속 변동적이면 연장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적용 범위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개별 상품 단위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시장간 조율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ESMA가 조화된 기준을 권장하나 의무화하지 않음; 장소별로 일반적으로 다른 파라미터 사용</w:t>
            </w:r>
          </w:p>
        </w:tc>
      </w:tr>
    </w:tbl>
    <w:p/>
    <w:p>
      <w:r>
        <w:t>참고: 미국의 시장 전체 서킷브레이커(LULD/MWCB)와 달리, EU 장소는 조화된 EU 전체 중단 메커니즘 없이 개별 상품 단위의 서킷브레이커를 운영한다. NYSE Rule 80B 또는 S&amp;P 500 기반 시장 전체 발동과 동등한 것이 없다.</w:t>
      </w:r>
    </w:p>
    <w:p>
      <w:r>
        <w:t>[Source: ESMA, "MiFID II Article 48 — Systems resilience, circuit breakers and electronic trading", accessed 2026-04-06]</w:t>
      </w:r>
    </w:p>
    <w:p>
      <w:r>
        <w:t>[Source: ESMA, "Supervisory Briefing on Circuit Breakers", October 2023, accessed 2026-04-06]</w:t>
      </w:r>
    </w:p>
    <w:p>
      <w:pPr>
        <w:pStyle w:val="Heading3"/>
      </w:pPr>
      <w:r>
        <w:t>3.7 알고리즘 및 고빈도거래 규칙 (Algorithmic and High-Frequency Trading Rules)</w:t>
      </w:r>
    </w:p>
    <w:p>
      <w:r>
        <w:t>MiFID II (금융상품시장지침 II) 제17조(투자회사) 및 제48조(거래장소)는 세계적으로 가장 포괄적인 알고/HFT 규제 프레임워크를 수립한다.</w:t>
      </w:r>
    </w:p>
    <w:p>
      <w:pPr>
        <w:pStyle w:val="Heading4"/>
      </w:pPr>
      <w:r>
        <w:t>3.7.1 제17조 — 투자회사 의무</w:t>
      </w:r>
    </w:p>
    <w:p>
      <w:r>
        <w:t>모든 알고리즘 거래자는 다음을 수행해야 한다:</w:t>
      </w:r>
    </w:p>
    <w:p>
      <w:pPr>
        <w:pStyle w:val="ListBullet"/>
      </w:pPr>
      <w:r>
        <w:t>본국 NCA 및 알고리즘으로 거래하는 장소의 NCA에 통지</w:t>
      </w:r>
    </w:p>
    <w:p>
      <w:pPr>
        <w:pStyle w:val="ListBullet"/>
      </w:pPr>
      <w:r>
        <w:t>효과적인 시스템 및 리스크 통제 시행 (사전거래 통제, 실시간 감시, 사후거래 감시)</w:t>
      </w:r>
    </w:p>
    <w:p>
      <w:pPr>
        <w:pStyle w:val="ListBullet"/>
      </w:pPr>
      <w:r>
        <w:t>완전히 시험되고, 적절히 감시되며, 효과적인 사업연속성 체계를 갖춘 시스템 유지</w:t>
      </w:r>
    </w:p>
    <w:p>
      <w:pPr>
        <w:pStyle w:val="ListBullet"/>
      </w:pPr>
      <w:r>
        <w:t>모든 주문(제출, 변경, 취소, 체결)의 시간순 기록을 최소 5년간 보관하여 NCA 요청 시 제공</w:t>
      </w:r>
    </w:p>
    <w:p>
      <w:pPr>
        <w:pStyle w:val="ListBullet"/>
      </w:pPr>
      <w:r>
        <w:t>"킬 기능" — 비상조치로서 모든 미체결 주문을 즉시 취소할 수 있는 능력 — 을 구비</w:t>
      </w:r>
    </w:p>
    <w:p>
      <w:r>
        <w:t>시장조성 전략 의무 (제17(3-4)조):</w:t>
      </w:r>
    </w:p>
    <w:p>
      <w:pPr>
        <w:pStyle w:val="ListBullet"/>
      </w:pPr>
      <w:r>
        <w:t>알고리즘 거래자가 정기적·빈번하게 비교 가능한 규모의 확정적 양방향 호가를 경쟁적 가격으로 제시하면 시장조성 전략을 추구하는 것으로 간주</w:t>
      </w:r>
    </w:p>
    <w:p>
      <w:pPr>
        <w:pStyle w:val="ListBullet"/>
      </w:pPr>
      <w:r>
        <w:t>해당 회사는 거래장소와 구속력 있는 서면 계약 체결</w:t>
      </w:r>
    </w:p>
    <w:p>
      <w:pPr>
        <w:pStyle w:val="ListBullet"/>
      </w:pPr>
      <w:r>
        <w:t>거래장소 운영시간의 지정된 비율 동안 정기적이고 예측 가능한 방식으로 유동성 공급 (예외적 상황 제외)</w:t>
      </w:r>
    </w:p>
    <w:p>
      <w:r>
        <w:t>고빈도거래(HFT) 특별 요건 (제17(2)조):</w:t>
      </w:r>
    </w:p>
    <w:p>
      <w:pPr>
        <w:pStyle w:val="ListBullet"/>
      </w:pPr>
      <w:r>
        <w:t>HFT는 다음을 특징으로 하는 알고리즘 매매 기법으로 정의: (a) 코로케이션(전산센터 공동입주), 근접 호스팅 또는 고속 직접 전자접근을 포함하여 네트워크 및 기타 유형의 지연시간을 최소화하기 위한 인프라; (b) 개별 매매 또는 주문에 대한 인적 개입 없이 주문 개시, 생성, 라우팅, 체결의 시스템 결정; (c) 높은 일중 주문·호가·취소 메시지 비율</w:t>
      </w:r>
    </w:p>
    <w:p>
      <w:pPr>
        <w:pStyle w:val="ListBullet"/>
      </w:pPr>
      <w:r>
        <w:t>HFT 회사는 모든 주문(취소 포함)의 정확하고 시간순인 기록을 RTS 25에 명시된 마이크로초 단위 타임스탬프로 유지</w:t>
      </w:r>
    </w:p>
    <w:p>
      <w:pPr>
        <w:pStyle w:val="ListBullet"/>
      </w:pPr>
      <w:r>
        <w:t>NCA 요청 시 이러한 기록을 제공</w:t>
      </w:r>
    </w:p>
    <w:p>
      <w:pPr>
        <w:pStyle w:val="Heading4"/>
      </w:pPr>
      <w:r>
        <w:t>3.7.2 제48조 — 거래장소 의무</w:t>
      </w:r>
    </w:p>
    <w:p>
      <w:r>
        <w:t>알고리즘 매매를 허용하는 거래장소는 다음을 보유해야 한다:</w:t>
      </w:r>
    </w:p>
    <w:p>
      <w:pPr>
        <w:pStyle w:val="ListBullet"/>
      </w:pPr>
      <w:r>
        <w:t>알고리즘이 무질서한 매매 상황을 생성하거나 야기할 수 없도록 하는 효과적인 시스템, 절차, 체계</w:t>
      </w:r>
    </w:p>
    <w:p>
      <w:pPr>
        <w:pStyle w:val="ListBullet"/>
      </w:pPr>
      <w:r>
        <w:t>미체결 주문 대 거래 비율을 제한하는 시스템 (주문-거래 비율 통제)</w:t>
      </w:r>
    </w:p>
    <w:p>
      <w:pPr>
        <w:pStyle w:val="ListBullet"/>
      </w:pPr>
      <w:r>
        <w:t>시스템 용량 도달 위험이 있는 경우 주문 흐름을 감속시키는 능력</w:t>
      </w:r>
    </w:p>
    <w:p>
      <w:pPr>
        <w:pStyle w:val="ListBullet"/>
      </w:pPr>
      <w:r>
        <w:t>최소 호가단위(최소가격변동폭)를 제한하고 집행하는 능력</w:t>
      </w:r>
    </w:p>
    <w:p>
      <w:pPr>
        <w:pStyle w:val="ListBullet"/>
      </w:pPr>
      <w:r>
        <w:t>변동성 관리 메커니즘 (서킷브레이커(매매거래중단), 제3.6절에서 설명)</w:t>
      </w:r>
    </w:p>
    <w:p>
      <w:r>
        <w:t>직접전자접근(DEA) 규칙:</w:t>
      </w:r>
    </w:p>
    <w:p>
      <w:pPr>
        <w:pStyle w:val="ListBullet"/>
      </w:pPr>
      <w:r>
        <w:t>DEA를 제공하는 투자회사는 DEA를 사용하는 고객의 적합성을 검토하는 시스템 및 통제를 보유해야 함</w:t>
      </w:r>
    </w:p>
    <w:p>
      <w:pPr>
        <w:pStyle w:val="ListBullet"/>
      </w:pPr>
      <w:r>
        <w:t>DEA 사용자에 대한 신용 익스포저에 사전거래 통제를 설정</w:t>
      </w:r>
    </w:p>
    <w:p>
      <w:pPr>
        <w:pStyle w:val="ListBullet"/>
      </w:pPr>
      <w:r>
        <w:t>각 DEA 고객이 제출한 주문을 개별적으로 식별할 수 있어야 함</w:t>
      </w:r>
    </w:p>
    <w:p>
      <w:pPr>
        <w:pStyle w:val="ListBullet"/>
      </w:pPr>
      <w:r>
        <w:t>DEA 고객은 인가된 투자회사이어야 함 (또는 NCA가 달리 인가)</w:t>
      </w:r>
    </w:p>
    <w:p>
      <w:r>
        <w:t>[Source: ESMA, "MiFID II Article 17 — Algorithmic trading", accessed 2026-04-06]</w:t>
      </w:r>
    </w:p>
    <w:p>
      <w:r>
        <w:t>[Source: Norton Rose Fulbright, "MiFID II: High frequency and algorithmic trading obligations",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시장데이터 규칙 (Market Data Rules)</w:t>
      </w:r>
    </w:p>
    <w:p>
      <w:pPr>
        <w:pStyle w:val="Heading3"/>
      </w:pPr>
      <w:r>
        <w:t>4.1 통합테이프 논의 및 CTP 체제 (The Consolidated Tape Debate and CTP Regime)</w:t>
      </w:r>
    </w:p>
    <w:p>
      <w:r>
        <w:t>범유럽 주식 통합테이프의 부재는 2007년 MiFID I이 매매를 다수 장소로 분산시킨 이후 EU 자본시장의 가장 논쟁적인 구조적 결함 중 하나였다. 1970년대부터 통합테이프(SIP)를 운영해온 미국과 달리, EU는 상업적 데이터 벤더(Bloomberg, Refinitiv, ICE)에 의존하여 데이터를 집계해왔으며, 이는 높은 비용과 불완전한 커버리지를 초래하였다.</w:t>
      </w:r>
    </w:p>
    <w:p>
      <w:pPr>
        <w:pStyle w:val="Heading4"/>
      </w:pPr>
      <w:r>
        <w:t>4.1.1 MiFID II 원래 프레임워크 (2018-2024): 실패한 시도</w:t>
      </w:r>
    </w:p>
    <w:p>
      <w:r>
        <w:t>MiFID II (제65조)가 통합테이프 제공자(CTP)에 대한 자발적 프레임워크를 수립하였으나, 다음과 같은 이유로 어떤 기관도 인가를 신청하지 않았다:</w:t>
      </w:r>
    </w:p>
    <w:p>
      <w:pPr>
        <w:pStyle w:val="ListBullet"/>
      </w:pPr>
      <w:r>
        <w:t>낮은 지연시간 요건과 거래소가 부과하는 높은 데이터 라이선스 비용으로 인해 사업 모델이 상업적으로 실현 불가능</w:t>
      </w:r>
    </w:p>
    <w:p>
      <w:pPr>
        <w:pStyle w:val="ListBullet"/>
      </w:pPr>
      <w:r>
        <w:t>거래소가 시장데이터 수입을 핵심 수입원으로 간주하여 원가 제공을 거부</w:t>
      </w:r>
    </w:p>
    <w:p>
      <w:pPr>
        <w:pStyle w:val="ListBullet"/>
      </w:pPr>
      <w:r>
        <w:t>의무적 데이터 기여 프레임워크가 부재</w:t>
      </w:r>
    </w:p>
    <w:p>
      <w:pPr>
        <w:pStyle w:val="ListBullet"/>
      </w:pPr>
      <w:r>
        <w:t>데이터 제공자에 대한 "합리적 상업적 기준"(RCB) 의무의 집행력 부족</w:t>
      </w:r>
    </w:p>
    <w:p>
      <w:pPr>
        <w:pStyle w:val="Heading4"/>
      </w:pPr>
      <w:r>
        <w:t>4.1.2 MiFIR 개정 (2024): 의무적 CTP 체제</w:t>
      </w:r>
    </w:p>
    <w:p>
      <w:r>
        <w:t>MiFIR 개정 (Regulation (EU) 2024/791)이 프레임워크를 근본적으로 변경하였다: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특징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새 체제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선정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ESMA가 자산군별 단일 CTP를 경쟁 입찰 절차를 통해 선정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5년간 독점 라이선스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ESMA 직접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 기여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의무적 — 모든 거래장소, SI, APA가 CTP에 데이터를 기여해야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 품질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주식에 대한 실시간 사후거래 데이터; 기술적으로 가능한 경우 사전거래 데이터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수입 배분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CTP가 기여 장소에 규정에 명시된 공식에 따라 수입을 배분해야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자산군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3개 별도 CTP: (1) 채권; (2) 주식 및 ETF; (3) 장외파생상품</w:t>
            </w:r>
          </w:p>
        </w:tc>
      </w:tr>
    </w:tbl>
    <w:p/>
    <w:p>
      <w:pPr>
        <w:pStyle w:val="Heading4"/>
      </w:pPr>
      <w:r>
        <w:t>4.1.3 현행 상태 (2026년 4월 기준)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자산군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**채권**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2월 3일 선정 절차 개시; CTP 선정 [미확인 — 2025년 중반 예상]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**주식 및 ETF**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6월 20일 선정 절차 개시; **2025년 12월 19일 ESMA가 EuroCTP를 선정**; 인가 보류 중; ESMA 직접 감독 하에 5년간 운영 예상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**장외파생상품**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2026년 1월 5일 선정 절차 개시; ESMA가 2026년 7월 초까지 선정 신청인에 대한 결정을 채택할 예정</w:t>
            </w:r>
          </w:p>
        </w:tc>
      </w:tr>
    </w:tbl>
    <w:p/>
    <w:p>
      <w:r>
        <w:t>[Source: ESMA, "Consolidated Tape Providers", accessed 2026-04-06]</w:t>
      </w:r>
    </w:p>
    <w:p>
      <w:r>
        <w:t>[Source: ESMA, "ESMA selects EuroCTP to become the first Consolidated Tape Provider for shares and ETFs", December 2025, accessed 2026-04-06]</w:t>
      </w:r>
    </w:p>
    <w:p>
      <w:pPr>
        <w:pStyle w:val="Heading3"/>
      </w:pPr>
      <w:r>
        <w:t>4.2 실시간 데이터 요건 (Real-Time Data Requirements)</w:t>
      </w:r>
    </w:p>
    <w:p>
      <w:r>
        <w:t>MiFIR에 따라, 거래장소와 SI는 사전거래 및 사후거래 데이터를 제공해야 한다:</w:t>
      </w:r>
    </w:p>
    <w:p>
      <w:r>
        <w:t>사전거래 데이터 (주식):</w:t>
      </w:r>
    </w:p>
    <w:p>
      <w:pPr>
        <w:pStyle w:val="ListBullet"/>
      </w:pPr>
      <w:r>
        <w:t>정상 거래시간 중 지속적으로 제공</w:t>
      </w:r>
    </w:p>
    <w:p>
      <w:pPr>
        <w:pStyle w:val="ListBullet"/>
      </w:pPr>
      <w:r>
        <w:t>비집계 (장소별) — 또는 CTP 운영 시 CTP를 통해</w:t>
      </w:r>
    </w:p>
    <w:p>
      <w:pPr>
        <w:pStyle w:val="ListBullet"/>
      </w:pPr>
      <w:r>
        <w:t>공표 기준: 기술적으로 가능한 한 실시간에 가까워야 함</w:t>
      </w:r>
    </w:p>
    <w:p>
      <w:r>
        <w:t>사후거래 데이터 (주식):</w:t>
      </w:r>
    </w:p>
    <w:p>
      <w:pPr>
        <w:pStyle w:val="ListBullet"/>
      </w:pPr>
      <w:r>
        <w:t>기술적으로 가능한 한 실시간에 가깝게 공표되어야 하며, 체결 후 1분 이내 (개정 MiFIR; 이전 15분 지연)</w:t>
      </w:r>
    </w:p>
    <w:p>
      <w:pPr>
        <w:pStyle w:val="ListBullet"/>
      </w:pPr>
      <w:r>
        <w:t>"15분 지연" 무료 데이터 체제: 거래장소는 사후거래 데이터를 공표 후 15분 이후 무료로 제공해야 함. MiFIR 개정에서 유럽의회가 원래 이 지연을 완전 제거하려 하였으나, 최종안은 15분을 무료 데이터 기간으로 유지</w:t>
      </w:r>
    </w:p>
    <w:p>
      <w:pPr>
        <w:pStyle w:val="Heading3"/>
      </w:pPr>
      <w:r>
        <w:t>4.3 합리적 상업적 기준 (Reasonable Commercial Basis, RCB)</w:t>
      </w:r>
    </w:p>
    <w:p>
      <w:r>
        <w:t>MiFIR은 시장데이터가 "합리적 상업적 기준"에 따라 제공될 것을 요구한다. 이 원칙은 상당한 논란의 원천이었다.</w:t>
      </w:r>
    </w:p>
    <w:p>
      <w:r>
        <w:t>원래 프레임워크 (2018-2024):</w:t>
      </w:r>
    </w:p>
    <w:p>
      <w:pPr>
        <w:pStyle w:val="ListBullet"/>
      </w:pPr>
      <w:r>
        <w:t>ESMA가 데이터 수수료가 생산비용에 합리적 마진을 더한 것에 기반해야 한다고 명시하는 비구속적 지침(2021)을 발행</w:t>
      </w:r>
    </w:p>
    <w:p>
      <w:pPr>
        <w:pStyle w:val="ListBullet"/>
      </w:pPr>
      <w:r>
        <w:t>거래소는 데이터의 가치가 생산비용을 초과한다고 주장하며 저항</w:t>
      </w:r>
    </w:p>
    <w:p>
      <w:pPr>
        <w:pStyle w:val="ListBullet"/>
      </w:pPr>
      <w:r>
        <w:t>WFE(세계거래소연합)가 비용 기반 접근법에 이의를 제기</w:t>
      </w:r>
    </w:p>
    <w:p>
      <w:r>
        <w:t>MiFIR 개정 (2024) — 새로운 구속력 있는 RTS:</w:t>
      </w:r>
    </w:p>
    <w:p>
      <w:pPr>
        <w:pStyle w:val="ListBullet"/>
      </w:pPr>
      <w:r>
        <w:t>위임규정 (EU) 2025/1156(2025년 6월 12일)이 지침을 구속력 있는 기술기준으로 대체</w:t>
      </w:r>
    </w:p>
    <w:p>
      <w:pPr>
        <w:pStyle w:val="ListBullet"/>
      </w:pPr>
      <w:r>
        <w:t>데이터는 비차별적 기준으로 제공되어야 함</w:t>
      </w:r>
    </w:p>
    <w:p>
      <w:pPr>
        <w:pStyle w:val="ListBullet"/>
      </w:pPr>
      <w:r>
        <w:t>수수료는 시장데이터의 생산·배포 비용에 합리적 마진을 더한 것에 기반</w:t>
      </w:r>
    </w:p>
    <w:p>
      <w:pPr>
        <w:pStyle w:val="ListBullet"/>
      </w:pPr>
      <w:r>
        <w:t>장소는 가격 정책과 수수료 체계를 공표해야 함</w:t>
      </w:r>
    </w:p>
    <w:p>
      <w:pPr>
        <w:pStyle w:val="ListBullet"/>
      </w:pPr>
      <w:r>
        <w:t>ESMA의 이전 RCB 지침은 공식 철회 (2026년 2월)</w:t>
      </w:r>
    </w:p>
    <w:p>
      <w:r>
        <w:t>[Source: ESMA, "Final Report on bond transparency and reasonable commercial basis under MiFIR Review", accessed 2026-04-06]</w:t>
      </w:r>
    </w:p>
    <w:p>
      <w:pPr>
        <w:pStyle w:val="Heading3"/>
      </w:pPr>
      <w:r>
        <w:t>4.4 영국의 시장데이터 및 통합테이프 접근법 (UK Approach to Market Data and Consolidated Tape)</w:t>
      </w:r>
    </w:p>
    <w:p>
      <w:r>
        <w:t>영국은 자체적인 통합테이프 경로를 추구하고 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**채권 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FCA가 2026년 1월에 ETS(European Trading Solutions [미확인])와 영국 채권 CT 제공 계약 체결; ETS는 2026년 6월 22일 출시 목표; FCA 인가 결정은 2026년 1분기 예상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**주식 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FCA가 2025년 11월 CP25/31에서 프레임워크를 제안하여 공표; 공급자 관심표명은 2026년 1월 30일까지; 정책서신은 2026년 상반기 예상; 운영 개시 목표 2027년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**접근법**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FCA는 채권을 우선시(영국이 선도적 글로벌 시장)한 후 주식으로 확대</w:t>
            </w:r>
          </w:p>
        </w:tc>
      </w:tr>
    </w:tbl>
    <w:p/>
    <w:p>
      <w:r>
        <w:t>영국의 접근법은 FCA가 CT 제공자를 직접 조달·계약한다는 점에서 ESMA가 운영하는 경쟁적 선정 절차와 다르다. FCA는 또한 데이터 기여 의무에 대해 보다 상업적으로 실용적인 접근법을 시사하였다.</w:t>
      </w:r>
    </w:p>
    <w:p>
      <w:r>
        <w:t>[Source: FCA, "Equities consolidated tape", accessed 2026-04-06]</w:t>
      </w:r>
    </w:p>
    <w:p>
      <w:r>
        <w:t>[Source: FCA, "CP25/31: The framework for a UK equity consolidated tape", November 2025,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시장감시 (Market Surveillance)</w:t>
      </w:r>
    </w:p>
    <w:p>
      <w:pPr>
        <w:pStyle w:val="Heading3"/>
      </w:pPr>
      <w:r>
        <w:t>5.1 거래보고 (MiFIR 제26조) (Transaction Reporting)</w:t>
      </w:r>
    </w:p>
    <w:p>
      <w:r>
        <w:t>거래보고는 NCA와 ESMA가 시장남용을 감시하고, 행위 규칙을 집행하며, 시스템 리스크를 평가할 수 있게 하는 핵심 감독 데이터 피드이다.</w:t>
      </w:r>
    </w:p>
    <w:p>
      <w:r>
        <w:t>법적 근거: MiFIR 제26조는 투자회사가 금융상품 거래의 완전하고 정확한 세부사항을 가능한 한 신속하게, 그리고 익영업일(T+1) 영업종료 전까지 NCA에 보고할 것을 요구한다.</w:t>
      </w:r>
    </w:p>
    <w:p>
      <w:r>
        <w:t>적용 범위:</w:t>
      </w:r>
    </w:p>
    <w:p>
      <w:pPr>
        <w:pStyle w:val="ListBullet"/>
      </w:pPr>
      <w:r>
        <w:t>거래장소에서 거래되도록 허용되거나 거래되는 모든 금융상품 (특정 거래가 장외에서 이루어지더라도)</w:t>
      </w:r>
    </w:p>
    <w:p>
      <w:pPr>
        <w:pStyle w:val="ListBullet"/>
      </w:pPr>
      <w:r>
        <w:t>주식, 채권, 파생상품, ETF, 배출권 포함</w:t>
      </w:r>
    </w:p>
    <w:p>
      <w:pPr>
        <w:pStyle w:val="ListBullet"/>
      </w:pPr>
      <w:r>
        <w:t>장내 및 장외(OTC, SI) 거래 모두</w:t>
      </w:r>
    </w:p>
    <w:p>
      <w:pPr>
        <w:pStyle w:val="Heading4"/>
      </w:pPr>
      <w:r>
        <w:t>5.1.1 데이터 필드 (RTS 22)</w:t>
      </w:r>
    </w:p>
    <w:p>
      <w:r>
        <w:t>위임규정 (EU) 2017/590(RTS 22)이 보고 형식을 명시한다. 각 거래보고는 다음 범주로 구분된 65개 데이터 필드로 구성된다: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범주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필드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필드 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**보고 식별**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거래참조번호, 체결법인 LEI, 보고 타임스탬프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~4개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**매수/매도 식별**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LEI(법인) 또는 국가고객식별자(자연인), 의사결정자, 자연인의 성명/생년월일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~12개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**거래 세부사항**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매매일시, 수량, 가격, 통화, 장소(MIC 코드), 매매 자격(본인/대리인/매칭 본인)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~10개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**상품 식별**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ISIN, 상품 정식명칭, 분류(CFI), 기초상품 ISIN, 명목금액, 만기, 행사가격, 옵션 유형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~15개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**매매원/알고 식별**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매매원 ID(투자결정 책임 자연인의 단축코드), 알고 ID, 면제 표시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~8개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**전달/보고 체인**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전달회사 LEI, 체결회사 LEI, 보고법인 LEI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~6개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**기타**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공매도 표시, 상품파생상품 표시, 집계거래 표시, 연계거래 참조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~10개</w:t>
            </w:r>
          </w:p>
        </w:tc>
      </w:tr>
    </w:tbl>
    <w:p/>
    <w:p>
      <w:pPr>
        <w:pStyle w:val="Heading4"/>
      </w:pPr>
      <w:r>
        <w:t>5.1.2 MiFIR 개정 — 개정 거래보고 (Revised Transaction Reporting)</w:t>
      </w:r>
    </w:p>
    <w:p>
      <w:r>
        <w:t>ESMA가 2024년 10월에 RTS 22의 포괄적 개정에 대한 의견수렴을 실시하였다. 주요 제안 변경사항:</w:t>
      </w:r>
    </w:p>
    <w:p>
      <w:pPr>
        <w:pStyle w:val="ListBullet"/>
      </w:pPr>
      <w:r>
        <w:t>향상된 상품 식별을 위한 추가 필드</w:t>
      </w:r>
    </w:p>
    <w:p>
      <w:pPr>
        <w:pStyle w:val="ListBullet"/>
      </w:pPr>
      <w:r>
        <w:t>EMIR (유럽시장인프라규정) 및 SFTR 보고와의 정합성 (중복 감소 및 데이터 품질 향상)</w:t>
      </w:r>
    </w:p>
    <w:p>
      <w:pPr>
        <w:pStyle w:val="ListBullet"/>
      </w:pPr>
      <w:r>
        <w:t>MiFIR 개정의 제26조 수정을 반영하는 새 필드 (확대된 적용 범위 포함)</w:t>
      </w:r>
    </w:p>
    <w:p>
      <w:pPr>
        <w:pStyle w:val="ListBullet"/>
      </w:pPr>
      <w:r>
        <w:t>개정된 검증 규칙</w:t>
      </w:r>
    </w:p>
    <w:p>
      <w:pPr>
        <w:pStyle w:val="ListBullet"/>
      </w:pPr>
      <w:r>
        <w:t>ESMA 최종 RTS를 2025년 1분기에 유럽집행위원회에 제출 [미확인]; MiFIR 개정 투명성 일정에 맞추어 적용 예상 (2026년)</w:t>
      </w:r>
    </w:p>
    <w:p>
      <w:r>
        <w:t>[Source: ESMA, "MiFIR Article 26 — Obligation to report transactions", accessed 2026-04-06]</w:t>
      </w:r>
    </w:p>
    <w:p>
      <w:r>
        <w:t>[Source: BaFin, "Transaction reporting (Article 26 of the MiFIR)", accessed 2026-04-06]</w:t>
      </w:r>
    </w:p>
    <w:p>
      <w:pPr>
        <w:pStyle w:val="Heading3"/>
      </w:pPr>
      <w:r>
        <w:t>5.2 시계 동기화 (Clock Synchronisation, RTS 25)</w:t>
      </w:r>
    </w:p>
    <w:p>
      <w:r>
        <w:t>위임규정 (EU) 2017/574(RTS 25)은 다음을 요구한다: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참가자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UTC 대비 최대 편차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타임스탬프 정밀도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거래장소 (음성/요청호가)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거래장소 (연속매매)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100마이크로초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1마이크로초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고빈도 알고리즘 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100마이크로초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1마이크로초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회원/참가자 (비HFT)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1초</w:t>
            </w:r>
          </w:p>
        </w:tc>
      </w:tr>
    </w:tbl>
    <w:p/>
    <w:p>
      <w:r>
        <w:t>보고 대상 이벤트에 타임스탬프를 부여하는 데 사용되는 모든 업무용 시계는 국가도량형연구소가 배포하는 UTC 시간체계 또는 국제도량형국(BIPM)의 UTC에 동기화되어야 한다.</w:t>
      </w:r>
    </w:p>
    <w:p>
      <w:r>
        <w:t>[Source: ESMA, "RTS 25 — Clock synchronisation", accessed 2026-04-06]</w:t>
      </w:r>
    </w:p>
    <w:p>
      <w:pPr>
        <w:pStyle w:val="Heading3"/>
      </w:pPr>
      <w:r>
        <w:t>5.3 주문기록 보관 (Order Record Keeping, RTS 24/25)</w:t>
      </w:r>
    </w:p>
    <w:p>
      <w:r>
        <w:t>MiFID II (금융상품시장지침 II) 제25(1)조는 투자회사가 NCA의 감독 업무 수행에 충분한 모든 서비스, 활동, 거래의 기록을 보관할 것을 요구한다. 주문의 경우 다음을 포함한다:</w:t>
      </w:r>
    </w:p>
    <w:p>
      <w:pPr>
        <w:pStyle w:val="ListBullet"/>
      </w:pPr>
      <w:r>
        <w:t>고객으로부터 수취하였거나 내부적으로 생성된 모든 주문 (알고리즘 주문 포함)</w:t>
      </w:r>
    </w:p>
    <w:p>
      <w:pPr>
        <w:pStyle w:val="ListBullet"/>
      </w:pPr>
      <w:r>
        <w:t>수취, 변경, 취소, 체결 시간</w:t>
      </w:r>
    </w:p>
    <w:p>
      <w:pPr>
        <w:pStyle w:val="ListBullet"/>
      </w:pPr>
      <w:r>
        <w:t>고객 식별</w:t>
      </w:r>
    </w:p>
    <w:p>
      <w:pPr>
        <w:pStyle w:val="ListBullet"/>
      </w:pPr>
      <w:r>
        <w:t>주문을 생성한 알고리즘 매매 전략 (해당하는 경우)</w:t>
      </w:r>
    </w:p>
    <w:p>
      <w:pPr>
        <w:pStyle w:val="ListBullet"/>
      </w:pPr>
      <w:r>
        <w:t>주문-거래 연결</w:t>
      </w:r>
    </w:p>
    <w:p>
      <w:r>
        <w:t>RTS 24는 거래장소에서의 주문기록 보관 데이터 필드(장소가 유지해야 하는 "주문 데이터")를 명시한다. 이는 다음을 포함한다:</w:t>
      </w:r>
    </w:p>
    <w:p>
      <w:pPr>
        <w:pStyle w:val="ListBullet"/>
      </w:pPr>
      <w:r>
        <w:t>주문 우선순위 타임스탬프 (RTS 25에 명시된 정밀도)</w:t>
      </w:r>
    </w:p>
    <w:p>
      <w:pPr>
        <w:pStyle w:val="ListBullet"/>
      </w:pPr>
      <w:r>
        <w:t>주문 유형, 유효기간, 특정 지시사항</w:t>
      </w:r>
    </w:p>
    <w:p>
      <w:pPr>
        <w:pStyle w:val="ListBullet"/>
      </w:pPr>
      <w:r>
        <w:t>이벤트 (제출, 변경, 취소, 체결, 만료)</w:t>
      </w:r>
    </w:p>
    <w:p>
      <w:pPr>
        <w:pStyle w:val="ListBullet"/>
      </w:pPr>
      <w:r>
        <w:t>회원/참가자 식별자 및 고객 식별자</w:t>
      </w:r>
    </w:p>
    <w:p>
      <w:r>
        <w:t>기록은 최소 5년간 보관되어야 하며 NCA 요청 시 합리적 기간 내에 제공되어야 한다.</w:t>
      </w:r>
    </w:p>
    <w:p>
      <w:pPr>
        <w:pStyle w:val="Heading3"/>
      </w:pPr>
      <w:r>
        <w:t>5.4 ESMA 시장건전성 활동 (ESMA Market Integrity Activities)</w:t>
      </w:r>
    </w:p>
    <w:p>
      <w:r>
        <w:t>ESMA는 여러 메커니즘을 통해 EU 전체의 시장 건전성을 조율한다:</w:t>
      </w:r>
    </w:p>
    <w:p>
      <w:r>
        <w:t>의심거래·주문보고 (STORs):</w:t>
      </w:r>
    </w:p>
    <w:p>
      <w:pPr>
        <w:pStyle w:val="ListBullet"/>
      </w:pPr>
      <w:r>
        <w:t>시장운영자, 투자회사, 거래를 전문적으로 주선하는 자는 내부자거래, 시장조작, 또는 내부자거래/조작 시도에 해당할 수 있는 주문 또는 거래를 NCA에 보고해야 함 (MAR 제16조)</w:t>
      </w:r>
    </w:p>
    <w:p>
      <w:pPr>
        <w:pStyle w:val="ListBullet"/>
      </w:pPr>
      <w:r>
        <w:t>NCA는 ESMA의 조율 프레임워크를 통해 STORs를 국경간 공유</w:t>
      </w:r>
    </w:p>
    <w:p>
      <w:pPr>
        <w:pStyle w:val="ListBullet"/>
      </w:pPr>
      <w:r>
        <w:t>2024년, ESMA는 NCA가 연간 수천 건의 STORs를 접수하며, 대부분 내부자거래 및 시장조작 의심 관련이라고 보고 [추정]</w:t>
      </w:r>
    </w:p>
    <w:p>
      <w:r>
        <w:t>ESMA 동료심사:</w:t>
      </w:r>
    </w:p>
    <w:p>
      <w:pPr>
        <w:pStyle w:val="ListBullet"/>
      </w:pPr>
      <w:r>
        <w:t>ESMA는 MAR에 따른 NCA 집행 관행에 대한 정기적 동료심사를 실시</w:t>
      </w:r>
    </w:p>
    <w:p>
      <w:pPr>
        <w:pStyle w:val="ListBullet"/>
      </w:pPr>
      <w:r>
        <w:t>2024년 통합 제재 보고서는 국가별 집행 조치에 "명확한 불일치"가 있음을 밝혔으며, 일부 NCA가 유사한 위반에 대해 다른 NCA보다 상당히 높은 제재를 부과</w:t>
      </w:r>
    </w:p>
    <w:p>
      <w:r>
        <w:t>시장감시 조율:</w:t>
      </w:r>
    </w:p>
    <w:p>
      <w:pPr>
        <w:pStyle w:val="ListBullet"/>
      </w:pPr>
      <w:r>
        <w:t>ESMA는 국경간 시장남용 사건에 대한 NCA 간 협력을 촉진</w:t>
      </w:r>
    </w:p>
    <w:p>
      <w:pPr>
        <w:pStyle w:val="ListBullet"/>
      </w:pPr>
      <w:r>
        <w:t>ESMA 감독이사회는 ESMA 규정 제9조에 따라 경고, 권고, 비상조치를 발행할 수 있음</w:t>
      </w:r>
    </w:p>
    <w:p>
      <w:r>
        <w:t>[Source: ESMA, "Consolidated Report on Sanctions and Measures 2024",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보고 요건 (Reporting Requirements)</w:t>
      </w:r>
    </w:p>
    <w:p>
      <w:pPr>
        <w:pStyle w:val="Heading3"/>
      </w:pPr>
      <w:r>
        <w:t>6.1 MiFIR 제26조 거래보고 (요약) (Transaction Reporting Summary)</w:t>
      </w:r>
    </w:p>
    <w:p>
      <w:r>
        <w:t>제5.1절에 상세히 기술된 바와 같이, 투자회사는 65개 필드의 거래보고를 T+1 영업종료 전까지 NCA에 제출해야 한다. 이 절은 보고 체인을 요약한다:</w:t>
      </w:r>
    </w:p>
    <w:p>
      <w:r>
        <w:t>보고 주체:</w:t>
      </w:r>
    </w:p>
    <w:p>
      <w:pPr>
        <w:pStyle w:val="ListBullet"/>
      </w:pPr>
      <w:r>
        <w:t>체결 투자회사 (거래를 체결한 회사)</w:t>
      </w:r>
    </w:p>
    <w:p>
      <w:pPr>
        <w:pStyle w:val="ListBullet"/>
      </w:pPr>
      <w:r>
        <w:t>또는, 회사를 대신하여 공인보고메커니즘(ARM)을 통해</w:t>
      </w:r>
    </w:p>
    <w:p>
      <w:pPr>
        <w:pStyle w:val="ListBullet"/>
      </w:pPr>
      <w:r>
        <w:t>거래장소가 회원을 대신하여 보고 가능 (장소 보고)</w:t>
      </w:r>
    </w:p>
    <w:p>
      <w:r>
        <w:t>보고 체인:</w:t>
      </w:r>
    </w:p>
    <w:p>
      <w:pPr/>
      <w:r>
        <w:rPr>
          <w:rFonts w:ascii="Consolas" w:hAnsi="Consolas"/>
          <w:color w:val="333333"/>
          <w:sz w:val="16"/>
        </w:rPr>
        <w:t>투자회사 → ARM → NCA → ESMA (국경간 데이터 공유)</w:t>
        <w:br/>
        <w:t xml:space="preserve">        또는</w:t>
        <w:br/>
        <w:t>거래장소 → NCA → ESMA (장내 거래에 대해 장소가 회원을 대신하여 보고하는 경우)</w:t>
      </w:r>
    </w:p>
    <w:p>
      <w:r>
        <w:t>주요 식별자:</w:t>
      </w:r>
    </w:p>
    <w:p>
      <w:pPr>
        <w:pStyle w:val="ListBullet"/>
      </w:pPr>
      <w:r>
        <w:t>법인식별자(LEI): 보고 체인의 모든 법인에 대해 의무</w:t>
      </w:r>
    </w:p>
    <w:p>
      <w:pPr>
        <w:pStyle w:val="ListBullet"/>
      </w:pPr>
      <w:r>
        <w:t>국가고객식별자: 자연인 고객용 (여권번호, 국민ID, 납세자번호 — 회원국별 상이, 국가코드와 결합)</w:t>
      </w:r>
    </w:p>
    <w:p>
      <w:pPr>
        <w:pStyle w:val="ListBullet"/>
      </w:pPr>
      <w:r>
        <w:t>ISIN: 의무적 상품 식별자</w:t>
      </w:r>
    </w:p>
    <w:p>
      <w:pPr>
        <w:pStyle w:val="ListBullet"/>
      </w:pPr>
      <w:r>
        <w:t>MIC 코드: 거래장소 식별</w:t>
      </w:r>
    </w:p>
    <w:p>
      <w:pPr>
        <w:pStyle w:val="Heading3"/>
      </w:pPr>
      <w:r>
        <w:t>6.2 포지션 보고 (Position Reporting)</w:t>
      </w:r>
    </w:p>
    <w:p>
      <w:pPr>
        <w:pStyle w:val="Heading4"/>
      </w:pPr>
      <w:r>
        <w:t>6.2.1 상품파생상품 포지션 보고 (MiFID II 제57-58조)</w:t>
      </w:r>
    </w:p>
    <w:p>
      <w:r>
        <w:t>상품파생상품을 거래하는 거래장소는 포지션한도를 적용하고 포지션 데이터를 NCA와 ESMA에 보고해야 한다:</w:t>
      </w:r>
    </w:p>
    <w:p>
      <w:pPr>
        <w:pStyle w:val="ListBullet"/>
      </w:pPr>
      <w:r>
        <w:t>주간 보고: 포지션 보유자 범주별 집계 포지션</w:t>
      </w:r>
    </w:p>
    <w:p>
      <w:pPr>
        <w:pStyle w:val="ListBullet"/>
      </w:pPr>
      <w:r>
        <w:t>일일 보고: 포지션이 특정 기준을 초과하는 회원/참가자 및 그 고객의 개별 포지션</w:t>
      </w:r>
    </w:p>
    <w:p>
      <w:pPr>
        <w:pStyle w:val="ListBullet"/>
      </w:pPr>
      <w:r>
        <w:t>ESMA가 집계 포지션 데이터를 공표</w:t>
      </w:r>
    </w:p>
    <w:p>
      <w:r>
        <w:t>이는 주식과 직접적 관련은 적으나 주식연계 파생상품 및 구조화상품에 영향을 미칠 수 있다.</w:t>
      </w:r>
    </w:p>
    <w:p>
      <w:pPr>
        <w:pStyle w:val="Heading4"/>
      </w:pPr>
      <w:r>
        <w:t>6.2.2 순공매도 포지션 보고 (SSR)</w:t>
      </w:r>
    </w:p>
    <w:p>
      <w:r>
        <w:t>제2.5절에 상세히 기술된 바와 같이:</w:t>
      </w:r>
    </w:p>
    <w:p>
      <w:pPr>
        <w:pStyle w:val="ListBullet"/>
      </w:pPr>
      <w:r>
        <w:t>NCA 보고 기준: 발행주식자본의 0.1% (0.1% 초과 시 매 0.1% 단위)</w:t>
      </w:r>
    </w:p>
    <w:p>
      <w:pPr>
        <w:pStyle w:val="ListBullet"/>
      </w:pPr>
      <w:r>
        <w:t>공개 공시 기준: 발행주식자본의 0.5% (0.1% 초과 시 매 0.1% 단위)</w:t>
      </w:r>
    </w:p>
    <w:p>
      <w:pPr>
        <w:pStyle w:val="ListBullet"/>
      </w:pPr>
      <w:r>
        <w:t>보고는 해당 주식이 최초로 정규시장에 거래허용된 회원국의 NCA에 대해 이루어져야 함</w:t>
      </w:r>
    </w:p>
    <w:p>
      <w:pPr>
        <w:pStyle w:val="ListBullet"/>
      </w:pPr>
      <w:r>
        <w:t>ESMA가 집계된 순공매도 포지션 데이터를 공표</w:t>
      </w:r>
    </w:p>
    <w:p>
      <w:pPr>
        <w:pStyle w:val="Heading3"/>
      </w:pPr>
      <w:r>
        <w:t>6.3 공매도 공시 (Short Selling Disclosure)</w:t>
      </w:r>
    </w:p>
    <w:p>
      <w:r>
        <w:t>공매도 규정은 다음을 요구한다: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의무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수취자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시한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NCA에 비공개 통지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0.1% (0.1% 초과 시 매 0.1%)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관련 NCA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다음 거래일 15:30까지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공개 공시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0.5% (0.1% 초과 시 매 0.1%)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공개 (NCA 공표를 통해)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다음 거래일 15:30까지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국채 CDS 공시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ESMA가 발행인별로 공표하는 기준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관련 NCA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다음 거래일 15:30까지</w:t>
            </w:r>
          </w:p>
        </w:tc>
      </w:tr>
    </w:tbl>
    <w:p/>
    <w:p>
      <w:r>
        <w:t>ESMA 개혁 제안: ESMA는 EU 전체 중앙 공시 시스템과 NCA가 발행인별 집계 순공매도 포지션을 정기적으로 공표할 의무를 제안하였다.</w:t>
      </w:r>
    </w:p>
    <w:p>
      <w:r>
        <w:t>영국 접근법: UK Short Selling Regulations 2025는 공개 공시 요건을 삭제하였다. 포지션은 FCA에만 보고된다. FCA는 집계된 익명 데이터를 공표할 수 있다.</w:t>
      </w:r>
    </w:p>
    <w:p>
      <w:r>
        <w:t>[Source: ESMA, "SSR Reporting", accessed 2026-04-06]</w:t>
      </w:r>
    </w:p>
    <w:p>
      <w:r>
        <w:t>[Source: FCA, "Notification and disclosure of net short positions", accessed 2026-04-06]</w:t>
      </w:r>
    </w:p>
    <w:p>
      <w:pPr>
        <w:pStyle w:val="Heading3"/>
      </w:pPr>
      <w:r>
        <w:t>6.4 거래정보저장소 보고 (Trade Repository Reporting)</w:t>
      </w:r>
    </w:p>
    <w:p>
      <w:r>
        <w:t>주로 EMIR (유럽시장인프라규정)(파생상품)에 의해 규율되지만, 거래정보저장소 보고는 다음을 통해 주식시장과 상호작용한다:</w:t>
      </w:r>
    </w:p>
    <w:p>
      <w:pPr>
        <w:pStyle w:val="ListBullet"/>
      </w:pPr>
      <w:r>
        <w:t>증권금융거래규정(SFTR): 증권대차, 환매조건부매매, 매도후매수 거래, 증거금 대출의 등록 거래정보저장소 보고를 요구(2020년부터). 이는 주식의 공매도, 시장조성, 담보관리를 뒷받침하는 증권대차 시장을 포착한다.</w:t>
      </w:r>
    </w:p>
    <w:p>
      <w:pPr>
        <w:pStyle w:val="ListBullet"/>
      </w:pPr>
      <w:r>
        <w:t>EMIR (유럽시장인프라규정): 주식을 기초자산으로 하는 장외파생상품은 거래정보저장소에 보고되어야 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국경간 제도 (Cross-border Arrangements)</w:t>
      </w:r>
    </w:p>
    <w:p>
      <w:pPr>
        <w:pStyle w:val="Heading3"/>
      </w:pPr>
      <w:r>
        <w:t>7.1 EU 패스포팅 (EU 내) (EU Passporting, Intra-EU)</w:t>
      </w:r>
    </w:p>
    <w:p>
      <w:r>
        <w:t>EU 내에서 "패스포트" 시스템은 한 회원국에서 인가된 투자회사가 별도의 현지 인가 없이 27개 전체 회원국에서 서비스를 제공할 수 있게 한다.</w:t>
      </w:r>
    </w:p>
    <w:p>
      <w:r>
        <w:t>작동 방식:</w:t>
      </w:r>
    </w:p>
    <w:p>
      <w:pPr>
        <w:pStyle w:val="ListBullet"/>
      </w:pPr>
      <w:r>
        <w:t>본국 회원국에서 인가된 투자회사가 다른 회원국에서 국경간 서비스 제공 또는 지점 설립 의사를 본국 NCA에 통지</w:t>
      </w:r>
    </w:p>
    <w:p>
      <w:pPr>
        <w:pStyle w:val="ListBullet"/>
      </w:pPr>
      <w:r>
        <w:t>본국 NCA가 수취국 NCA에 통지를 전달</w:t>
      </w:r>
    </w:p>
    <w:p>
      <w:pPr>
        <w:pStyle w:val="ListBullet"/>
      </w:pPr>
      <w:r>
        <w:t>회사가 서비스 제공을 개시할 수 있음 (통지 기반, 승인 기반이 아님)</w:t>
      </w:r>
    </w:p>
    <w:p>
      <w:pPr>
        <w:pStyle w:val="ListBullet"/>
      </w:pPr>
      <w:r>
        <w:t>본국 NCA가 주 감독 책임을 유지; 수취국 NCA는 일부 영역에서 영업행위 규칙에 대한 관할권 보유</w:t>
      </w:r>
    </w:p>
    <w:p>
      <w:r>
        <w:t>MiFID II (금융상품시장지침 II) 하에서의 패스포팅 적용 대상:</w:t>
      </w:r>
    </w:p>
    <w:p>
      <w:pPr>
        <w:pStyle w:val="ListBullet"/>
      </w:pPr>
      <w:r>
        <w:t>투자서비스 및 활동 (딜링, 중개, 포트폴리오 운용, 투자자문)</w:t>
      </w:r>
    </w:p>
    <w:p>
      <w:pPr>
        <w:pStyle w:val="ListBullet"/>
      </w:pPr>
      <w:r>
        <w:t>MTF 및 OTF 운영</w:t>
      </w:r>
    </w:p>
    <w:p>
      <w:pPr>
        <w:pStyle w:val="ListBullet"/>
      </w:pPr>
      <w:r>
        <w:t>부수 서비스</w:t>
      </w:r>
    </w:p>
    <w:p>
      <w:r>
        <w:t>적용되지 않는 대상:</w:t>
      </w:r>
    </w:p>
    <w:p>
      <w:pPr>
        <w:pStyle w:val="ListBullet"/>
      </w:pPr>
      <w:r>
        <w:t>정규시장(RM) 운영 (RM은 운영하고자 하는 각 회원국에서 별도 인가 필요)</w:t>
      </w:r>
    </w:p>
    <w:p>
      <w:pPr>
        <w:pStyle w:val="ListBullet"/>
      </w:pPr>
      <w:r>
        <w:t>MiFID II 범위 밖의 활동</w:t>
      </w:r>
    </w:p>
    <w:p>
      <w:pPr>
        <w:pStyle w:val="Heading3"/>
      </w:pPr>
      <w:r>
        <w:t>7.2 제3국 동등성 (EU 프레임워크) (Third-Country Equivalence)</w:t>
      </w:r>
    </w:p>
    <w:p>
      <w:r>
        <w:t>비EU 국가(브렉시트 이후 영국 포함) 기업의 EU 시장 접근은 MiFIR 제3국 체제에 의해 규율된다:</w:t>
      </w:r>
    </w:p>
    <w:p>
      <w:r>
        <w:t>동등성 기반 접근 (MiFIR 제46-49조):</w:t>
      </w:r>
    </w:p>
    <w:p>
      <w:pPr>
        <w:pStyle w:val="ListBullet"/>
      </w:pPr>
      <w:r>
        <w:t>제3국의 규제·감독 프레임워크가 EU와 동등한 것으로 간주되면 유럽집행위원회가 동등성 결정을 채택할 수 있음</w:t>
      </w:r>
    </w:p>
    <w:p>
      <w:pPr>
        <w:pStyle w:val="ListBullet"/>
      </w:pPr>
      <w:r>
        <w:t>동등성이 부여되면, 제3국 회사는 ESMA에 등록하고 지점 설립 없이 EU 내 전문 고객 및 적격 거래상대방에게 투자서비스를 제공할 수 있음</w:t>
      </w:r>
    </w:p>
    <w:p>
      <w:pPr>
        <w:pStyle w:val="ListBullet"/>
      </w:pPr>
      <w:r>
        <w:t>동등성 결정은 일방적이며, 언제든 철회 가능하고, 정치적으로 민감</w:t>
      </w:r>
    </w:p>
    <w:p>
      <w:r>
        <w:t>현행 영국 지위:</w:t>
      </w:r>
    </w:p>
    <w:p>
      <w:pPr>
        <w:pStyle w:val="ListBullet"/>
      </w:pPr>
      <w:r>
        <w:t>EU는 영국에 대해 매우 제한적인 동등성을 부여:</w:t>
      </w:r>
    </w:p>
    <w:p>
      <w:pPr>
        <w:pStyle w:val="ListBullet"/>
      </w:pPr>
      <w:r>
        <w:t>중앙청산소(중앙거래상대방, CCP)(LCH, ICE Clear Europe)에 대한 임시 동등성 — 여러 차례 연장</w:t>
      </w:r>
    </w:p>
    <w:p>
      <w:pPr>
        <w:pStyle w:val="ListBullet"/>
      </w:pPr>
      <w:r>
        <w:t>중앙예탁기관(CSD)에 대한 임시 동등성 (제한적 범위)</w:t>
      </w:r>
    </w:p>
    <w:p>
      <w:pPr>
        <w:pStyle w:val="ListBullet"/>
      </w:pPr>
      <w:r>
        <w:t>투자서비스에 대한 동등성 없음 — 영국 회사는 MiFID 서비스에 대해 EU로 패스포트 불가</w:t>
      </w:r>
    </w:p>
    <w:p>
      <w:pPr>
        <w:pStyle w:val="ListBullet"/>
      </w:pPr>
      <w:r>
        <w:t>EU 고객을 서비스하는 영국 회사는 반드시: (a) EU 인가 자회사를 설립하거나, (b) 회원국 국내 제도(가능한 경우)에 의존하거나, (c) 역방향 권유 고객만 서비스해야 함</w:t>
      </w:r>
    </w:p>
    <w:p>
      <w:r>
        <w:t>MiFIR 개정의 제3국 체제 변경:</w:t>
      </w:r>
    </w:p>
    <w:p>
      <w:pPr>
        <w:pStyle w:val="ListBullet"/>
      </w:pPr>
      <w:r>
        <w:t>동등성 결정 조건 강화</w:t>
      </w:r>
    </w:p>
    <w:p>
      <w:pPr>
        <w:pStyle w:val="ListBullet"/>
      </w:pPr>
      <w:r>
        <w:t>ESMA에 제3국 회사 활동 감시 강화 권한 부여</w:t>
      </w:r>
    </w:p>
    <w:p>
      <w:pPr>
        <w:pStyle w:val="ListBullet"/>
      </w:pPr>
      <w:r>
        <w:t>제3국 회사의 EU 활동을 ESMA에 보고하는 새 요건</w:t>
      </w:r>
    </w:p>
    <w:p>
      <w:pPr>
        <w:pStyle w:val="ListBullet"/>
      </w:pPr>
      <w:r>
        <w:t>조건이 더 이상 충족되지 않는 경우의 동등성 철회 규정</w:t>
      </w:r>
    </w:p>
    <w:p>
      <w:r>
        <w:t>[Source: UK Finance, "What the MiFIR third-country regime means for UK-EU cross-border services", accessed 2026-04-06]</w:t>
      </w:r>
    </w:p>
    <w:p>
      <w:r>
        <w:t>[Source: ESMA, "Assessment of third-country venues under MiFID II and MiFIR", accessed 2026-04-06]</w:t>
      </w:r>
    </w:p>
    <w:p>
      <w:pPr>
        <w:pStyle w:val="Heading3"/>
      </w:pPr>
      <w:r>
        <w:t>7.3 브렉시트 이후 영국-EU 협력 (UK-EU Cooperation Post-Brexit)</w:t>
      </w:r>
    </w:p>
    <w:p>
      <w:r>
        <w:t>양해각서(MoU):</w:t>
      </w:r>
    </w:p>
    <w:p>
      <w:pPr>
        <w:pStyle w:val="ListBullet"/>
      </w:pPr>
      <w:r>
        <w:t>규제 협력에 관한 비구속적 MoU가 2023년 6월 영국과 EU 간 합의</w:t>
      </w:r>
    </w:p>
    <w:p>
      <w:pPr>
        <w:pStyle w:val="ListBullet"/>
      </w:pPr>
      <w:r>
        <w:t>정보 공유, 감독 협력, 규제 변경의 조기 통지를 포함</w:t>
      </w:r>
    </w:p>
    <w:p>
      <w:pPr>
        <w:pStyle w:val="ListBullet"/>
      </w:pPr>
      <w:r>
        <w:t>시장 접근 권한을 부여하지 않음</w:t>
      </w:r>
    </w:p>
    <w:p>
      <w:r>
        <w:t>영국의 EU 동등성에 대한 접근법:</w:t>
      </w:r>
    </w:p>
    <w:p>
      <w:pPr>
        <w:pStyle w:val="ListBullet"/>
      </w:pPr>
      <w:r>
        <w:t>영국이 EU에 대한 동등성 부여에 보다 관대</w:t>
      </w:r>
    </w:p>
    <w:p>
      <w:pPr>
        <w:pStyle w:val="ListBullet"/>
      </w:pPr>
      <w:r>
        <w:t>임시과도권(TTP) 하에서 이루어진 대부분의 EU 동등성 결정이 유지 또는 영구화</w:t>
      </w:r>
    </w:p>
    <w:p>
      <w:pPr>
        <w:pStyle w:val="ListBullet"/>
      </w:pPr>
      <w:r>
        <w:t>EU 인가 회사는 영국 시장에 영국 회사가 EU 시장에 접근하는 것보다 용이하게 접근 가능</w:t>
      </w:r>
    </w:p>
    <w:p>
      <w:r>
        <w:t>주식시장에 대한 실질적 영향:</w:t>
      </w:r>
    </w:p>
    <w:p>
      <w:pPr>
        <w:pStyle w:val="ListBullet"/>
      </w:pPr>
      <w:r>
        <w:t>브렉시트 이후, "주식거래의무"(STO)로 인해 상당한 주식 매매량이 런던에서 EU 장소(특히 암스테르담)로 이전. STO는 EU 투자회사가 EU 주식을 EU 장소에서 거래하도록 요구</w:t>
      </w:r>
    </w:p>
    <w:p>
      <w:pPr>
        <w:pStyle w:val="ListBullet"/>
      </w:pPr>
      <w:r>
        <w:t>영국은 자체 STO를 적용하여 영국 회사가 영국 주식을 영국 장소 또는 동등한 장소에서 거래하도록 요구</w:t>
      </w:r>
    </w:p>
    <w:p>
      <w:pPr>
        <w:pStyle w:val="ListBullet"/>
      </w:pPr>
      <w:r>
        <w:t>이로 인해 동일한 주식(예: 이중상장 기업)이 고객의 위치에 따라 다른 규제 체제에서 거래될 수 있는 분절된 환경이 형성</w:t>
      </w:r>
    </w:p>
    <w:p>
      <w:r>
        <w:t>[Source: European Commission, "EU-UK relations — Financial Services", accessed 2026-04-06] [미확인 — MoU 프레임워크에 대한 일반적 지식에 기반]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최근 변경 사항 (2021-2026) (Recent Changes)</w:t>
      </w:r>
    </w:p>
    <w:p>
      <w:pPr>
        <w:pStyle w:val="Heading3"/>
      </w:pPr>
      <w:r>
        <w:t>8.1 MiFID II/MiFIR 개정 (MiFIR Refit)</w:t>
      </w:r>
    </w:p>
    <w:p>
      <w:r>
        <w:t>일정: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2021년 11월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유럽집행위원회가 MiFIR 개정 입법 제안 공표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2024년 2월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유럽의회와 이사회 간 정치적 합의 도달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2024년 3월 28일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MiFIR 개정 (Regulation (EU) 2024/791) 발효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9월 29일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MiFID II (금융상품시장지침 II) 개정 이행 기한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10월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단일거래량상한(SVC)이 이중거래량상한(DVC)을 대체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2026년 3월 2일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개정 RTS 1 및 RTS 2에 따른 새 투명성 의무 일반 시행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2025-2026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ESMA가 복수 패키지로 Level 2 기술기준(RTS/ITS)을 제출</w:t>
            </w:r>
          </w:p>
        </w:tc>
      </w:tr>
    </w:tbl>
    <w:p/>
    <w:p>
      <w:r>
        <w:t>주요 변경 요약:</w:t>
      </w:r>
    </w:p>
    <w:p>
      <w:pPr>
        <w:pStyle w:val="ListNumber"/>
      </w:pPr>
      <w:r>
        <w:t>통합테이프: ESMA 선정 절차를 통한 의무적 CTP 체제 (제4.1절 참조)</w:t>
      </w:r>
    </w:p>
    <w:p>
      <w:pPr>
        <w:pStyle w:val="ListNumber"/>
      </w:pPr>
      <w:r>
        <w:t>거래량상한: DVC가 SVC(참조가격 면제에만 적용되는 7% 단일상한)로 대체</w:t>
      </w:r>
    </w:p>
    <w:p>
      <w:pPr>
        <w:pStyle w:val="ListNumber"/>
      </w:pPr>
      <w:r>
        <w:t>투명성: 사전·사후거래 투명성 보정 개정; 새 유동성 정의</w:t>
      </w:r>
    </w:p>
    <w:p>
      <w:pPr>
        <w:pStyle w:val="ListNumber"/>
      </w:pPr>
      <w:r>
        <w:t>SI 체제: SI 지정을 위한 정량 기준이 정성적 자체평가로 대체; 호가제시 의무 개정</w:t>
      </w:r>
    </w:p>
    <w:p>
      <w:pPr>
        <w:pStyle w:val="ListNumber"/>
      </w:pPr>
      <w:r>
        <w:t>시장데이터: 구속력 있는 RCB 기술기준; CTP에 대한 의무적 데이터 기여</w:t>
      </w:r>
    </w:p>
    <w:p>
      <w:pPr>
        <w:pStyle w:val="ListNumber"/>
      </w:pPr>
      <w:r>
        <w:t>거래보고: 강화된 제26조 범위 및 개정 RTS 22</w:t>
      </w:r>
    </w:p>
    <w:p>
      <w:pPr>
        <w:pStyle w:val="ListNumber"/>
      </w:pPr>
      <w:r>
        <w:t>제3국 체제: 강화된 조건 및 ESMA 감독</w:t>
      </w:r>
    </w:p>
    <w:p>
      <w:pPr>
        <w:pStyle w:val="ListNumber"/>
      </w:pPr>
      <w:r>
        <w:t>지정공표기관(DPE): 특정 공표 기능에 대해 APA를 대체하는 새 개념</w:t>
      </w:r>
    </w:p>
    <w:p>
      <w:r>
        <w:t>[Source: ESMA, "MiFID II and MiFIR review", accessed 2026-04-06]</w:t>
      </w:r>
    </w:p>
    <w:p>
      <w:r>
        <w:t>[Source: Ashurst, "ESMA final reports on MiFIR reform: Another piece of the jigsaw", accessed 2026-04-06]</w:t>
      </w:r>
    </w:p>
    <w:p>
      <w:pPr>
        <w:pStyle w:val="Heading3"/>
      </w:pPr>
      <w:r>
        <w:t>8.2 Edinburgh 개혁 및 영국 도매시장 검토 (Edinburgh Reforms and UK Wholesale Markets Review)</w:t>
      </w:r>
    </w:p>
    <w:p>
      <w:r>
        <w:t>영국 정부의 "Edinburgh 개혁"(2022년 12월) 및 후속 "Leeds 개혁"은 영국 경쟁력 강화라는 포괄적 목표 하에 브렉시트 이후 영국 금융서비스의 전략적 방향을 설정하였다.</w:t>
      </w:r>
    </w:p>
    <w:p>
      <w:r>
        <w:t>주요 진전: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개혁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**도매시장 검토**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진행 중 (복수 단계)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FCA가 MiFID 파생 규칙 변경 시행 중: 고정수익 SI 체제 폐지, 주식 투명성 검토, 보고 간소화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**FSMA 2023**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시행 중 (2023년 6월 29일)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FCA/PRA에 잔류 EU 법 대체 규칙 제정 권한 부여; 경쟁력 부차적 목표 추가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**UK 상장규칙 (UKLR)**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시행 중 (2024년 7월 29일)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하단 제8.3절 참조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**UK 투자설명서 제도**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시행 중 (2026년 1월 19일)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새 PRM 규칙집이 잔류 EU 투자설명서 규정을 대체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**Short Selling Regulations 2025**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시행 중 (2025)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경량화된 영국 제도; 공개 공시 없음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**주식 CT**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의견수렴 (CP25/31, 2025년 11월)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영국 주식 CT 프레임워크; 출시 목표 2027년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**채권 CT**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 체결 (2026년 1월)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ETS 선정; 출시 목표 2026년 6월 22일</w:t>
            </w:r>
          </w:p>
        </w:tc>
      </w:tr>
    </w:tbl>
    <w:p/>
    <w:p>
      <w:r>
        <w:t>[Source: FCA, "FCA statement on market reforms and what's to come", accessed 2026-04-06]</w:t>
      </w:r>
    </w:p>
    <w:p>
      <w:pPr>
        <w:pStyle w:val="Heading3"/>
      </w:pPr>
      <w:r>
        <w:t>8.3 2024년 영국 상장규칙 개혁 (UKLR) (UK Listing Rules Reform 2024)</w:t>
      </w:r>
    </w:p>
    <w:p>
      <w:r>
        <w:t>FCA가 30년 이상 만에 영국 상장규칙의 가장 대대적인 개편을 공표하여 2024년 7월 29일 시행하였다.</w:t>
      </w:r>
    </w:p>
    <w:p>
      <w:r>
        <w:t>핵심 변경사항: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구제도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신제도 (UKLR)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프리미엄 상장 카테고리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주식(상업회사, Equity Shares - Commercial Companies) — **ESCC**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스탠다드 상장 카테고리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**전환 카테고리** (신규 진입 불가; 기존 스탠다드 상장 회사 자동 이전)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차등의결권 구조 강하게 제한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차등의결권 주식 최대 10년간 허용 (이전 프리미엄은 5년)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IPO 및 중대한 거래 시 스폰서 필요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IPO 시 스폰서 필요; 지속적 역할 축소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중대한 거래, 특수관계인 거래에 주주투표 의무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중대한 거래에 주주투표 의무 없음; 특수관계인 거래는 이사회 승인(독립적 감독 포함)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3년 업적 기록 필요 (프리미엄)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최소 업적 기록 요건 없음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25% 최소 유통물량 (프리미엄)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10% 최소 유통물량</w:t>
            </w:r>
          </w:p>
        </w:tc>
      </w:tr>
    </w:tbl>
    <w:p/>
    <w:p>
      <w:r>
        <w:t>추가 카테고리:</w:t>
      </w:r>
    </w:p>
    <w:p>
      <w:pPr>
        <w:pStyle w:val="ListBullet"/>
      </w:pPr>
      <w:r>
        <w:t>셸 회사 (SPACs): 맞춤형 규칙을 가진 전용 카테고리</w:t>
      </w:r>
    </w:p>
    <w:p>
      <w:pPr>
        <w:pStyle w:val="ListBullet"/>
      </w:pPr>
      <w:r>
        <w:t>2차 상장: 해외에 주로 상장된 회사용</w:t>
      </w:r>
    </w:p>
    <w:p>
      <w:pPr>
        <w:pStyle w:val="ListBullet"/>
      </w:pPr>
      <w:r>
        <w:t>비주식 및 무의결권 주식</w:t>
      </w:r>
    </w:p>
    <w:p>
      <w:pPr>
        <w:pStyle w:val="ListBullet"/>
      </w:pPr>
      <w:r>
        <w:t>폐쇄형 투자펀드</w:t>
      </w:r>
    </w:p>
    <w:p>
      <w:r>
        <w:t>근거: 개혁은 상장의 규제 부담을 줄이면서 공시 및 거버넌스 요건을 통한 투자자보호를 유지하여 런던에 더 많은 IPO를 유치하는 것을 목표로 한다. FCA는 5년 후 시행 후 검토를 실시할 예정.</w:t>
      </w:r>
    </w:p>
    <w:p>
      <w:r>
        <w:t>[Source: FCA, "PS24/6: Primary Markets Effectiveness Review", accessed 2026-04-06]</w:t>
      </w:r>
    </w:p>
    <w:p>
      <w:r>
        <w:t>[Source: FCA, "FCA overhauls listing rules to boost growth and innovation on UK stock markets", accessed 2026-04-06]</w:t>
      </w:r>
    </w:p>
    <w:p>
      <w:pPr>
        <w:pStyle w:val="Heading3"/>
      </w:pPr>
      <w:r>
        <w:t>8.4 T+1 결제주기(Settlement Cycle) 전환</w:t>
      </w:r>
    </w:p>
    <w:p>
      <w:r>
        <w:t>T+2에서 T+1 결제주기로의 전환은 유럽 시장에서 가장 중대한 후선(post-trade) 구조 변화이다.</w:t>
      </w:r>
    </w:p>
    <w:p>
      <w:r>
        <w:t>배경: 미국과 캐나다가 2024년 5월 28일 T+1로 성공적으로 전환한 이후, 결제 리스크를 줄이고 경쟁력을 유지하기 위해 유럽 시장에 대한 압력이 커졌다.</w:t>
      </w:r>
    </w:p>
    <w:p>
      <w:r>
        <w:t>EU 일정: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활동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계획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산업계의 기술 솔루션 확정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산업계 구현; 배정·확인·데이터표준에 대한 새 요건 2026년 12월 7일 시행; 강화된 보고·공시 규칙 2027년 7월 1일부터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2027 (10월까지)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가동 전 산업계 시험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**가동**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**2027년 10월 11일**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 증권시장 T+1 결제주기(Settlement Cycle) 전환</w:t>
            </w:r>
          </w:p>
        </w:tc>
      </w:tr>
    </w:tbl>
    <w:p/>
    <w:p>
      <w:r>
        <w:t>법적 근거: CSDR 개정이 2025년 10월 14일 EU 관보에 게재되어 구속력 있는 법적 요건을 제공.</w:t>
      </w:r>
    </w:p>
    <w:p>
      <w:r>
        <w:t>영국 일정: 영국은 EU의 2027년 10월 11일 일자에 맞추어 전환하기로 약속하였으며, EU와 동시 이행의 운영적 이점을 인정. 영국의 결제주기단축태스크포스(Accelerated Settlement Taskforce)가 이 접근법을 권고.</w:t>
      </w:r>
    </w:p>
    <w:p>
      <w:r>
        <w:t>스위스: 역시 2027년 10월 일자에 맞추고 있다.</w:t>
      </w:r>
    </w:p>
    <w:p>
      <w:r>
        <w:t>주요 과제:</w:t>
      </w:r>
    </w:p>
    <w:p>
      <w:pPr>
        <w:pStyle w:val="ListBullet"/>
      </w:pPr>
      <w:r>
        <w:t>비유럽 투자자(특히 아시아 투자자)에 대한 시간대 간 결제</w:t>
      </w:r>
    </w:p>
    <w:p>
      <w:pPr>
        <w:pStyle w:val="ListBullet"/>
      </w:pPr>
      <w:r>
        <w:t>다통화 거래에 대한 외환결제</w:t>
      </w:r>
    </w:p>
    <w:p>
      <w:pPr>
        <w:pStyle w:val="ListBullet"/>
      </w:pPr>
      <w:r>
        <w:t>증권대차 회수 시점</w:t>
      </w:r>
    </w:p>
    <w:p>
      <w:pPr>
        <w:pStyle w:val="ListBullet"/>
      </w:pPr>
      <w:r>
        <w:t>기업활동(corporate actions) 처리</w:t>
      </w:r>
    </w:p>
    <w:p>
      <w:pPr>
        <w:pStyle w:val="ListBullet"/>
      </w:pPr>
      <w:r>
        <w:t>중앙예탁기관(CSD) 상호운용성</w:t>
      </w:r>
    </w:p>
    <w:p>
      <w:r>
        <w:t>[Source: European Commission, "T+1 settlement", February 2025, accessed 2026-04-06]</w:t>
      </w:r>
    </w:p>
    <w:p>
      <w:r>
        <w:t>[Source: BNP Paribas Securities Services, "T+1 in Europe: what's next for the EU, the UK and Switzerland?", accessed 2026-04-06]</w:t>
      </w:r>
    </w:p>
    <w:p>
      <w:pPr>
        <w:pStyle w:val="Heading3"/>
      </w:pPr>
      <w:r>
        <w:t>8.5 DORA (디지털운영회복력법)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**정식명칭**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Regulation (EU) 2022/2554 — Digital Operational Resilience Act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**적용일**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1월 17일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**적용 범위**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은행, 투자회사, 거래장소, 중앙청산소(중앙거래상대방, CCP), 중앙예탁기관(CSD), 지급결제기관, 암호자산서비스 제공자, 핵심 ICT 제3자 서비스 제공자를 포함한 20개 이상 유형의 금융기관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**목적**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 금융부문 전반의 ICT 리스크 관리, 사고 보고, 운영 회복력 시험 요건을 조화</w:t>
            </w:r>
          </w:p>
        </w:tc>
      </w:tr>
    </w:tbl>
    <w:p/>
    <w:p>
      <w:r>
        <w:t>DORA의 5대 기둥: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기둥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1. ICT 리스크 관리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거버넌스, 식별, 보호, 탐지, 대응, 복구를 포함한 포괄적 ICT 리스크 관리 프레임워크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2. ICT 사고 보고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주요 ICT 관련 사고의 감독당국 보고를 지정된 기한 내 의무화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3. 디지털운영 회복력 시험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ICT 시스템의 정기 시험; 주요 기관에 대해 최소 3년마다 고급위협기반 침투시험(TLPT)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4. ICT 제3자 리스크 관리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ICT 제3자 서비스 제공자로부터의 리스크 관리; 모든 ICT 제3자 계약에 관한 정보 등록부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5. 정보 공유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금융기관 간 사이버위협 정보의 자발적 공유 체계</w:t>
            </w:r>
          </w:p>
        </w:tc>
      </w:tr>
    </w:tbl>
    <w:p/>
    <w:p>
      <w:r>
        <w:t>집행:</w:t>
      </w:r>
    </w:p>
    <w:p>
      <w:pPr>
        <w:pStyle w:val="ListBullet"/>
      </w:pPr>
      <w:r>
        <w:t>금융기관에 대해 연간 전세계 매출의 최대 2%까지 과태료</w:t>
      </w:r>
    </w:p>
    <w:p>
      <w:pPr>
        <w:pStyle w:val="ListBullet"/>
      </w:pPr>
      <w:r>
        <w:t>핵심 ICT 제3자 서비스 제공자에 대해 일평균 전세계 매출의 최대 1%</w:t>
      </w:r>
    </w:p>
    <w:p>
      <w:pPr>
        <w:pStyle w:val="ListBullet"/>
      </w:pPr>
      <w:r>
        <w:t>ESAs(EBA, ESMA, EIOPA)가 핵심 ICT 제3자 서비스 제공자에 대한 "주무감독관"으로 지정</w:t>
      </w:r>
    </w:p>
    <w:p>
      <w:r>
        <w:t>영국 동등 규정: 영국은 자체 운영 회복력 프레임워크(PRA SS1/21 및 FCA PS21/3, 2022년 3월 시행, 2025년 3월까지 완전 준수)를 보유하며, 이는 DORA보다 선행하나 범위가 좁다. 영국 프레임워크는 DORA의 규범적 ICT 리스크 관리 요건 대신 "중요 업무 서비스"와 영향허용범위에 초점을 맞춘다.</w:t>
      </w:r>
    </w:p>
    <w:p>
      <w:r>
        <w:t>[Source: EIOPA, "Digital Operational Resilience Act (DORA)", accessed 2026-04-06]</w:t>
      </w:r>
    </w:p>
    <w:p>
      <w:pPr>
        <w:pStyle w:val="Heading3"/>
      </w:pPr>
      <w:r>
        <w:t>8.6 EU 상장법 (EU Listing Act)</w:t>
      </w:r>
    </w:p>
    <w:p>
      <w:r>
        <w:t>EU 상장법(2024년 채택, 2024-2026년 단계적 시행)은 투자설명서 규정, MAR, MiFID II (금융상품시장지침 II)에 대한 개정 패키지로, EU 공개시장을 기업, 특히 중소기업에 보다 매력적으로 만드는 것을 목표로 한다.</w:t>
      </w:r>
    </w:p>
    <w:p>
      <w:r>
        <w:t>주요 변경사항: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분야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변경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**투자설명서**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소규모 공모 면제 EUR 12M으로 인상; 유통시장 기준 30%로 인상; 표준 투자설명서 300페이지 한도 및 재무제표 2년; 새로운 간소화 "EU 추속(Follow-on)" 투자설명서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내부정보에 대한 보호적 절차 규칙 명확화; 지연 조건 정비; 중소기업 성장시장에 대한 내부자 목록 범위 축소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**MiFID II (금융상품시장지침 II)**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소규모 기업의 리서치 커버리지를 촉진하기 위한 새 "SME 리서치" 체제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**차등의결권**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회원국은 MTF(중소기업 성장시장)에 거래허용을 원하는 기업이 차등의결권 구조를 채택할 수 있도록 해야 함</w:t>
            </w:r>
          </w:p>
        </w:tc>
      </w:tr>
    </w:tbl>
    <w:p/>
    <w:p>
      <w:r>
        <w:t>[Source: AMF, "The Listing Act: Facilitating Companies' Access to European Capital Markets", accessed 2026-04-06]</w:t>
      </w:r>
    </w:p>
    <w:p>
      <w:r>
        <w:t>[Source: Davis Polk, "Changes to EU Prospectus Regulation under new EU Listing Act effective today", accessed 2026-04-06]</w:t>
      </w:r>
    </w:p>
    <w:p>
      <w:pPr>
        <w:pStyle w:val="Heading3"/>
      </w:pPr>
      <w:r>
        <w:t>8.7 EU 통합테이프 진전 (EU Consolidated Tape Progress)</w:t>
      </w:r>
    </w:p>
    <w:p>
      <w:r>
        <w:t>제4.1절에 상세히 기술된 바와 같이, 10년 이상의 논의 끝에 통합테이프가 이제 실현되고 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이정표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MiFIR 개정 발효 (의무적 CTP의 법적 근거)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2024년 3월 28일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채권 CTP 선정 절차 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2월 3일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 CTP 선정 절차 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6월 20일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ESMA가 주식 CT 데이터 기여자 최초 목록 공표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7월 10일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**주식(주식 및 ETF)에 대해 EuroCTP 선정**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**2025년 12월 19일**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장외파생상품 CTP 선정 절차 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2026년 1월 5일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장외파생상품 CTP 결정 예상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2026년 7월 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 CT 가동 예상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2026-2027 [추정]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한국 프레임워크와의 비교 (Comparison with Korean Framework)</w:t>
      </w:r>
    </w:p>
    <w:p>
      <w:pPr>
        <w:pStyle w:val="Heading3"/>
      </w:pPr>
      <w:r>
        <w:t>9.1 규제 기관 비교 (Regulatory Authority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EU/UK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한국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**정책 입안자**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유럽집행위원회 / HM Treasury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 (금융위원회)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**감독기관**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ESMA + 27개 NCA (EU) / FCA (영국)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FSS (금융감독원)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**거래소 감독**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NCA가 개별 장소를 인가·감독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FSC/FSS가 KRX를 감독; KRX 자체가 자율규제 기능(시장감시, 상장사 관리) 보유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**구조**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다층적: 초국가(ESMA) → 국가(NCA) → SRO (제한적)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집중형: FSC (정책) → FSS (감독) → KRX (FSC 감독 하의 자율규제)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**독립성**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ESMA는 EU 기관; NCA는 일반적으로 정부로부터 독립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FSC는 정부 위원회(국무총리 소속); FSS는 산업계 자금으로 운영되는 특수법인</w:t>
            </w:r>
          </w:p>
        </w:tc>
      </w:tr>
    </w:tbl>
    <w:p/>
    <w:p>
      <w:r>
        <w:t>주요 구조적 차이:</w:t>
      </w:r>
    </w:p>
    <w:p>
      <w:pPr>
        <w:pStyle w:val="ListBullet"/>
      </w:pPr>
      <w:r>
        <w:t>EU는 27개 NCA에 의한 분산된 감독 구조를 가지고 있어 조율 문제가 발생하며, ESMA가 이를 해결하고자 한다. 한국은 FSC/FSS 하에서 통합된 감독 구조를 갖는다.</w:t>
      </w:r>
    </w:p>
    <w:p>
      <w:pPr>
        <w:pStyle w:val="ListBullet"/>
      </w:pPr>
      <w:r>
        <w:t>EU에서 거래소는 NCA의 규제를 받는 민간 상업적 법인(Euronext, Deutsche Borse, LSEG)이다. 한국에서 KRX는 유럽에서 다수 장소에 분산된 기능을 결합하는 특수법인(비상장)인 단일·통합 거래소이다.</w:t>
      </w:r>
    </w:p>
    <w:p>
      <w:pPr>
        <w:pStyle w:val="ListBullet"/>
      </w:pPr>
      <w:r>
        <w:t>EU의 규제 프레임워크는 27개 관할권에 걸쳐 적용되는 조화된 입법(지침/규정)에 기반한다. 한국의 프레임워크는 자본시장과 금융투자업에 관한 법률(자본시장법, FSCMA)이라는 단일 통합 법률에 기반한다.</w:t>
      </w:r>
    </w:p>
    <w:p>
      <w:r>
        <w:t>[Source: FSC, "Introduction", accessed 2026-04-06]</w:t>
      </w:r>
    </w:p>
    <w:p>
      <w:r>
        <w:t>[Source: Chambers and Partners, "Financial Services Regulation 2025 — South Korea", accessed 2026-04-06]</w:t>
      </w:r>
    </w:p>
    <w:p>
      <w:pPr>
        <w:pStyle w:val="Heading3"/>
      </w:pPr>
      <w:r>
        <w:t>9.2 시장구조 비교 (Market Structure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EU/UK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한국 (KRX)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**주식 거래장소 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수십 개: ~20개 이상 정규시장, ~30개 이상 MTF, ~15개 이상 SI (주식) [추정]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1개 거래소(KRX) — 3개 시장(KOSPI, KOSDAQ, KONEX)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**분산**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높음 — 동일 주식이 다수 장소에서 거래; 최선집행의무(Best Execution)가 장소 경쟁을 촉진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낮음 — 집중형 호가창; 경쟁 장소 없음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**다크매매**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면제(RPW, LIS, NTW) 하에서 허용; 거래량상한(7% SVC) 적용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제한적; 블록거래 가능하나 EU에 비견되는 다크풀 생태계 없음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**호가단위(최소가격변동폭)**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RTS 11 체제 (가격 + 유동성 구간 매트릭스)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호가단위표는 가격수준에만 기반 (유동성 조정 없음); KOSPI와 KOSDAQ에 다른 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**서킷브레이커(매매거래중단)**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장소 단위(개별 상품별); EU 전체 조화된 메커니즘 없음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전체 사이드카(프로그램매매 중단) + 개별종목 가격제한(일일 ±30%) + 변동성 완화장치(VI) 메커니즘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**거래시간**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장소별 상이; 일반적으로 08:00-16:30 또는 09:00-17:30 현지시간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09:00-15:30 KST (단일 세션)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**결제주기(Settlement Cycle)**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T+2 (2027년 10월 11일 T+1 전환)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**중앙청산소(중앙거래상대방, CCP)**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복수(LCH, Eurex Clearing, CC&amp;G 등)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CCP (한국예탁결제원(KSD)이 결제 처리)</w:t>
            </w:r>
          </w:p>
        </w:tc>
      </w:tr>
    </w:tbl>
    <w:p/>
    <w:p>
      <w:pPr>
        <w:pStyle w:val="Heading3"/>
      </w:pPr>
      <w:r>
        <w:t>9.3 규제 접근법 비교 (Regulatory Approach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분야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EU/UK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한국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**시장남용**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MAR: 민사/행정 + 형사 제재; NCA 집행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자본시장법 제6장: 형사 중심 집행; FSS 조사 → 검찰 기소 회부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**내부자거래**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 제7-8조에 따른 광범위한 정의; 내부정보를 보유한 모든 자를 포함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자본시장법에 따른 유사한 폭; 역사적으로 더 강한 형사 처벌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**공매도**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 조건 하 허용(SSR); 차입확인 요건; 공시 의무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 조건 하 허용; 정기적 금지 시행(특히 2020년 COVID 금지~2021년 5월, 2023년 11월 금지~2025년 3월) [미확인 — 날짜 대략적]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**알고리즘/HFT 매매**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MiFID II 제17, 48조에 따른 포괄적 규제; 통지, 리스크 통제, 기록 보관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덜 규범적; KRX의 프로그램매매 규칙; 사이드카 메커니즘; 코로케이션(전산센터 공동입주) 서비스 이용 가능하나 HFT 특화 규제는 덜 발전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**투자설명서/공시**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투자설명서 규정(EU) / PRM 규칙집(영국)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FSS의 등록신고서 심사; 자본시장법 공시 요건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**통합테이프**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현재 설립 중 (주식 EuroCTP, 채권 CTP)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해당 없음 — 단일 거래소가 모든 데이터 제공; KRX 정보서비스부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**시장데이터 비용**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논쟁적 — RCB 규제, 높은 거래소 데이터 수수료, CTP 논의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단일 출처(KRX); 데이터 수수료 규제; KOSCOM이 데이터 벤더</w:t>
            </w:r>
          </w:p>
        </w:tc>
      </w:tr>
    </w:tbl>
    <w:p/>
    <w:p>
      <w:pPr>
        <w:pStyle w:val="Heading3"/>
      </w:pPr>
      <w:r>
        <w:t>9.4 KRX 관점의 주요 시사점 (Key Takeaways for KRX Perspective)</w:t>
      </w:r>
    </w:p>
    <w:p>
      <w:pPr>
        <w:pStyle w:val="ListNumber"/>
      </w:pPr>
      <w:r>
        <w:t>분산 vs 집중: EU의 가장 지속적인 과제인 매매, 데이터, 감독의 분산은 한국이 직면하지 않는 문제이다. EU의 CTP 체제는 본질적으로 한국이 단일 집중 거래소를 통해 자연스럽게 달성하는 것을 규제를 통해 재창조하려는 것이다.</w:t>
      </w:r>
    </w:p>
    <w:p>
      <w:pPr>
        <w:pStyle w:val="ListNumber"/>
      </w:pPr>
      <w:r>
        <w:t>규제 복잡성: EU의 다층적 체계(Level 1 입법 → Level 2 RTS/ITS → Level 3 지침 → NCA 시행)는 한국의 단일 법률 접근법에 비해 수십 배 높은 규제 부담을 발생시킨다. 그러나 EU 접근법은 다양한 시장 구조에 보다 적응적일 수 있다.</w:t>
      </w:r>
    </w:p>
    <w:p>
      <w:pPr>
        <w:pStyle w:val="ListNumber"/>
      </w:pPr>
      <w:r>
        <w:t>후선 효율성: EU의 T+1 전환은 다수 중앙예탁기관(CSD), 다수 중앙청산소(CCP), 다통화 환경으로 인해 복잡하다. 한국의 집중형 후선 인프라(KSD)는 결제주기 변경을 보다 간단하게 한다.</w:t>
      </w:r>
    </w:p>
    <w:p>
      <w:pPr>
        <w:pStyle w:val="ListNumber"/>
      </w:pPr>
      <w:r>
        <w:t>다크매매와 투명성: EU의 복잡한 면제 및 거래량상한 체계는 기관투자자의 체결품질 요구와 발행시장 가격형성을 보호하려는 규제적 바람 사이의 긴장을 반영한다. 한국의 보다 단순한 접근법은 이러한 복잡성을 회피하나, 대규모 기관 주문에 대한 체결 유연성도 제공하지 않는다.</w:t>
      </w:r>
    </w:p>
    <w:p>
      <w:pPr>
        <w:pStyle w:val="ListNumber"/>
      </w:pPr>
      <w:r>
        <w:t>기술 규제: EU의 MiFID II (금융상품시장지침 II) 알고/HFT 규칙(제17, 48조)은 전자매매 규제의 글로벌 기준이다. 한국은 유사한 수준의 규범적 규제(킬 스위치, 주문-거래 비율, 마이크로초 기록 보관)가 KRX에 유익할지 검토할 수 있다.</w:t>
      </w:r>
    </w:p>
    <w:p>
      <w:pPr>
        <w:pStyle w:val="ListNumber"/>
      </w:pPr>
      <w:r>
        <w:t>경쟁력 초점: EU(상장법, CTP)와 영국(Edinburgh 개혁, UKLR) 모두 상장 유치와 시장 경쟁력 향상에 집중하고 있으며 — 이는 KRX가 역내 거래소(HKEX, SGX, JPX)와의 경쟁에서 직면하는 글로벌 테마이기도 하다.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부록 A: 주요 규제 문서 참조 (Appendix A: Key Regulatory Documents Reference)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문서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참조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MiFID II (금융상품시장지침 II)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Directive 2014/65/EU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Markets in Financial Instruments Directive (개정판)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MiFIR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Regulation (EU) No 600/2014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Markets in Financial Instruments Regulation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MiFIR 개정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Regulation (EU) 2024/791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MiFIR 개정 (통합테이프, 투명성, 거래량상한)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Regulation (EU) No 596/2014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Abuse Regulation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CSDR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Regulation (EU) No 909/2014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Central Securities Depositories Regulation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CSDR 개정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[OJ 14 October 2025]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의무 포함 개정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투자설명서 규정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Regulation (EU) 2017/1129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Prospectus Regulation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SSR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Regulation (EU) No 236/2012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Short Selling Regulation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DORA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Regulation (EU) 2022/2554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Digital Operational Resilience Act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RTS 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Commission Delegated Reg (EU) 2017/587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주식 투명성 (사전거래 및 사후거래)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RTS 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Commission Delegated Reg (EU) 2017/584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거래장소 조직 요건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RTS 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Commission Delegated Reg (EU) 2017/588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호가단위(최소가격변동폭)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RTS 22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Commission Delegated Reg (EU) 2017/590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거래보고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RTS 25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Commission Delegated Reg (EU) 2017/574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시계 동기화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부록 B: 출처 (Appendix B: Sources)</w:t>
      </w:r>
    </w:p>
    <w:p>
      <w:pPr>
        <w:pStyle w:val="ListBullet"/>
      </w:pPr>
      <w:r>
        <w:t>[ESMA — MiFID II and MiFIR review](https://www.esma.europa.eu/trading/mifid-ii-and-mifir-review), accessed 2026-04-06</w:t>
      </w:r>
    </w:p>
    <w:p>
      <w:pPr>
        <w:pStyle w:val="ListBullet"/>
      </w:pPr>
      <w:r>
        <w:t>[ESMA — Consolidated Tape Providers](https://www.esma.europa.eu/esmas-activities/markets-and-infrastructure/consolidated-tape-providers), accessed 2026-04-06</w:t>
      </w:r>
    </w:p>
    <w:p>
      <w:pPr>
        <w:pStyle w:val="ListBullet"/>
      </w:pPr>
      <w:r>
        <w:t>[ESMA — Short Selling](https://www.esma.europa.eu/esmas-activities/markets-and-infrastructure/short-selling), accessed 2026-04-06</w:t>
      </w:r>
    </w:p>
    <w:p>
      <w:pPr>
        <w:pStyle w:val="ListBullet"/>
      </w:pPr>
      <w:r>
        <w:t>[ESMA — Double Volume Cap Mechanism (Discontinued)](https://www.esma.europa.eu/double-volume-cap-mechanism), accessed 2026-04-06</w:t>
      </w:r>
    </w:p>
    <w:p>
      <w:pPr>
        <w:pStyle w:val="ListBullet"/>
      </w:pPr>
      <w:r>
        <w:t>[ESMA — MiFID II Article 17 — Algorithmic trading](https://www.esma.europa.eu/publications-and-data/interactive-single-rulebook/mifid-ii/article-17-algorithmic-trading), accessed 2026-04-06</w:t>
      </w:r>
    </w:p>
    <w:p>
      <w:pPr>
        <w:pStyle w:val="ListBullet"/>
      </w:pPr>
      <w:r>
        <w:t>[ESMA — MiFID II Article 48 — Systems resilience, circuit breakers and electronic trading](https://www.esma.europa.eu/publications-and-data/interactive-single-rulebook/mifid-ii/article-48-systems-resilience-circuit), accessed 2026-04-06</w:t>
      </w:r>
    </w:p>
    <w:p>
      <w:pPr>
        <w:pStyle w:val="ListBullet"/>
      </w:pPr>
      <w:r>
        <w:t>[ESMA — MiFIR Article 26 — Obligation to report transactions](https://www.esma.europa.eu/publications-and-data/interactive-single-rulebook/mifir/article-26-obligation-report-transactions), accessed 2026-04-06</w:t>
      </w:r>
    </w:p>
    <w:p>
      <w:pPr>
        <w:pStyle w:val="ListBullet"/>
      </w:pPr>
      <w:r>
        <w:t>[ESMA — Supervisory Briefing on Circuit Breakers, October 2023](https://www.esma.europa.eu/sites/default/files/2023-10/ESMA74-2134169708-6975_Supervisory_Briefing_Circuit_Breakers.pdf), accessed 2026-04-06</w:t>
      </w:r>
    </w:p>
    <w:p>
      <w:pPr>
        <w:pStyle w:val="ListBullet"/>
      </w:pPr>
      <w:r>
        <w:t>[ESMA — ESMA selects EuroCTP for shares and ETFs, December 2025](https://www.esma.europa.eu/press-news/esma-news/esma-selects-euroctp-become-first-consolidated-tape-provider-shares-and-etfs), accessed 2026-04-06</w:t>
      </w:r>
    </w:p>
    <w:p>
      <w:pPr>
        <w:pStyle w:val="ListBullet"/>
      </w:pPr>
      <w:r>
        <w:t>[ESMA — Consolidated Report on Sanctions and Measures 2024](https://www.esma.europa.eu/press-news/esma-news/esma-publishes-second-consolidated-report-sanctions), accessed 2026-04-06</w:t>
      </w:r>
    </w:p>
    <w:p>
      <w:pPr>
        <w:pStyle w:val="ListBullet"/>
      </w:pPr>
      <w:r>
        <w:t>[FCA — FCA overhauls listing rules](https://www.fca.org.uk/news/press-releases/fca-overhauls-listing-rules-boost-growth-and-innovation-uk-stock-markets), accessed 2026-04-06</w:t>
      </w:r>
    </w:p>
    <w:p>
      <w:pPr>
        <w:pStyle w:val="ListBullet"/>
      </w:pPr>
      <w:r>
        <w:t>[FCA — PS24/6: Primary Markets Effectiveness Review](https://www.fca.org.uk/publications/policy-statements/ps24-6-primary-markets-effectiveness-review-feedback-cp23-31-final-uk-listing-rules), accessed 2026-04-06</w:t>
      </w:r>
    </w:p>
    <w:p>
      <w:pPr>
        <w:pStyle w:val="ListBullet"/>
      </w:pPr>
      <w:r>
        <w:t>[FCA — CP25/31: The framework for a UK equity consolidated tape](https://www.fca.org.uk/publications/consultation-papers/cp25-31-framework-uk-equity-consolidated-tape), accessed 2026-04-06</w:t>
      </w:r>
    </w:p>
    <w:p>
      <w:pPr>
        <w:pStyle w:val="ListBullet"/>
      </w:pPr>
      <w:r>
        <w:t>[FCA — Bond consolidated tape](https://www.fca.org.uk/markets/data-reporting-services-providers/bond-consolidated-tape), accessed 2026-04-06</w:t>
      </w:r>
    </w:p>
    <w:p>
      <w:pPr>
        <w:pStyle w:val="ListBullet"/>
      </w:pPr>
      <w:r>
        <w:t>[FCA — Notification and disclosure of net short positions](https://www.fca.org.uk/markets/short-selling/notification-disclosure-net-short-positions), accessed 2026-04-06</w:t>
      </w:r>
    </w:p>
    <w:p>
      <w:pPr>
        <w:pStyle w:val="ListBullet"/>
      </w:pPr>
      <w:r>
        <w:t>[European Commission — T+1 settlement, February 2025](https://finance.ec.europa.eu/news/t1-settlement-2025-02-14_en), accessed 2026-04-06</w:t>
      </w:r>
    </w:p>
    <w:p>
      <w:pPr>
        <w:pStyle w:val="ListBullet"/>
      </w:pPr>
      <w:r>
        <w:t>[European Commission — A shorter settlement cycle, July 2025](https://finance.ec.europa.eu/news/shorter-settlement-cycle-2025-07-03_en), accessed 2026-04-06</w:t>
      </w:r>
    </w:p>
    <w:p>
      <w:pPr>
        <w:pStyle w:val="ListBullet"/>
      </w:pPr>
      <w:r>
        <w:t>[BaFin — Transaction reporting (Article 26 of the MiFIR)](https://www.bafin.de/EN/DieBaFin/Service/MVPportal/26MiFIR/26MiFIR_node_en.html), accessed 2026-04-06</w:t>
      </w:r>
    </w:p>
    <w:p>
      <w:pPr>
        <w:pStyle w:val="ListBullet"/>
      </w:pPr>
      <w:r>
        <w:t>[Norton Rose Fulbright — MiFID II: High frequency and algorithmic trading obligations](https://www.nortonrosefulbright.com/en/knowledge/publications/6d7b8497/mifid-ii-mifir-series), accessed 2026-04-06</w:t>
      </w:r>
    </w:p>
    <w:p>
      <w:pPr>
        <w:pStyle w:val="ListBullet"/>
      </w:pPr>
      <w:r>
        <w:t>[PwC Legal — MiFIR/MiFID II Review: making sense of the key amendments](https://legal.pwc.de/en/news/articles/mifir-mifid-ii-review-making-sense-of-the-key-amendments), accessed 2026-04-06</w:t>
      </w:r>
    </w:p>
    <w:p>
      <w:pPr>
        <w:pStyle w:val="ListBullet"/>
      </w:pPr>
      <w:r>
        <w:t>[Davis Polk — Capital markets reform in the UK](https://www.davispolk.com/insights/client-update/capital-markets-reform-uk), accessed 2026-04-06</w:t>
      </w:r>
    </w:p>
    <w:p>
      <w:pPr>
        <w:pStyle w:val="ListBullet"/>
      </w:pPr>
      <w:r>
        <w:t>[Osborne Clarke — The EU Listing Act: key changes to the Prospectus Regulation](https://www.osborneclarke.com/insights/eu-listing-act-what-are-key-changes-prospectus-regulation), accessed 2026-04-06</w:t>
      </w:r>
    </w:p>
    <w:p>
      <w:pPr>
        <w:pStyle w:val="ListBullet"/>
      </w:pPr>
      <w:r>
        <w:t>[AMF — The Listing Act: Facilitating Companies' Access to European Capital Markets](https://www.amf-france.org/en/news-publications/depth/listing-act), accessed 2026-04-06</w:t>
      </w:r>
    </w:p>
    <w:p>
      <w:pPr>
        <w:pStyle w:val="ListBullet"/>
      </w:pPr>
      <w:r>
        <w:t>[UK Legislation — The Short Selling Regulations 2025](https://www.legislation.gov.uk/uksi/2025/29), accessed 2026-04-06</w:t>
      </w:r>
    </w:p>
    <w:p>
      <w:pPr>
        <w:pStyle w:val="ListBullet"/>
      </w:pPr>
      <w:r>
        <w:t>[EIOPA — Digital Operational Resilience Act (DORA)](https://www.eiopa.europa.eu/digital-operational-resilience-act-dora_en), accessed 2026-04-06</w:t>
      </w:r>
    </w:p>
    <w:p>
      <w:pPr>
        <w:pStyle w:val="ListBullet"/>
      </w:pPr>
      <w:r>
        <w:t>[FSC Korea — Introduction](https://www.fsc.go.kr/eng/ab010101), accessed 2026-04-06</w:t>
      </w:r>
    </w:p>
    <w:p>
      <w:pPr>
        <w:pStyle w:val="ListBullet"/>
      </w:pPr>
      <w:r>
        <w:t>[Chambers and Partners — Financial Services Regulation 2025 — South Korea](https://practiceguides.chambers.com/practice-guides/financial-services-regulation-2025/south-korea), accessed 2026-04-06</w:t>
      </w:r>
    </w:p>
    <w:p>
      <w:pPr>
        <w:pStyle w:val="ListBullet"/>
      </w:pPr>
      <w:r>
        <w:t>[ESMA-FSC/FSS Korea MoU](https://www.esma.europa.eu/sites/default/files/library/revised_mou_esma-fsc_fss_korea_tc-ccps_-_final.pdf), accessed 2026-04-06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