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미국 주식시장 규제 (US Equities Market Regulation)</w:t>
      </w:r>
    </w:p>
    <w:p>
      <w:r>
        <w:rPr>
          <w:i/>
          <w:sz w:val="18"/>
        </w:rPr>
        <w:t>**최종 수정일:** 2026-04-06</w:t>
      </w:r>
    </w:p>
    <w:p>
      <w:r>
        <w:rPr>
          <w:i/>
          <w:sz w:val="18"/>
        </w:rPr>
        <w:t>**연구 등급:** Tier 1</w:t>
      </w:r>
    </w:p>
    <w:p>
      <w:r>
        <w:rPr>
          <w:i/>
          <w:sz w:val="18"/>
        </w:rPr>
        <w:t>**분야:** 주식 — 규제 프레임워크</w:t>
      </w:r>
    </w:p>
    <w:p>
      <w:r>
        <w:t>────────────────────────────────────────────────────────────</w:t>
      </w:r>
    </w:p>
    <w:p>
      <w:pPr>
        <w:pStyle w:val="Heading2"/>
      </w:pPr>
      <w:r>
        <w:t>목차 (Table of Contents)</w:t>
      </w:r>
    </w:p>
    <w:p>
      <w:pPr>
        <w:pStyle w:val="ListNumber"/>
      </w:pPr>
      <w:r>
        <w:t>[규제 기관 구조](#1-규제-기관-구조)</w:t>
      </w:r>
    </w:p>
    <w:p>
      <w:pPr>
        <w:pStyle w:val="ListNumber"/>
      </w:pPr>
      <w:r>
        <w:t>[주요 규정](#2-주요-규정)</w:t>
      </w:r>
    </w:p>
    <w:p>
      <w:pPr>
        <w:pStyle w:val="ListNumber"/>
      </w:pPr>
      <w:r>
        <w:t>[시장구조 규칙](#3-시장구조-규칙)</w:t>
      </w:r>
    </w:p>
    <w:p>
      <w:pPr>
        <w:pStyle w:val="ListNumber"/>
      </w:pPr>
      <w:r>
        <w:t>[시장데이터 규칙](#4-시장데이터-규칙)</w:t>
      </w:r>
    </w:p>
    <w:p>
      <w:pPr>
        <w:pStyle w:val="ListNumber"/>
      </w:pPr>
      <w:r>
        <w:t>[시장감시](#5-시장감시)</w:t>
      </w:r>
    </w:p>
    <w:p>
      <w:pPr>
        <w:pStyle w:val="ListNumber"/>
      </w:pPr>
      <w:r>
        <w:t>[보고 요건](#6-보고-요건)</w:t>
      </w:r>
    </w:p>
    <w:p>
      <w:pPr>
        <w:pStyle w:val="ListNumber"/>
      </w:pPr>
      <w:r>
        <w:t>[국경간 제도](#7-국경간-제도)</w:t>
      </w:r>
    </w:p>
    <w:p>
      <w:pPr>
        <w:pStyle w:val="ListNumber"/>
      </w:pPr>
      <w:r>
        <w:t>[최근 변경 사항 (2021-2026)](#8-최근-변경-사항-2021-2026)</w:t>
      </w:r>
    </w:p>
    <w:p>
      <w:pPr>
        <w:pStyle w:val="ListNumber"/>
      </w:pPr>
      <w:r>
        <w:t>[한국 프레임워크와의 비교](#9-한국-프레임워크와의-비교)</w:t>
      </w:r>
    </w:p>
    <w:p>
      <w:r>
        <w:t>────────────────────────────────────────────────────────────</w:t>
      </w:r>
    </w:p>
    <w:p>
      <w:pPr>
        <w:pStyle w:val="Heading2"/>
      </w:pPr>
      <w:r>
        <w:t>1. 규제 기관 구조 (Regulatory Authority Structure)</w:t>
      </w:r>
    </w:p>
    <w:p>
      <w:pPr>
        <w:pStyle w:val="Heading3"/>
      </w:pPr>
      <w:r>
        <w:t>1.1 증권거래위원회 (Securities and Exchange Commission, SEC)</w:t>
      </w:r>
    </w:p>
    <w:p>
      <w:r>
        <w:t>SEC (증권거래위원회)는 미국 증권산업의 최종 규제 기관으로서 기능하는 연방 정부 기관이다. 1929년 주식시장 붕괴와 대공황에 대응하여 1934년 증권거래법(Securities Exchange Act of 1934)에 의해 설립되었으며, SEC의 사명은 투자자 보호, 공정하고 질서 있으며 효율적인 시장 유지, 자본 형성 촉진이다.</w:t>
      </w:r>
    </w:p>
    <w:p>
      <w:r>
        <w:t>[Source: SEC, "About the SEC", accessed 2026-04-06]</w:t>
      </w:r>
    </w:p>
    <w:p>
      <w:r>
        <w:t>조직 구조:</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부서 / 실</w:t>
            </w:r>
          </w:p>
        </w:tc>
        <w:tc>
          <w:tcPr>
            <w:tcW w:type="dxa" w:w="4320"/>
          </w:tcPr>
          <w:p>
            <w:pPr/>
            <w:r>
              <w:rPr>
                <w:b/>
                <w:sz w:val="18"/>
              </w:rPr>
              <w:t>주요 기능</w:t>
            </w:r>
          </w:p>
        </w:tc>
      </w:tr>
      <w:tr>
        <w:tc>
          <w:tcPr>
            <w:tcW w:type="dxa" w:w="4320"/>
          </w:tcPr>
          <w:p>
            <w:pPr/>
            <w:r>
              <w:rPr>
                <w:sz w:val="18"/>
              </w:rPr>
              <w:t>거래 및 시장부 (Division of Trading and Markets)</w:t>
            </w:r>
          </w:p>
        </w:tc>
        <w:tc>
          <w:tcPr>
            <w:tcW w:type="dxa" w:w="4320"/>
          </w:tcPr>
          <w:p>
            <w:pPr/>
            <w:r>
              <w:rPr>
                <w:sz w:val="18"/>
              </w:rPr>
              <w:t>거래소, 브로커-딜러, SRO, 청산기관, 명의개서대리인 감독</w:t>
            </w:r>
          </w:p>
        </w:tc>
      </w:tr>
      <w:tr>
        <w:tc>
          <w:tcPr>
            <w:tcW w:type="dxa" w:w="4320"/>
          </w:tcPr>
          <w:p>
            <w:pPr/>
            <w:r>
              <w:rPr>
                <w:sz w:val="18"/>
              </w:rPr>
              <w:t>기업재무부 (Division of Corporation Finance)</w:t>
            </w:r>
          </w:p>
        </w:tc>
        <w:tc>
          <w:tcPr>
            <w:tcW w:type="dxa" w:w="4320"/>
          </w:tcPr>
          <w:p>
            <w:pPr/>
            <w:r>
              <w:rPr>
                <w:sz w:val="18"/>
              </w:rPr>
              <w:t>기업 공시 서류 심사, 공시 요건</w:t>
            </w:r>
          </w:p>
        </w:tc>
      </w:tr>
      <w:tr>
        <w:tc>
          <w:tcPr>
            <w:tcW w:type="dxa" w:w="4320"/>
          </w:tcPr>
          <w:p>
            <w:pPr/>
            <w:r>
              <w:rPr>
                <w:sz w:val="18"/>
              </w:rPr>
              <w:t>집행부 (Division of Enforcement)</w:t>
            </w:r>
          </w:p>
        </w:tc>
        <w:tc>
          <w:tcPr>
            <w:tcW w:type="dxa" w:w="4320"/>
          </w:tcPr>
          <w:p>
            <w:pPr/>
            <w:r>
              <w:rPr>
                <w:sz w:val="18"/>
              </w:rPr>
              <w:t>증권법 위반 조사 및 기소</w:t>
            </w:r>
          </w:p>
        </w:tc>
      </w:tr>
      <w:tr>
        <w:tc>
          <w:tcPr>
            <w:tcW w:type="dxa" w:w="4320"/>
          </w:tcPr>
          <w:p>
            <w:pPr/>
            <w:r>
              <w:rPr>
                <w:sz w:val="18"/>
              </w:rPr>
              <w:t>투자운용부 (Division of Investment Management)</w:t>
            </w:r>
          </w:p>
        </w:tc>
        <w:tc>
          <w:tcPr>
            <w:tcW w:type="dxa" w:w="4320"/>
          </w:tcPr>
          <w:p>
            <w:pPr/>
            <w:r>
              <w:rPr>
                <w:sz w:val="18"/>
              </w:rPr>
              <w:t>투자회사 및 투자자문업자 규제</w:t>
            </w:r>
          </w:p>
        </w:tc>
      </w:tr>
      <w:tr>
        <w:tc>
          <w:tcPr>
            <w:tcW w:type="dxa" w:w="4320"/>
          </w:tcPr>
          <w:p>
            <w:pPr/>
            <w:r>
              <w:rPr>
                <w:sz w:val="18"/>
              </w:rPr>
              <w:t>경제·리스크분석부 (Division of Economic and Risk Analysis, DERA)</w:t>
            </w:r>
          </w:p>
        </w:tc>
        <w:tc>
          <w:tcPr>
            <w:tcW w:type="dxa" w:w="4320"/>
          </w:tcPr>
          <w:p>
            <w:pPr/>
            <w:r>
              <w:rPr>
                <w:sz w:val="18"/>
              </w:rPr>
              <w:t>경제 분석, 데이터 분석, 리스크 평가</w:t>
            </w:r>
          </w:p>
        </w:tc>
      </w:tr>
      <w:tr>
        <w:tc>
          <w:tcPr>
            <w:tcW w:type="dxa" w:w="4320"/>
          </w:tcPr>
          <w:p>
            <w:pPr/>
            <w:r>
              <w:rPr>
                <w:sz w:val="18"/>
              </w:rPr>
              <w:t>검사실 (Office of Compliance Inspections and Examinations, OCIE)</w:t>
            </w:r>
          </w:p>
        </w:tc>
        <w:tc>
          <w:tcPr>
            <w:tcW w:type="dxa" w:w="4320"/>
          </w:tcPr>
          <w:p>
            <w:pPr/>
            <w:r>
              <w:rPr>
                <w:sz w:val="18"/>
              </w:rPr>
              <w:t>규제 대상 기관에 대한 검사 프로그램</w:t>
            </w:r>
          </w:p>
        </w:tc>
      </w:tr>
    </w:tbl>
    <w:p/>
    <w:p>
      <w:r>
        <w:t>핵심 권한:</w:t>
      </w:r>
    </w:p>
    <w:p>
      <w:pPr>
        <w:pStyle w:val="ListBullet"/>
      </w:pPr>
      <w:r>
        <w:t>국가증권거래소, 브로커-딜러, 명의개서대리인, 청산기관의 등록 및 규제</w:t>
      </w:r>
    </w:p>
    <w:p>
      <w:pPr>
        <w:pStyle w:val="ListBullet"/>
      </w:pPr>
      <w:r>
        <w:t>1934년 증권거래법 및 기타 법률에 따른 규칙 제정 권한</w:t>
      </w:r>
    </w:p>
    <w:p>
      <w:pPr>
        <w:pStyle w:val="ListBullet"/>
      </w:pPr>
      <w:r>
        <w:t>민사소송, 행정절차, 형사기소 회부를 포함한 집행 권한</w:t>
      </w:r>
    </w:p>
    <w:p>
      <w:pPr>
        <w:pStyle w:val="ListBullet"/>
      </w:pPr>
      <w:r>
        <w:t>SRO 규칙 변경 승인/불승인을 포함한 SRO 감독</w:t>
      </w:r>
    </w:p>
    <w:p>
      <w:pPr>
        <w:pStyle w:val="ListBullet"/>
      </w:pPr>
      <w:r>
        <w:t>비조치의견서(no-action letters), 해석 지침, 면제 명령 발행 권한</w:t>
      </w:r>
    </w:p>
    <w:p>
      <w:pPr>
        <w:pStyle w:val="Heading3"/>
      </w:pPr>
      <w:r>
        <w:t>1.2 FINRA — 자율규제기구 (Self-Regulatory Organization, SRO)</w:t>
      </w:r>
    </w:p>
    <w:p>
      <w:r>
        <w:t>FINRA (금융산업규제기구, Financial Industry Regulatory Authority)는 미국 내 브로커-딜러에 대한 주요 자율규제기구로서 기능하는 민간 비영리법인이다. FINRA는 2007년 전미증권업자협회(NASD)와 뉴욕증권거래소의 회원 규제, 집행, 중재 업무를 통합하여 설립되었다.</w:t>
      </w:r>
    </w:p>
    <w:p>
      <w:r>
        <w:t>[Source: FINRA, "About FINRA", accessed 2026-04-06]</w:t>
      </w:r>
    </w:p>
    <w:p>
      <w:r>
        <w:t>FINRA 주요 통계 (2025-2026년 기준):</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지표</w:t>
            </w:r>
          </w:p>
        </w:tc>
        <w:tc>
          <w:tcPr>
            <w:tcW w:type="dxa" w:w="4320"/>
          </w:tcPr>
          <w:p>
            <w:pPr/>
            <w:r>
              <w:rPr>
                <w:b/>
                <w:sz w:val="18"/>
              </w:rPr>
              <w:t>값</w:t>
            </w:r>
          </w:p>
        </w:tc>
      </w:tr>
      <w:tr>
        <w:tc>
          <w:tcPr>
            <w:tcW w:type="dxa" w:w="4320"/>
          </w:tcPr>
          <w:p>
            <w:pPr/>
            <w:r>
              <w:rPr>
                <w:sz w:val="18"/>
              </w:rPr>
              <w:t>회원 증권회사</w:t>
            </w:r>
          </w:p>
        </w:tc>
        <w:tc>
          <w:tcPr>
            <w:tcW w:type="dxa" w:w="4320"/>
          </w:tcPr>
          <w:p>
            <w:pPr/>
            <w:r>
              <w:rPr>
                <w:sz w:val="18"/>
              </w:rPr>
              <w:t>~3,250개 이상</w:t>
            </w:r>
          </w:p>
        </w:tc>
      </w:tr>
      <w:tr>
        <w:tc>
          <w:tcPr>
            <w:tcW w:type="dxa" w:w="4320"/>
          </w:tcPr>
          <w:p>
            <w:pPr/>
            <w:r>
              <w:rPr>
                <w:sz w:val="18"/>
              </w:rPr>
              <w:t>등록 증권외무원</w:t>
            </w:r>
          </w:p>
        </w:tc>
        <w:tc>
          <w:tcPr>
            <w:tcW w:type="dxa" w:w="4320"/>
          </w:tcPr>
          <w:p>
            <w:pPr/>
            <w:r>
              <w:rPr>
                <w:sz w:val="18"/>
              </w:rPr>
              <w:t>~625,000명</w:t>
            </w:r>
          </w:p>
        </w:tc>
      </w:tr>
      <w:tr>
        <w:tc>
          <w:tcPr>
            <w:tcW w:type="dxa" w:w="4320"/>
          </w:tcPr>
          <w:p>
            <w:pPr/>
            <w:r>
              <w:rPr>
                <w:sz w:val="18"/>
              </w:rPr>
              <w:t>등록 지점</w:t>
            </w:r>
          </w:p>
        </w:tc>
        <w:tc>
          <w:tcPr>
            <w:tcW w:type="dxa" w:w="4320"/>
          </w:tcPr>
          <w:p>
            <w:pPr/>
            <w:r>
              <w:rPr>
                <w:sz w:val="18"/>
              </w:rPr>
              <w:t>~130,000개 이상 [추정]</w:t>
            </w:r>
          </w:p>
        </w:tc>
      </w:tr>
      <w:tr>
        <w:tc>
          <w:tcPr>
            <w:tcW w:type="dxa" w:w="4320"/>
          </w:tcPr>
          <w:p>
            <w:pPr/>
            <w:r>
              <w:rPr>
                <w:sz w:val="18"/>
              </w:rPr>
              <w:t>연간 징계 조치</w:t>
            </w:r>
          </w:p>
        </w:tc>
        <w:tc>
          <w:tcPr>
            <w:tcW w:type="dxa" w:w="4320"/>
          </w:tcPr>
          <w:p>
            <w:pPr/>
            <w:r>
              <w:rPr>
                <w:sz w:val="18"/>
              </w:rPr>
              <w:t>~600-800건 [추정]</w:t>
            </w:r>
          </w:p>
        </w:tc>
      </w:tr>
      <w:tr>
        <w:tc>
          <w:tcPr>
            <w:tcW w:type="dxa" w:w="4320"/>
          </w:tcPr>
          <w:p>
            <w:pPr/>
            <w:r>
              <w:rPr>
                <w:sz w:val="18"/>
              </w:rPr>
              <w:t>연간 중재 사건</w:t>
            </w:r>
          </w:p>
        </w:tc>
        <w:tc>
          <w:tcPr>
            <w:tcW w:type="dxa" w:w="4320"/>
          </w:tcPr>
          <w:p>
            <w:pPr/>
            <w:r>
              <w:rPr>
                <w:sz w:val="18"/>
              </w:rPr>
              <w:t>~3,000-4,000건 [추정]</w:t>
            </w:r>
          </w:p>
        </w:tc>
      </w:tr>
    </w:tbl>
    <w:p/>
    <w:p>
      <w:r>
        <w:t>FINRA 규제 기능:</w:t>
      </w:r>
    </w:p>
    <w:p>
      <w:pPr>
        <w:pStyle w:val="ListBullet"/>
      </w:pPr>
      <w:r>
        <w:t>규칙 제정: 모든 등록 브로커-딜러 회사와 등록 외무원의 활동을 규율하는 규칙 작성 및 집행 (SEC 승인 필요)</w:t>
      </w:r>
    </w:p>
    <w:p>
      <w:pPr>
        <w:pStyle w:val="ListBullet"/>
      </w:pPr>
      <w:r>
        <w:t>검사: 회원사에 대한 정기 검사 및 원인 검사 실시</w:t>
      </w:r>
    </w:p>
    <w:p>
      <w:pPr>
        <w:pStyle w:val="ListBullet"/>
      </w:pPr>
      <w:r>
        <w:t>집행: 잠재적 위반 행위 조사 및 제재 부과 (벌금, 정지, 등록 취소, 제명)</w:t>
      </w:r>
    </w:p>
    <w:p>
      <w:pPr>
        <w:pStyle w:val="ListBullet"/>
      </w:pPr>
      <w:r>
        <w:t>시장감시: 조작, 내부자거래 및 기타 남용 행위를 탐지하기 위한 교차시장 감시 운영</w:t>
      </w:r>
    </w:p>
    <w:p>
      <w:pPr>
        <w:pStyle w:val="ListBullet"/>
      </w:pPr>
      <w:r>
        <w:t>분쟁해결: 미국 최대 증권분쟁 해결 포럼 운영</w:t>
      </w:r>
    </w:p>
    <w:p>
      <w:pPr>
        <w:pStyle w:val="ListBullet"/>
      </w:pPr>
      <w:r>
        <w:t>등록: 자격시험(Series 7, Series 63 등) 관리 및 중앙등록저장소(CRD) 및 BrokerCheck를 통한 등록 기록 유지</w:t>
      </w:r>
    </w:p>
    <w:p>
      <w:r>
        <w:t>헌법적 지위: 2025년 6월, 미국 연방대법원은 FINRA가 위헌이라는 주장의 심리를 거부하여 FINRA의 규제 권한을 유지하였다. 그러나 의회에서는 FINRA의 구조에 대한 논의가 계속되고 있으며, 특히 공화당 원내회의 의장 Lisa McClain이 제119대 의회(2025년)에서 FINRA의 규칙제정, 검사, 집행 권한을 SEC로 직접 이관하는 법안을 발의하였다.</w:t>
      </w:r>
    </w:p>
    <w:p>
      <w:r>
        <w:t>[Source: Sidley Austin, "FINRA Issues 2026 Regulatory Oversight Report", December 2025, accessed 2026-04-06]</w:t>
      </w:r>
    </w:p>
    <w:p>
      <w:pPr>
        <w:pStyle w:val="Heading3"/>
      </w:pPr>
      <w:r>
        <w:t>1.3 거래소 SRO 모델 (Exchange SRO Model)</w:t>
      </w:r>
    </w:p>
    <w:p>
      <w:r>
        <w:t>1934년 증권거래법에 따라, SEC에 등록된 각 국가증권거래소는 그 자체가 자율규제기구이다. 거래소는 회원사가 거래소 규칙과 연방증권법을 모두 준수하도록 하는 법적 의무를 갖는다.</w:t>
      </w:r>
    </w:p>
    <w:p>
      <w:r>
        <w:t>현재 등록된 국가증권거래소 (주식):</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거래소 그룹</w:t>
            </w:r>
          </w:p>
        </w:tc>
        <w:tc>
          <w:tcPr>
            <w:tcW w:type="dxa" w:w="2880"/>
          </w:tcPr>
          <w:p>
            <w:pPr/>
            <w:r>
              <w:rPr>
                <w:b/>
                <w:sz w:val="18"/>
              </w:rPr>
              <w:t>거래소</w:t>
            </w:r>
          </w:p>
        </w:tc>
        <w:tc>
          <w:tcPr>
            <w:tcW w:type="dxa" w:w="2880"/>
          </w:tcPr>
          <w:p>
            <w:pPr/>
            <w:r>
              <w:rPr>
                <w:b/>
                <w:sz w:val="18"/>
              </w:rPr>
              <w:t>SRO 지위</w:t>
            </w:r>
          </w:p>
        </w:tc>
      </w:tr>
      <w:tr>
        <w:tc>
          <w:tcPr>
            <w:tcW w:type="dxa" w:w="2880"/>
          </w:tcPr>
          <w:p>
            <w:pPr/>
            <w:r>
              <w:rPr>
                <w:sz w:val="18"/>
              </w:rPr>
              <w:t>NYSE Group (ICE)</w:t>
            </w:r>
          </w:p>
        </w:tc>
        <w:tc>
          <w:tcPr>
            <w:tcW w:type="dxa" w:w="2880"/>
          </w:tcPr>
          <w:p>
            <w:pPr/>
            <w:r>
              <w:rPr>
                <w:sz w:val="18"/>
              </w:rPr>
              <w:t>NYSE, NYSE Arca, NYSE American, NYSE Chicago (NYSE Texas), NYSE National</w:t>
            </w:r>
          </w:p>
        </w:tc>
        <w:tc>
          <w:tcPr>
            <w:tcW w:type="dxa" w:w="2880"/>
          </w:tcPr>
          <w:p>
            <w:pPr/>
            <w:r>
              <w:rPr>
                <w:sz w:val="18"/>
              </w:rPr>
              <w:t>SRO (규제 서비스를 FINRA에 위탁)</w:t>
            </w:r>
          </w:p>
        </w:tc>
      </w:tr>
      <w:tr>
        <w:tc>
          <w:tcPr>
            <w:tcW w:type="dxa" w:w="2880"/>
          </w:tcPr>
          <w:p>
            <w:pPr/>
            <w:r>
              <w:rPr>
                <w:sz w:val="18"/>
              </w:rPr>
              <w:t>Nasdaq Group</w:t>
            </w:r>
          </w:p>
        </w:tc>
        <w:tc>
          <w:tcPr>
            <w:tcW w:type="dxa" w:w="2880"/>
          </w:tcPr>
          <w:p>
            <w:pPr/>
            <w:r>
              <w:rPr>
                <w:sz w:val="18"/>
              </w:rPr>
              <w:t>Nasdaq Stock Market, Nasdaq BX, Nasdaq PHLX</w:t>
            </w:r>
          </w:p>
        </w:tc>
        <w:tc>
          <w:tcPr>
            <w:tcW w:type="dxa" w:w="2880"/>
          </w:tcPr>
          <w:p>
            <w:pPr/>
            <w:r>
              <w:rPr>
                <w:sz w:val="18"/>
              </w:rPr>
              <w:t>SRO (규제 서비스를 FINRA에 위탁)</w:t>
            </w:r>
          </w:p>
        </w:tc>
      </w:tr>
      <w:tr>
        <w:tc>
          <w:tcPr>
            <w:tcW w:type="dxa" w:w="2880"/>
          </w:tcPr>
          <w:p>
            <w:pPr/>
            <w:r>
              <w:rPr>
                <w:sz w:val="18"/>
              </w:rPr>
              <w:t>Cboe Global Markets</w:t>
            </w:r>
          </w:p>
        </w:tc>
        <w:tc>
          <w:tcPr>
            <w:tcW w:type="dxa" w:w="2880"/>
          </w:tcPr>
          <w:p>
            <w:pPr/>
            <w:r>
              <w:rPr>
                <w:sz w:val="18"/>
              </w:rPr>
              <w:t>Cboe BZX, Cboe BYX, Cboe EDGX, Cboe EDGA</w:t>
            </w:r>
          </w:p>
        </w:tc>
        <w:tc>
          <w:tcPr>
            <w:tcW w:type="dxa" w:w="2880"/>
          </w:tcPr>
          <w:p>
            <w:pPr/>
            <w:r>
              <w:rPr>
                <w:sz w:val="18"/>
              </w:rPr>
              <w:t>SRO (규제 서비스를 FINRA에 위탁)</w:t>
            </w:r>
          </w:p>
        </w:tc>
      </w:tr>
      <w:tr>
        <w:tc>
          <w:tcPr>
            <w:tcW w:type="dxa" w:w="2880"/>
          </w:tcPr>
          <w:p>
            <w:pPr/>
            <w:r>
              <w:rPr>
                <w:sz w:val="18"/>
              </w:rPr>
              <w:t>MEMX</w:t>
            </w:r>
          </w:p>
        </w:tc>
        <w:tc>
          <w:tcPr>
            <w:tcW w:type="dxa" w:w="2880"/>
          </w:tcPr>
          <w:p>
            <w:pPr/>
            <w:r>
              <w:rPr>
                <w:sz w:val="18"/>
              </w:rPr>
              <w:t>Members Exchange</w:t>
            </w:r>
          </w:p>
        </w:tc>
        <w:tc>
          <w:tcPr>
            <w:tcW w:type="dxa" w:w="2880"/>
          </w:tcPr>
          <w:p>
            <w:pPr/>
            <w:r>
              <w:rPr>
                <w:sz w:val="18"/>
              </w:rPr>
              <w:t>SRO</w:t>
            </w:r>
          </w:p>
        </w:tc>
      </w:tr>
      <w:tr>
        <w:tc>
          <w:tcPr>
            <w:tcW w:type="dxa" w:w="2880"/>
          </w:tcPr>
          <w:p>
            <w:pPr/>
            <w:r>
              <w:rPr>
                <w:sz w:val="18"/>
              </w:rPr>
              <w:t>MIAX Group</w:t>
            </w:r>
          </w:p>
        </w:tc>
        <w:tc>
          <w:tcPr>
            <w:tcW w:type="dxa" w:w="2880"/>
          </w:tcPr>
          <w:p>
            <w:pPr/>
            <w:r>
              <w:rPr>
                <w:sz w:val="18"/>
              </w:rPr>
              <w:t>MIAX Pearl Equities</w:t>
            </w:r>
          </w:p>
        </w:tc>
        <w:tc>
          <w:tcPr>
            <w:tcW w:type="dxa" w:w="2880"/>
          </w:tcPr>
          <w:p>
            <w:pPr/>
            <w:r>
              <w:rPr>
                <w:sz w:val="18"/>
              </w:rPr>
              <w:t>SRO</w:t>
            </w:r>
          </w:p>
        </w:tc>
      </w:tr>
      <w:tr>
        <w:tc>
          <w:tcPr>
            <w:tcW w:type="dxa" w:w="2880"/>
          </w:tcPr>
          <w:p>
            <w:pPr/>
            <w:r>
              <w:rPr>
                <w:sz w:val="18"/>
              </w:rPr>
              <w:t>IEX</w:t>
            </w:r>
          </w:p>
        </w:tc>
        <w:tc>
          <w:tcPr>
            <w:tcW w:type="dxa" w:w="2880"/>
          </w:tcPr>
          <w:p>
            <w:pPr/>
            <w:r>
              <w:rPr>
                <w:sz w:val="18"/>
              </w:rPr>
              <w:t>Investors Exchange</w:t>
            </w:r>
          </w:p>
        </w:tc>
        <w:tc>
          <w:tcPr>
            <w:tcW w:type="dxa" w:w="2880"/>
          </w:tcPr>
          <w:p>
            <w:pPr/>
            <w:r>
              <w:rPr>
                <w:sz w:val="18"/>
              </w:rPr>
              <w:t>SRO</w:t>
            </w:r>
          </w:p>
        </w:tc>
      </w:tr>
      <w:tr>
        <w:tc>
          <w:tcPr>
            <w:tcW w:type="dxa" w:w="2880"/>
          </w:tcPr>
          <w:p>
            <w:pPr/>
            <w:r>
              <w:rPr>
                <w:sz w:val="18"/>
              </w:rPr>
              <w:t>LTSE</w:t>
            </w:r>
          </w:p>
        </w:tc>
        <w:tc>
          <w:tcPr>
            <w:tcW w:type="dxa" w:w="2880"/>
          </w:tcPr>
          <w:p>
            <w:pPr/>
            <w:r>
              <w:rPr>
                <w:sz w:val="18"/>
              </w:rPr>
              <w:t>Long-Term Stock Exchange</w:t>
            </w:r>
          </w:p>
        </w:tc>
        <w:tc>
          <w:tcPr>
            <w:tcW w:type="dxa" w:w="2880"/>
          </w:tcPr>
          <w:p>
            <w:pPr/>
            <w:r>
              <w:rPr>
                <w:sz w:val="18"/>
              </w:rPr>
              <w:t>SRO</w:t>
            </w:r>
          </w:p>
        </w:tc>
      </w:tr>
    </w:tbl>
    <w:p/>
    <w:p>
      <w:r>
        <w:t>규제 서비스 협약 (Regulatory Services Agreements, RSAs):</w:t>
      </w:r>
    </w:p>
    <w:p>
      <w:r>
        <w:t>대부분의 거래소는 FINRA와 규제 서비스 협약을 체결하여 FINRA가 거래소를 대신하여 시장감시 및 회원 규제를 수행한다. 이는 규제 노력의 중복을 방지하고 FINRA의 교차시장 감시 역량을 활용한다. RSA 하에서 거래소는 최종 SRO 책임을 유지하지만, 일상적인 규제 기능은 FINRA에 위임된다.</w:t>
      </w:r>
    </w:p>
    <w:p>
      <w:r>
        <w:t>[Source: SEC, "Staff Paper on Cross-Market Regulatory Coordination", accessed 2026-04-06]</w:t>
      </w:r>
    </w:p>
    <w:p>
      <w:pPr>
        <w:pStyle w:val="Heading3"/>
      </w:pPr>
      <w:r>
        <w:t>1.4 규제 상호관계 (Regulatory Interplay)</w:t>
      </w:r>
    </w:p>
    <w:p>
      <w:r>
        <w:t>미국 주식시장 규제 구조는 다층적 프레임워크로 운영된다:</w:t>
      </w:r>
    </w:p>
    <w:p>
      <w:pPr/>
      <w:r>
        <w:rPr>
          <w:rFonts w:ascii="Consolas" w:hAnsi="Consolas"/>
          <w:color w:val="333333"/>
          <w:sz w:val="16"/>
        </w:rPr>
        <w:t>┌─────────────────────────────────────────────┐</w:t>
        <w:br/>
        <w:t>│              미국 의회 (U.S. Congress)        │</w:t>
        <w:br/>
        <w:t>│  (Securities Act 1933, Exchange Act 1934,   │</w:t>
        <w:br/>
        <w:t>│   Dodd-Frank 2010 등)                       │</w:t>
        <w:br/>
        <w:t>└─────────────────┬───────────────────────────┘</w:t>
        <w:br/>
        <w:t xml:space="preserve">                  │ 법적 권한</w:t>
        <w:br/>
        <w:t>┌─────────────────▼───────────────────────────┐</w:t>
        <w:br/>
        <w:t>│     증권거래위원회 (SEC)                     │</w:t>
        <w:br/>
        <w:t>│     — 연방 규제기관                          │</w:t>
        <w:br/>
        <w:t>│  • 규칙 제정  • SRO 감독                    │</w:t>
        <w:br/>
        <w:t>│  • 집행      • 등록                         │</w:t>
        <w:br/>
        <w:t>└──────┬──────────────────────┬───────────────┘</w:t>
        <w:br/>
        <w:t xml:space="preserve">       │ 감독                  │ 감독</w:t>
        <w:br/>
        <w:t>┌──────▼──────────┐   ┌───────▼──────────────┐</w:t>
        <w:br/>
        <w:t>│     FINRA       │   │  국가증권거래소 (SROs)│</w:t>
        <w:br/>
        <w:t>│  (브로커-딜러   │   │  NYSE, Nasdaq, Cboe, │</w:t>
        <w:br/>
        <w:t>│   SRO)          │◄──┤  IEX, MEMX 등        │</w:t>
        <w:br/>
        <w:t>│                 │RSA│                       │</w:t>
        <w:br/>
        <w:t>└──────┬──────────┘   └───────┬──────────────┘</w:t>
        <w:br/>
        <w:t xml:space="preserve">       │ 규제                  │ 규제</w:t>
        <w:br/>
        <w:t>┌──────▼──────────────────────▼──────────────┐</w:t>
        <w:br/>
        <w:t>│         브로커-딜러 / 시장조성자              │</w:t>
        <w:br/>
        <w:t>│         (마켓메이커)                         │</w:t>
        <w:br/>
        <w:t>│         시장 참가자                          │</w:t>
        <w:br/>
        <w:t>└────────────────────────────────────────────┘</w:t>
      </w:r>
    </w:p>
    <w:p>
      <w:r>
        <w:t>주요 조율 메커니즘:</w:t>
      </w:r>
    </w:p>
    <w:p>
      <w:pPr>
        <w:pStyle w:val="ListBullet"/>
      </w:pPr>
      <w:r>
        <w:t>시장간감시그룹 (Intermarket Surveillance Group, ISG): 교차시장 매매 남용 행위를 탐지·조사하기 위해 감시 정보를 공유하는 거래소, 시장센터, 규제기관의 협력 조직</w:t>
      </w:r>
    </w:p>
    <w:p>
      <w:pPr>
        <w:pStyle w:val="ListBullet"/>
      </w:pPr>
      <w:r>
        <w:t>전미시장제도 (National Market System, NMS): 거래소 간 상호연결과 경쟁을 의무화하고, 매매체결방지규칙(trade-through protections)을 통해 최선집행의무(Best Execution)를 보장하는 규제 프레임워크</w:t>
      </w:r>
    </w:p>
    <w:p>
      <w:pPr>
        <w:pStyle w:val="ListBullet"/>
      </w:pPr>
      <w:r>
        <w:t>SEC의 SRO 규칙 제출 심사: 모든 SRO 규칙 변경은 증권거래법 제19(b)조에 따라 SEC에 제출되어야 하며, 공개 의견수렴과 SEC의 승인/불승인 절차를 거친다</w:t>
      </w:r>
    </w:p>
    <w:p>
      <w:r>
        <w:t>────────────────────────────────────────────────────────────</w:t>
      </w:r>
    </w:p>
    <w:p>
      <w:pPr>
        <w:pStyle w:val="Heading2"/>
      </w:pPr>
      <w:r>
        <w:t>2. 주요 규정 (Key Regulations)</w:t>
      </w:r>
    </w:p>
    <w:p>
      <w:pPr>
        <w:pStyle w:val="Heading3"/>
      </w:pPr>
      <w:r>
        <w:t>2.1 1934년 증권거래법 (Securities Exchange Act of 1934)</w:t>
      </w:r>
    </w:p>
    <w:p>
      <w:r>
        <w:t>미국 증권시장을 규율하는 기본 법률이다. 주요 조항은 다음과 같다:</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조항</w:t>
            </w:r>
          </w:p>
        </w:tc>
        <w:tc>
          <w:tcPr>
            <w:tcW w:type="dxa" w:w="2880"/>
          </w:tcPr>
          <w:p>
            <w:pPr/>
            <w:r>
              <w:rPr>
                <w:b/>
                <w:sz w:val="18"/>
              </w:rPr>
              <w:t>주제</w:t>
            </w:r>
          </w:p>
        </w:tc>
        <w:tc>
          <w:tcPr>
            <w:tcW w:type="dxa" w:w="2880"/>
          </w:tcPr>
          <w:p>
            <w:pPr/>
            <w:r>
              <w:rPr>
                <w:b/>
                <w:sz w:val="18"/>
              </w:rPr>
              <w:t>설명</w:t>
            </w:r>
          </w:p>
        </w:tc>
      </w:tr>
      <w:tr>
        <w:tc>
          <w:tcPr>
            <w:tcW w:type="dxa" w:w="2880"/>
          </w:tcPr>
          <w:p>
            <w:pPr/>
            <w:r>
              <w:rPr>
                <w:sz w:val="18"/>
              </w:rPr>
              <w:t>제5조 &amp; 제6조</w:t>
            </w:r>
          </w:p>
        </w:tc>
        <w:tc>
          <w:tcPr>
            <w:tcW w:type="dxa" w:w="2880"/>
          </w:tcPr>
          <w:p>
            <w:pPr/>
            <w:r>
              <w:rPr>
                <w:sz w:val="18"/>
              </w:rPr>
              <w:t>거래소 등록</w:t>
            </w:r>
          </w:p>
        </w:tc>
        <w:tc>
          <w:tcPr>
            <w:tcW w:type="dxa" w:w="2880"/>
          </w:tcPr>
          <w:p>
            <w:pPr/>
            <w:r>
              <w:rPr>
                <w:sz w:val="18"/>
              </w:rPr>
              <w:t>모든 국가증권거래소의 SEC 등록 및 SRO 의무 준수를 요구</w:t>
            </w:r>
          </w:p>
        </w:tc>
      </w:tr>
      <w:tr>
        <w:tc>
          <w:tcPr>
            <w:tcW w:type="dxa" w:w="2880"/>
          </w:tcPr>
          <w:p>
            <w:pPr/>
            <w:r>
              <w:rPr>
                <w:sz w:val="18"/>
              </w:rPr>
              <w:t>제12조</w:t>
            </w:r>
          </w:p>
        </w:tc>
        <w:tc>
          <w:tcPr>
            <w:tcW w:type="dxa" w:w="2880"/>
          </w:tcPr>
          <w:p>
            <w:pPr/>
            <w:r>
              <w:rPr>
                <w:sz w:val="18"/>
              </w:rPr>
              <w:t>증권 등록</w:t>
            </w:r>
          </w:p>
        </w:tc>
        <w:tc>
          <w:tcPr>
            <w:tcW w:type="dxa" w:w="2880"/>
          </w:tcPr>
          <w:p>
            <w:pPr/>
            <w:r>
              <w:rPr>
                <w:sz w:val="18"/>
              </w:rPr>
              <w:t>일정 규모 기준을 충족하는 발행인의 증권 SEC 등록을 요구</w:t>
            </w:r>
          </w:p>
        </w:tc>
      </w:tr>
      <w:tr>
        <w:tc>
          <w:tcPr>
            <w:tcW w:type="dxa" w:w="2880"/>
          </w:tcPr>
          <w:p>
            <w:pPr/>
            <w:r>
              <w:rPr>
                <w:sz w:val="18"/>
              </w:rPr>
              <w:t>제13조</w:t>
            </w:r>
          </w:p>
        </w:tc>
        <w:tc>
          <w:tcPr>
            <w:tcW w:type="dxa" w:w="2880"/>
          </w:tcPr>
          <w:p>
            <w:pPr/>
            <w:r>
              <w:rPr>
                <w:sz w:val="18"/>
              </w:rPr>
              <w:t>정기 보고</w:t>
            </w:r>
          </w:p>
        </w:tc>
        <w:tc>
          <w:tcPr>
            <w:tcW w:type="dxa" w:w="2880"/>
          </w:tcPr>
          <w:p>
            <w:pPr/>
            <w:r>
              <w:rPr>
                <w:sz w:val="18"/>
              </w:rPr>
              <w:t>등록 발행인의 연간(10-K), 분기(10-Q), 수시(8-K) 보고를 의무화</w:t>
            </w:r>
          </w:p>
        </w:tc>
      </w:tr>
      <w:tr>
        <w:tc>
          <w:tcPr>
            <w:tcW w:type="dxa" w:w="2880"/>
          </w:tcPr>
          <w:p>
            <w:pPr/>
            <w:r>
              <w:rPr>
                <w:sz w:val="18"/>
              </w:rPr>
              <w:t>제15조</w:t>
            </w:r>
          </w:p>
        </w:tc>
        <w:tc>
          <w:tcPr>
            <w:tcW w:type="dxa" w:w="2880"/>
          </w:tcPr>
          <w:p>
            <w:pPr/>
            <w:r>
              <w:rPr>
                <w:sz w:val="18"/>
              </w:rPr>
              <w:t>브로커-딜러 등록</w:t>
            </w:r>
          </w:p>
        </w:tc>
        <w:tc>
          <w:tcPr>
            <w:tcW w:type="dxa" w:w="2880"/>
          </w:tcPr>
          <w:p>
            <w:pPr/>
            <w:r>
              <w:rPr>
                <w:sz w:val="18"/>
              </w:rPr>
              <w:t>모든 브로커 및 딜러의 SEC 등록을 요구 (Form BD 및 CRD를 통해)</w:t>
            </w:r>
          </w:p>
        </w:tc>
      </w:tr>
      <w:tr>
        <w:tc>
          <w:tcPr>
            <w:tcW w:type="dxa" w:w="2880"/>
          </w:tcPr>
          <w:p>
            <w:pPr/>
            <w:r>
              <w:rPr>
                <w:sz w:val="18"/>
              </w:rPr>
              <w:t>제15A조</w:t>
            </w:r>
          </w:p>
        </w:tc>
        <w:tc>
          <w:tcPr>
            <w:tcW w:type="dxa" w:w="2880"/>
          </w:tcPr>
          <w:p>
            <w:pPr/>
            <w:r>
              <w:rPr>
                <w:sz w:val="18"/>
              </w:rPr>
              <w:t>장외시장 SRO</w:t>
            </w:r>
          </w:p>
        </w:tc>
        <w:tc>
          <w:tcPr>
            <w:tcW w:type="dxa" w:w="2880"/>
          </w:tcPr>
          <w:p>
            <w:pPr/>
            <w:r>
              <w:rPr>
                <w:sz w:val="18"/>
              </w:rPr>
              <w:t>증권업협회의 등록을 인가 (FINRA/NASD의 근거)</w:t>
            </w:r>
          </w:p>
        </w:tc>
      </w:tr>
      <w:tr>
        <w:tc>
          <w:tcPr>
            <w:tcW w:type="dxa" w:w="2880"/>
          </w:tcPr>
          <w:p>
            <w:pPr/>
            <w:r>
              <w:rPr>
                <w:sz w:val="18"/>
              </w:rPr>
              <w:t>제10(b)조 / Rule 10b-5</w:t>
            </w:r>
          </w:p>
        </w:tc>
        <w:tc>
          <w:tcPr>
            <w:tcW w:type="dxa" w:w="2880"/>
          </w:tcPr>
          <w:p>
            <w:pPr/>
            <w:r>
              <w:rPr>
                <w:sz w:val="18"/>
              </w:rPr>
              <w:t>사기행위 금지</w:t>
            </w:r>
          </w:p>
        </w:tc>
        <w:tc>
          <w:tcPr>
            <w:tcW w:type="dxa" w:w="2880"/>
          </w:tcPr>
          <w:p>
            <w:pPr/>
            <w:r>
              <w:rPr>
                <w:sz w:val="18"/>
              </w:rPr>
              <w:t>증권의 매수 또는 매도와 관련한 조작 및 기만 행위를 금지</w:t>
            </w:r>
          </w:p>
        </w:tc>
      </w:tr>
      <w:tr>
        <w:tc>
          <w:tcPr>
            <w:tcW w:type="dxa" w:w="2880"/>
          </w:tcPr>
          <w:p>
            <w:pPr/>
            <w:r>
              <w:rPr>
                <w:sz w:val="18"/>
              </w:rPr>
              <w:t>제13(d)조</w:t>
            </w:r>
          </w:p>
        </w:tc>
        <w:tc>
          <w:tcPr>
            <w:tcW w:type="dxa" w:w="2880"/>
          </w:tcPr>
          <w:p>
            <w:pPr/>
            <w:r>
              <w:rPr>
                <w:sz w:val="18"/>
              </w:rPr>
              <w:t>실질적 소유권</w:t>
            </w:r>
          </w:p>
        </w:tc>
        <w:tc>
          <w:tcPr>
            <w:tcW w:type="dxa" w:w="2880"/>
          </w:tcPr>
          <w:p>
            <w:pPr/>
            <w:r>
              <w:rPr>
                <w:sz w:val="18"/>
              </w:rPr>
              <w:t>특정 종류 주식의 5% 초과 취득 시 공시를 요구</w:t>
            </w:r>
          </w:p>
        </w:tc>
      </w:tr>
      <w:tr>
        <w:tc>
          <w:tcPr>
            <w:tcW w:type="dxa" w:w="2880"/>
          </w:tcPr>
          <w:p>
            <w:pPr/>
            <w:r>
              <w:rPr>
                <w:sz w:val="18"/>
              </w:rPr>
              <w:t>제16조</w:t>
            </w:r>
          </w:p>
        </w:tc>
        <w:tc>
          <w:tcPr>
            <w:tcW w:type="dxa" w:w="2880"/>
          </w:tcPr>
          <w:p>
            <w:pPr/>
            <w:r>
              <w:rPr>
                <w:sz w:val="18"/>
              </w:rPr>
              <w:t>단기매매차익</w:t>
            </w:r>
          </w:p>
        </w:tc>
        <w:tc>
          <w:tcPr>
            <w:tcW w:type="dxa" w:w="2880"/>
          </w:tcPr>
          <w:p>
            <w:pPr/>
            <w:r>
              <w:rPr>
                <w:sz w:val="18"/>
              </w:rPr>
              <w:t>임원, 이사, 10% 이상 대주주의 거래 보고 및 단기매매차익 반환 의무</w:t>
            </w:r>
          </w:p>
        </w:tc>
      </w:tr>
      <w:tr>
        <w:tc>
          <w:tcPr>
            <w:tcW w:type="dxa" w:w="2880"/>
          </w:tcPr>
          <w:p>
            <w:pPr/>
            <w:r>
              <w:rPr>
                <w:sz w:val="18"/>
              </w:rPr>
              <w:t>제17A조</w:t>
            </w:r>
          </w:p>
        </w:tc>
        <w:tc>
          <w:tcPr>
            <w:tcW w:type="dxa" w:w="2880"/>
          </w:tcPr>
          <w:p>
            <w:pPr/>
            <w:r>
              <w:rPr>
                <w:sz w:val="18"/>
              </w:rPr>
              <w:t>청산 및 결제</w:t>
            </w:r>
          </w:p>
        </w:tc>
        <w:tc>
          <w:tcPr>
            <w:tcW w:type="dxa" w:w="2880"/>
          </w:tcPr>
          <w:p>
            <w:pPr/>
            <w:r>
              <w:rPr>
                <w:sz w:val="18"/>
              </w:rPr>
              <w:t>SEC의 청산기관, 명의개서대리인 규제 인가</w:t>
            </w:r>
          </w:p>
        </w:tc>
      </w:tr>
      <w:tr>
        <w:tc>
          <w:tcPr>
            <w:tcW w:type="dxa" w:w="2880"/>
          </w:tcPr>
          <w:p>
            <w:pPr/>
            <w:r>
              <w:rPr>
                <w:sz w:val="18"/>
              </w:rPr>
              <w:t>제19조</w:t>
            </w:r>
          </w:p>
        </w:tc>
        <w:tc>
          <w:tcPr>
            <w:tcW w:type="dxa" w:w="2880"/>
          </w:tcPr>
          <w:p>
            <w:pPr/>
            <w:r>
              <w:rPr>
                <w:sz w:val="18"/>
              </w:rPr>
              <w:t>SRO 감독</w:t>
            </w:r>
          </w:p>
        </w:tc>
        <w:tc>
          <w:tcPr>
            <w:tcW w:type="dxa" w:w="2880"/>
          </w:tcPr>
          <w:p>
            <w:pPr/>
            <w:r>
              <w:rPr>
                <w:sz w:val="18"/>
              </w:rPr>
              <w:t>SEC의 SRO 규칙 제정 및 징계 조치에 대한 권한</w:t>
            </w:r>
          </w:p>
        </w:tc>
      </w:tr>
    </w:tbl>
    <w:p/>
    <w:p>
      <w:r>
        <w:t>[Source: Cornell Law Institute, "Securities Exchange Act of 1934", accessed 2026-04-06]</w:t>
      </w:r>
    </w:p>
    <w:p>
      <w:pPr>
        <w:pStyle w:val="Heading3"/>
      </w:pPr>
      <w:r>
        <w:t>2.2 Regulation NMS (전미시장제도규정)</w:t>
      </w:r>
    </w:p>
    <w:p>
      <w:r>
        <w:t>SEC가 2005년에 채택(2007년 시행)한 Regulation NMS (전미시장제도규정)는 미국 주식시장 구조를 규율하는 핵심 규정이다. "개별 시장 간의 경쟁과 개별 주문 간의 경쟁"을 촉진하여 전미시장제도를 현대화·강화하기 위해 설계되었다.</w:t>
      </w:r>
    </w:p>
    <w:p>
      <w:r>
        <w:t>[Source: SEC, "Final Rule: Regulation NMS", Release No. 34-51808, June 2005, accessed 2026-04-06]</w:t>
      </w:r>
    </w:p>
    <w:p>
      <w:pPr>
        <w:pStyle w:val="Heading4"/>
      </w:pPr>
      <w:r>
        <w:t>Rule 611 — 주문보호규칙 (Order Protection Rule, Trade-Through Rule)</w:t>
      </w:r>
    </w:p>
    <w:p>
      <w:pPr>
        <w:pStyle w:val="ListBullet"/>
      </w:pPr>
      <w:r>
        <w:t>목적: 즉시 자동적으로 접근 가능한 호가에 대한 시장간 가격 우선권 보장</w:t>
      </w:r>
    </w:p>
    <w:p>
      <w:pPr>
        <w:pStyle w:val="ListBullet"/>
      </w:pPr>
      <w:r>
        <w:t>메커니즘: 거래센터(거래소, ATS, 도매업자)가 "매매체결방지(trade-throughs)" — 다른 거래센터에 표시된 보호호가보다 불리한 가격으로 거래를 체결하는 것 — 을 방지하도록 합리적으로 설계된 서면 정책·절차를 수립·유지·집행할 것을 요구</w:t>
      </w:r>
    </w:p>
    <w:p>
      <w:pPr>
        <w:pStyle w:val="ListBullet"/>
      </w:pPr>
      <w:r>
        <w:t>보호호가: "자동호가"만 보호 대상; 수동호가는 매매체결방지 보호를 받지 못함</w:t>
      </w:r>
    </w:p>
    <w:p>
      <w:pPr>
        <w:pStyle w:val="ListBullet"/>
      </w:pPr>
      <w:r>
        <w:t>예외: 시장간일괄주문(ISOs), 변동 호가, 단일가 개장/폐장/재개장 거래, 현재 매수·매도호가에 기반하지 않는 가격을 표시하는 호가 등</w:t>
      </w:r>
    </w:p>
    <w:p>
      <w:pPr>
        <w:pStyle w:val="ListBullet"/>
      </w:pPr>
      <w:r>
        <w:t>영향: 다수의 거래소와 ATS가 경쟁하면서도 투자자가 이용 가능한 최선 가격을 받도록 보장하는 현재의 분산적이지만 상호연결된 미국 시장 구조의 프레임워크를 창출</w:t>
      </w:r>
    </w:p>
    <w:p>
      <w:pPr>
        <w:pStyle w:val="Heading4"/>
      </w:pPr>
      <w:r>
        <w:t>Rule 610 — 접근규칙 (Access Rule)</w:t>
      </w:r>
    </w:p>
    <w:p>
      <w:pPr>
        <w:pStyle w:val="ListBullet"/>
      </w:pPr>
      <w:r>
        <w:t>목적: 호가에 대한 공정하고 비차별적인 접근 보장</w:t>
      </w:r>
    </w:p>
    <w:p>
      <w:pPr>
        <w:pStyle w:val="ListBullet"/>
      </w:pPr>
      <w:r>
        <w:t>주요 규정:</w:t>
      </w:r>
    </w:p>
    <w:p>
      <w:pPr>
        <w:pStyle w:val="ListBullet"/>
      </w:pPr>
      <w:r>
        <w:t>거래센터가 보호호가에 대한 접근을 방해하거나 저해하는 불공정하게 차별적인 조건을 부과하는 것을 금지</w:t>
      </w:r>
    </w:p>
    <w:p>
      <w:pPr>
        <w:pStyle w:val="ListBullet"/>
      </w:pPr>
      <w:r>
        <w:t>접근수수료 상한: 원래 $1.00 이상 NMS 주식의 보호호가 접근 수수료를 주당 $0.003(30 mils)로 제한</w:t>
      </w:r>
    </w:p>
    <w:p>
      <w:pPr>
        <w:pStyle w:val="ListBullet"/>
      </w:pPr>
      <w:r>
        <w:t>2024년 9월 개정(시행 2026년 11월로 연기): $1.00 초과 모든 주식에 대해 주당 $0.001(10 mils)의 새로운 통일 상한 적용</w:t>
      </w:r>
    </w:p>
    <w:p>
      <w:pPr>
        <w:pStyle w:val="Heading4"/>
      </w:pPr>
      <w:r>
        <w:t>Rule 612 — 최소가격단위 규칙 (Sub-Penny Rule, Minimum Pricing Increments)</w:t>
      </w:r>
    </w:p>
    <w:p>
      <w:pPr>
        <w:pStyle w:val="ListBullet"/>
      </w:pPr>
      <w:r>
        <w:t>최초 규칙(2005년): $1.00 이상 NMS 주식에 대해 $0.01보다 미세한 가격단위로 주문, 호가, 관심표시를 수락·순위매김·표시하는 것을 금지; $1.00 미만 NMS 주식에 대해서는 $0.0001</w:t>
      </w:r>
    </w:p>
    <w:p>
      <w:pPr>
        <w:pStyle w:val="ListBullet"/>
      </w:pPr>
      <w:r>
        <w:t>2024년 개정(시행 2026년 11월로 연기): 시간가중평균호가스프레드(TWAQS)에 기반한 가변 최소 호가단위(최소가격변동폭) 도입:</w:t>
      </w:r>
    </w:p>
    <w:p>
      <w:pPr>
        <w:pStyle w:val="ListBullet"/>
      </w:pPr>
      <w:r>
        <w:t>TWAQS &gt; $0.015인 경우 $0.01 호가단위</w:t>
      </w:r>
    </w:p>
    <w:p>
      <w:pPr>
        <w:pStyle w:val="ListBullet"/>
      </w:pPr>
      <w:r>
        <w:t>TWAQS &lt;= $0.015인 경우 $0.005 호가단위(반페니)</w:t>
      </w:r>
    </w:p>
    <w:p>
      <w:pPr>
        <w:pStyle w:val="ListBullet"/>
      </w:pPr>
      <w:r>
        <w:t>호가단위 배정은 반기(5월, 11월 첫 영업일)별로 조정</w:t>
      </w:r>
    </w:p>
    <w:p>
      <w:pPr>
        <w:pStyle w:val="ListBullet"/>
      </w:pPr>
      <w:r>
        <w:t>NMS 주식의 약 74.3%가 반페니 단위로 이동할 것으로 예상</w:t>
      </w:r>
    </w:p>
    <w:p>
      <w:pPr>
        <w:pStyle w:val="Heading4"/>
      </w:pPr>
      <w:r>
        <w:t>Rule 603 — 시장데이터 배포 (Distribution of Market Data)</w:t>
      </w:r>
    </w:p>
    <w:p>
      <w:pPr>
        <w:pStyle w:val="ListBullet"/>
      </w:pPr>
      <w:r>
        <w:t>통합 시장데이터의 배포, 표시, 사용을 규율</w:t>
      </w:r>
    </w:p>
    <w:p>
      <w:pPr>
        <w:pStyle w:val="ListBullet"/>
      </w:pPr>
      <w:r>
        <w:t>SRO들이 공동으로 호가 및 거래에 관한 통합 정보를 배포할 것을 요구</w:t>
      </w:r>
    </w:p>
    <w:p>
      <w:pPr>
        <w:pStyle w:val="ListBullet"/>
      </w:pPr>
      <w:r>
        <w:t>SIP/CTS/CQS/UTP 프레임워크의 근거가 됨 (제4절 참조)</w:t>
      </w:r>
    </w:p>
    <w:p>
      <w:r>
        <w:t>[Source: SEC, "Final Rule: Regulation NMS: Minimum Pricing Increments, Access Fees, and Transparency of Better Priced Orders", Release No. 34-101070, September 2024, accessed 2026-04-06]</w:t>
      </w:r>
    </w:p>
    <w:p>
      <w:pPr>
        <w:pStyle w:val="Heading3"/>
      </w:pPr>
      <w:r>
        <w:t>2.3 Regulation SHO (공매도 규정)</w:t>
      </w:r>
    </w:p>
    <w:p>
      <w:r>
        <w:t>2004년에 채택(2005년 1월 3일 시행)된 Regulation SHO는 미국의 공매도를 규율한다.</w:t>
      </w:r>
    </w:p>
    <w:p>
      <w:r>
        <w:t>주요 규정:</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규칙</w:t>
            </w:r>
          </w:p>
        </w:tc>
        <w:tc>
          <w:tcPr>
            <w:tcW w:type="dxa" w:w="2880"/>
          </w:tcPr>
          <w:p>
            <w:pPr/>
            <w:r>
              <w:rPr>
                <w:b/>
                <w:sz w:val="18"/>
              </w:rPr>
              <w:t>명칭</w:t>
            </w:r>
          </w:p>
        </w:tc>
        <w:tc>
          <w:tcPr>
            <w:tcW w:type="dxa" w:w="2880"/>
          </w:tcPr>
          <w:p>
            <w:pPr/>
            <w:r>
              <w:rPr>
                <w:b/>
                <w:sz w:val="18"/>
              </w:rPr>
              <w:t>설명</w:t>
            </w:r>
          </w:p>
        </w:tc>
      </w:tr>
      <w:tr>
        <w:tc>
          <w:tcPr>
            <w:tcW w:type="dxa" w:w="2880"/>
          </w:tcPr>
          <w:p>
            <w:pPr/>
            <w:r>
              <w:rPr>
                <w:sz w:val="18"/>
              </w:rPr>
              <w:t>Rule 200</w:t>
            </w:r>
          </w:p>
        </w:tc>
        <w:tc>
          <w:tcPr>
            <w:tcW w:type="dxa" w:w="2880"/>
          </w:tcPr>
          <w:p>
            <w:pPr/>
            <w:r>
              <w:rPr>
                <w:sz w:val="18"/>
              </w:rPr>
              <w:t>주문 표시 (Order Marking)</w:t>
            </w:r>
          </w:p>
        </w:tc>
        <w:tc>
          <w:tcPr>
            <w:tcW w:type="dxa" w:w="2880"/>
          </w:tcPr>
          <w:p>
            <w:pPr/>
            <w:r>
              <w:rPr>
                <w:sz w:val="18"/>
              </w:rPr>
              <w:t>브로커-딜러가 모든 매도주문을 "매수잔고 보유(long)," "공매도(short)," 또는 "공매도 면제(short exempt)"로 표시할 것을 요구</w:t>
            </w:r>
          </w:p>
        </w:tc>
      </w:tr>
      <w:tr>
        <w:tc>
          <w:tcPr>
            <w:tcW w:type="dxa" w:w="2880"/>
          </w:tcPr>
          <w:p>
            <w:pPr/>
            <w:r>
              <w:rPr>
                <w:sz w:val="18"/>
              </w:rPr>
              <w:t>Rule 203(b)(1)</w:t>
            </w:r>
          </w:p>
        </w:tc>
        <w:tc>
          <w:tcPr>
            <w:tcW w:type="dxa" w:w="2880"/>
          </w:tcPr>
          <w:p>
            <w:pPr/>
            <w:r>
              <w:rPr>
                <w:sz w:val="18"/>
              </w:rPr>
              <w:t>차입확인 요건 (Locate Requirement)</w:t>
            </w:r>
          </w:p>
        </w:tc>
        <w:tc>
          <w:tcPr>
            <w:tcW w:type="dxa" w:w="2880"/>
          </w:tcPr>
          <w:p>
            <w:pPr/>
            <w:r>
              <w:rPr>
                <w:sz w:val="18"/>
              </w:rPr>
              <w:t>공매도 실행 전 브로커-딜러가 차입 가능한 주식을 "확인(locate)"해야 함; 선의의 시장조성자(마켓메이커)에 대해서는 제한적 면제</w:t>
            </w:r>
          </w:p>
        </w:tc>
      </w:tr>
      <w:tr>
        <w:tc>
          <w:tcPr>
            <w:tcW w:type="dxa" w:w="2880"/>
          </w:tcPr>
          <w:p>
            <w:pPr/>
            <w:r>
              <w:rPr>
                <w:sz w:val="18"/>
              </w:rPr>
              <w:t>Rule 203(b)(3)</w:t>
            </w:r>
          </w:p>
        </w:tc>
        <w:tc>
          <w:tcPr>
            <w:tcW w:type="dxa" w:w="2880"/>
          </w:tcPr>
          <w:p>
            <w:pPr/>
            <w:r>
              <w:rPr>
                <w:sz w:val="18"/>
              </w:rPr>
              <w:t>결제이행 요건 (Close-Out Requirement)</w:t>
            </w:r>
          </w:p>
        </w:tc>
        <w:tc>
          <w:tcPr>
            <w:tcW w:type="dxa" w:w="2880"/>
          </w:tcPr>
          <w:p>
            <w:pPr/>
            <w:r>
              <w:rPr>
                <w:sz w:val="18"/>
              </w:rPr>
              <w:t>청산기관 참가자는 "기준증권(threshold securities)"의 미결제(fail-to-deliver) 포지션을 지정된 기간 내(공매도 T+3, 매수잔고 보유 매도 T+5)에 매수 또는 차입으로 해소해야 함</w:t>
            </w:r>
          </w:p>
        </w:tc>
      </w:tr>
      <w:tr>
        <w:tc>
          <w:tcPr>
            <w:tcW w:type="dxa" w:w="2880"/>
          </w:tcPr>
          <w:p>
            <w:pPr/>
            <w:r>
              <w:rPr>
                <w:sz w:val="18"/>
              </w:rPr>
              <w:t>Rule 204</w:t>
            </w:r>
          </w:p>
        </w:tc>
        <w:tc>
          <w:tcPr>
            <w:tcW w:type="dxa" w:w="2880"/>
          </w:tcPr>
          <w:p>
            <w:pPr/>
            <w:r>
              <w:rPr>
                <w:sz w:val="18"/>
              </w:rPr>
              <w:t>의무적 결제이행 (2008년 개정)</w:t>
            </w:r>
          </w:p>
        </w:tc>
        <w:tc>
          <w:tcPr>
            <w:tcW w:type="dxa" w:w="2880"/>
          </w:tcPr>
          <w:p>
            <w:pPr/>
            <w:r>
              <w:rPr>
                <w:sz w:val="18"/>
              </w:rPr>
              <w:t>결제이행 요건 강화: 미결제 포지션을 T+2까지 해소해야 함 (시장조성자 예외: T+5)</w:t>
            </w:r>
          </w:p>
        </w:tc>
      </w:tr>
      <w:tr>
        <w:tc>
          <w:tcPr>
            <w:tcW w:type="dxa" w:w="2880"/>
          </w:tcPr>
          <w:p>
            <w:pPr/>
            <w:r>
              <w:rPr>
                <w:sz w:val="18"/>
              </w:rPr>
              <w:t>Rule 201</w:t>
            </w:r>
          </w:p>
        </w:tc>
        <w:tc>
          <w:tcPr>
            <w:tcW w:type="dxa" w:w="2880"/>
          </w:tcPr>
          <w:p>
            <w:pPr/>
            <w:r>
              <w:rPr>
                <w:sz w:val="18"/>
              </w:rPr>
              <w:t>대안적 업틱규칙 (2010년)</w:t>
            </w:r>
          </w:p>
        </w:tc>
        <w:tc>
          <w:tcPr>
            <w:tcW w:type="dxa" w:w="2880"/>
          </w:tcPr>
          <w:p>
            <w:pPr/>
            <w:r>
              <w:rPr>
                <w:sz w:val="18"/>
              </w:rPr>
              <w:t>공매도 서킷브레이커(매매거래중단): 주가가 전일 종가 대비 10% 이상 하락 시 발동. 발동 시 해당 거래일 잔여 시간과 다음 거래일 종일 공매도가 제한됨 — 공매도는 현재 전미최우선매수호가(national best bid) 상위 가격에서만 체결 가능 ("공매도 가격규제")</w:t>
            </w:r>
          </w:p>
        </w:tc>
      </w:tr>
    </w:tbl>
    <w:p/>
    <w:p>
      <w:r>
        <w:t>기준증권(Threshold Securities): 중대한 미결제 포지션이 있는 증권(일별 종목당 10,000주 이상의 누적 미결제가 5영업일 이상 연속이고, 발행주식총수의 0.5% 이상)은 "기준증권"으로 지정되어 강화된 결제이행 요건의 적용을 받는다.</w:t>
      </w:r>
    </w:p>
    <w:p>
      <w:r>
        <w:t>[Source: SEC, "Short Sales", 17 CFR 242.200-204, accessed 2026-04-06]</w:t>
      </w:r>
    </w:p>
    <w:p>
      <w:r>
        <w:t>[Source: NYSE, "Short Selling and Reg SHO Resource Guide", accessed 2026-04-06]</w:t>
      </w:r>
    </w:p>
    <w:p>
      <w:pPr>
        <w:pStyle w:val="Heading3"/>
      </w:pPr>
      <w:r>
        <w:t>2.4 Regulation ATS (대체거래시스템 규정)</w:t>
      </w:r>
    </w:p>
    <w:p>
      <w:r>
        <w:t>1998년 1934년 증권거래법에 따라 채택된 Regulation ATS는 대체거래시스템(일반적으로 "다크풀" 및 전자통신네트워크(ECN)로 알려진)에 대한 규제 프레임워크를 제공한다.</w:t>
      </w:r>
    </w:p>
    <w:p>
      <w:r>
        <w:t>주요 규정:</w:t>
      </w:r>
    </w:p>
    <w:p>
      <w:pPr>
        <w:pStyle w:val="ListBullet"/>
      </w:pPr>
      <w:r>
        <w:t>등록 선택: ATS는 국가증권거래소로 등록하거나 브로커-딜러로 등록하고 Regulation ATS를 준수하는 것 중 선택 가능</w:t>
      </w:r>
    </w:p>
    <w:p>
      <w:pPr>
        <w:pStyle w:val="ListBullet"/>
      </w:pPr>
      <w:r>
        <w:t>Form ATS / Form ATS-N: ATS는 SEC에 최초 운영보고서(Form ATS, 또는 NMS 주식 ATS의 경우 Form ATS-N)를 제출하고 지속적으로 갱신해야 함</w:t>
      </w:r>
    </w:p>
    <w:p>
      <w:pPr>
        <w:pStyle w:val="ListBullet"/>
      </w:pPr>
      <w:r>
        <w:t>공정접근 (Rule 301(b)(5)): 선행 6개월 중 4개월 동안 NMS 주식의 일평균거래량 5% 이상을 차지하는 ATS는 모든 자격 있는 참가자에게 공정한 접근을 제공해야 하며 불합리하게 접근을 금지·제한해서는 안 됨</w:t>
      </w:r>
    </w:p>
    <w:p>
      <w:pPr>
        <w:pStyle w:val="ListBullet"/>
      </w:pPr>
      <w:r>
        <w:t>용량, 무결성, 보안: ATS는 가입자의 기밀 거래정보를 보호하기 위한 적절한 안전장치와 절차를 수립해야 함</w:t>
      </w:r>
    </w:p>
    <w:p>
      <w:pPr>
        <w:pStyle w:val="ListBullet"/>
      </w:pPr>
      <w:r>
        <w:t>주문 표시 / 통합: 거래량 5% 이상인 NMS 주식에서 최우선가격 주문을 표시하는 ATS는 해당 주문을 국가증권거래소 또는 협회에 공개 표시를 위해 제공해야 함</w:t>
      </w:r>
    </w:p>
    <w:p>
      <w:r>
        <w:t>ATS 현황 (2025-2026년 기준):</w:t>
      </w:r>
    </w:p>
    <w:p>
      <w:pPr>
        <w:pStyle w:val="ListBullet"/>
      </w:pPr>
      <w:r>
        <w:t>약 30-40개의 활성 NMS 주식 ATS(다크풀) [추정]</w:t>
      </w:r>
    </w:p>
    <w:p>
      <w:pPr>
        <w:pStyle w:val="ListBullet"/>
      </w:pPr>
      <w:r>
        <w:t>ATS가 전체 미국 주식 거래량의 약 12-15%를 처리 [추정]</w:t>
      </w:r>
    </w:p>
    <w:p>
      <w:pPr>
        <w:pStyle w:val="ListBullet"/>
      </w:pPr>
      <w:r>
        <w:t>주요 운영자에는 Citadel Connect, UBS ATS, Virtu MatchIt, Goldman Sachs Sigma-X, Morgan Stanley MS Pool, JP Morgan JPM-X 등이 포함</w:t>
      </w:r>
    </w:p>
    <w:p>
      <w:r>
        <w:t>[Source: SEC, "Regulation of Exchanges and Alternative Trading Systems", 17 CFR 242.300-304, accessed 2026-04-06]</w:t>
      </w:r>
    </w:p>
    <w:p>
      <w:pPr>
        <w:pStyle w:val="Heading3"/>
      </w:pPr>
      <w:r>
        <w:t>2.5 도드-프랭크 월스트리트 개혁 및 소비자보호법 (Dodd-Frank Wall Street Reform and Consumer Protection Act, 2010)</w:t>
      </w:r>
    </w:p>
    <w:p>
      <w:r>
        <w:t>2010년 7월 21일 서명된 도드-프랭크법은 1930년대 이후 가장 광범위한 금융 규제 개혁이다. 주로 시스템 리스크와 파생상품에 초점을 맞추었지만, 주식시장에도 상당한 영향을 미쳤다.</w:t>
      </w:r>
    </w:p>
    <w:p>
      <w:r>
        <w:t>주식시장에 영향을 미치는 주요 규정:</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조항 / 규정</w:t>
            </w:r>
          </w:p>
        </w:tc>
        <w:tc>
          <w:tcPr>
            <w:tcW w:type="dxa" w:w="4320"/>
          </w:tcPr>
          <w:p>
            <w:pPr/>
            <w:r>
              <w:rPr>
                <w:b/>
                <w:sz w:val="18"/>
              </w:rPr>
              <w:t>주식에 대한 영향</w:t>
            </w:r>
          </w:p>
        </w:tc>
      </w:tr>
      <w:tr>
        <w:tc>
          <w:tcPr>
            <w:tcW w:type="dxa" w:w="4320"/>
          </w:tcPr>
          <w:p>
            <w:pPr/>
            <w:r>
              <w:rPr>
                <w:sz w:val="18"/>
              </w:rPr>
              <w:t>Title VI — 볼커규칙 (Section 619)</w:t>
            </w:r>
          </w:p>
        </w:tc>
        <w:tc>
          <w:tcPr>
            <w:tcW w:type="dxa" w:w="4320"/>
          </w:tcPr>
          <w:p>
            <w:pPr/>
            <w:r>
              <w:rPr>
                <w:sz w:val="18"/>
              </w:rPr>
              <w:t>은행 및 계열사의 자기매매(proprietary trading) 제한 (시장조성, 헤지, 국채 등 예외) — 은행의 주식 시장조성 참여 축소</w:t>
            </w:r>
          </w:p>
        </w:tc>
      </w:tr>
      <w:tr>
        <w:tc>
          <w:tcPr>
            <w:tcW w:type="dxa" w:w="4320"/>
          </w:tcPr>
          <w:p>
            <w:pPr/>
            <w:r>
              <w:rPr>
                <w:sz w:val="18"/>
              </w:rPr>
              <w:t>Title VII — 파생상품</w:t>
            </w:r>
          </w:p>
        </w:tc>
        <w:tc>
          <w:tcPr>
            <w:tcW w:type="dxa" w:w="4320"/>
          </w:tcPr>
          <w:p>
            <w:pPr/>
            <w:r>
              <w:rPr>
                <w:sz w:val="18"/>
              </w:rPr>
              <w:t>표준화된 장외파생상품의 중앙청산 및 거래소 거래 의무화; 스왑집행시설(SEFs) 도입. 주식 파생상품(총수익스왑, 주식옵션 청산)에 관련</w:t>
            </w:r>
          </w:p>
        </w:tc>
      </w:tr>
      <w:tr>
        <w:tc>
          <w:tcPr>
            <w:tcW w:type="dxa" w:w="4320"/>
          </w:tcPr>
          <w:p>
            <w:pPr/>
            <w:r>
              <w:rPr>
                <w:sz w:val="18"/>
              </w:rPr>
              <w:t>Title IX — 투자자보호</w:t>
            </w:r>
          </w:p>
        </w:tc>
        <w:tc>
          <w:tcPr>
            <w:tcW w:type="dxa" w:w="4320"/>
          </w:tcPr>
          <w:p>
            <w:pPr/>
            <w:r>
              <w:rPr>
                <w:sz w:val="18"/>
              </w:rPr>
              <w:t>SEC 집행 도구 강화; SEC 투자자옹호실 설립; SEC에 브로커-딜러에 대한 수탁의무 부과 권한 부여 (아직 완전히 시행되지 않음)</w:t>
            </w:r>
          </w:p>
        </w:tc>
      </w:tr>
      <w:tr>
        <w:tc>
          <w:tcPr>
            <w:tcW w:type="dxa" w:w="4320"/>
          </w:tcPr>
          <w:p>
            <w:pPr/>
            <w:r>
              <w:rPr>
                <w:sz w:val="18"/>
              </w:rPr>
              <w:t>Section 929X</w:t>
            </w:r>
          </w:p>
        </w:tc>
        <w:tc>
          <w:tcPr>
            <w:tcW w:type="dxa" w:w="4320"/>
          </w:tcPr>
          <w:p>
            <w:pPr/>
            <w:r>
              <w:rPr>
                <w:sz w:val="18"/>
              </w:rPr>
              <w:t>증권거래법상 방조 책임 확대</w:t>
            </w:r>
          </w:p>
        </w:tc>
      </w:tr>
      <w:tr>
        <w:tc>
          <w:tcPr>
            <w:tcW w:type="dxa" w:w="4320"/>
          </w:tcPr>
          <w:p>
            <w:pPr/>
            <w:r>
              <w:rPr>
                <w:sz w:val="18"/>
              </w:rPr>
              <w:t>Section 929I</w:t>
            </w:r>
          </w:p>
        </w:tc>
        <w:tc>
          <w:tcPr>
            <w:tcW w:type="dxa" w:w="4320"/>
          </w:tcPr>
          <w:p>
            <w:pPr/>
            <w:r>
              <w:rPr>
                <w:sz w:val="18"/>
              </w:rPr>
              <w:t>국경간 조사에서 SEC 소환장 권한 강화</w:t>
            </w:r>
          </w:p>
        </w:tc>
      </w:tr>
      <w:tr>
        <w:tc>
          <w:tcPr>
            <w:tcW w:type="dxa" w:w="4320"/>
          </w:tcPr>
          <w:p>
            <w:pPr/>
            <w:r>
              <w:rPr>
                <w:sz w:val="18"/>
              </w:rPr>
              <w:t>Section 975</w:t>
            </w:r>
          </w:p>
        </w:tc>
        <w:tc>
          <w:tcPr>
            <w:tcW w:type="dxa" w:w="4320"/>
          </w:tcPr>
          <w:p>
            <w:pPr/>
            <w:r>
              <w:rPr>
                <w:sz w:val="18"/>
              </w:rPr>
              <w:t>증권기반 스왑딜러 및 주요 증권기반 스왑참가자 감독</w:t>
            </w:r>
          </w:p>
        </w:tc>
      </w:tr>
      <w:tr>
        <w:tc>
          <w:tcPr>
            <w:tcW w:type="dxa" w:w="4320"/>
          </w:tcPr>
          <w:p>
            <w:pPr/>
            <w:r>
              <w:rPr>
                <w:sz w:val="18"/>
              </w:rPr>
              <w:t>Title VIII — 금융시장인프라</w:t>
            </w:r>
          </w:p>
        </w:tc>
        <w:tc>
          <w:tcPr>
            <w:tcW w:type="dxa" w:w="4320"/>
          </w:tcPr>
          <w:p>
            <w:pPr/>
            <w:r>
              <w:rPr>
                <w:sz w:val="18"/>
              </w:rPr>
              <w:t>시스템적으로 중요한 청산기관(예: DTCC, OCC)을 지정하여 SEC와 연방준비제도의 강화된 감독</w:t>
            </w:r>
          </w:p>
        </w:tc>
      </w:tr>
      <w:tr>
        <w:tc>
          <w:tcPr>
            <w:tcW w:type="dxa" w:w="4320"/>
          </w:tcPr>
          <w:p>
            <w:pPr/>
            <w:r>
              <w:rPr>
                <w:sz w:val="18"/>
              </w:rPr>
              <w:t>Section 971</w:t>
            </w:r>
          </w:p>
        </w:tc>
        <w:tc>
          <w:tcPr>
            <w:tcW w:type="dxa" w:w="4320"/>
          </w:tcPr>
          <w:p>
            <w:pPr/>
            <w:r>
              <w:rPr>
                <w:sz w:val="18"/>
              </w:rPr>
              <w:t>위임장 접근권 (SEC에 주주의 이사 후보 지명을 촉진하는 규칙 채택 권한 부여)</w:t>
            </w:r>
          </w:p>
        </w:tc>
      </w:tr>
    </w:tbl>
    <w:p/>
    <w:p>
      <w:r>
        <w:t>[Source: Congress.gov, "The Dodd-Frank Wall Street Reform and Consumer Protection Act: Background and Summary", accessed 2026-04-06]</w:t>
      </w:r>
    </w:p>
    <w:p>
      <w:r>
        <w:t>────────────────────────────────────────────────────────────</w:t>
      </w:r>
    </w:p>
    <w:p>
      <w:pPr>
        <w:pStyle w:val="Heading2"/>
      </w:pPr>
      <w:r>
        <w:t>3. 시장구조 규칙 (Market Structure Rules)</w:t>
      </w:r>
    </w:p>
    <w:p>
      <w:pPr>
        <w:pStyle w:val="Heading3"/>
      </w:pPr>
      <w:r>
        <w:t>3.1 LULD(Limit Up-Limit Down) 메커니즘</w:t>
      </w:r>
    </w:p>
    <w:p>
      <w:r>
        <w:t>LULD 계획은 2010년 5월 6일 플래시크래시(Flash Crash)를 계기로, 2012년 5월 31일 SEC가 시범적으로 승인하였다. 2019년 4월 11일 영구 규칙이 되었다. 이 제도는 NMS 주식이 지정된 가격범위 밖에서 거래되는 것을 방지하고 필요시 매매거래를 일시 중지한다.</w:t>
      </w:r>
    </w:p>
    <w:p>
      <w:r>
        <w:t>[Source: LULD Plan, luldplan.com, accessed 2026-04-06]</w:t>
      </w:r>
    </w:p>
    <w:p>
      <w:r>
        <w:t>[Source: FINRA, "Limit Up/Limit Down (LULD) Plan", accessed 2026-04-06]</w:t>
      </w:r>
    </w:p>
    <w:p>
      <w:r>
        <w:t>증권 분류:</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분류</w:t>
            </w:r>
          </w:p>
        </w:tc>
        <w:tc>
          <w:tcPr>
            <w:tcW w:type="dxa" w:w="4320"/>
          </w:tcPr>
          <w:p>
            <w:pPr/>
            <w:r>
              <w:rPr>
                <w:b/>
                <w:sz w:val="18"/>
              </w:rPr>
              <w:t>포함 증권</w:t>
            </w:r>
          </w:p>
        </w:tc>
      </w:tr>
      <w:tr>
        <w:tc>
          <w:tcPr>
            <w:tcW w:type="dxa" w:w="4320"/>
          </w:tcPr>
          <w:p>
            <w:pPr/>
            <w:r>
              <w:rPr>
                <w:sz w:val="18"/>
              </w:rPr>
              <w:t>Tier 1</w:t>
            </w:r>
          </w:p>
        </w:tc>
        <w:tc>
          <w:tcPr>
            <w:tcW w:type="dxa" w:w="4320"/>
          </w:tcPr>
          <w:p>
            <w:pPr/>
            <w:r>
              <w:rPr>
                <w:sz w:val="18"/>
              </w:rPr>
              <w:t>S&amp;P 500, Russell 1000 지수 구성종목 및 특정 ETP(LULD Tier 1 ETP 목록에 따름)</w:t>
            </w:r>
          </w:p>
        </w:tc>
      </w:tr>
      <w:tr>
        <w:tc>
          <w:tcPr>
            <w:tcW w:type="dxa" w:w="4320"/>
          </w:tcPr>
          <w:p>
            <w:pPr/>
            <w:r>
              <w:rPr>
                <w:sz w:val="18"/>
              </w:rPr>
              <w:t>Tier 2</w:t>
            </w:r>
          </w:p>
        </w:tc>
        <w:tc>
          <w:tcPr>
            <w:tcW w:type="dxa" w:w="4320"/>
          </w:tcPr>
          <w:p>
            <w:pPr/>
            <w:r>
              <w:rPr>
                <w:sz w:val="18"/>
              </w:rPr>
              <w:t>Tier 1에 포함되지 않는 모든 기타 NMS 증권</w:t>
            </w:r>
          </w:p>
        </w:tc>
      </w:tr>
    </w:tbl>
    <w:p/>
    <w:p>
      <w:r>
        <w:t>비율 기준 (가격범위):</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증권 분류</w:t>
            </w:r>
          </w:p>
        </w:tc>
        <w:tc>
          <w:tcPr>
            <w:tcW w:type="dxa" w:w="2160"/>
          </w:tcPr>
          <w:p>
            <w:pPr/>
            <w:r>
              <w:rPr>
                <w:b/>
                <w:sz w:val="18"/>
              </w:rPr>
              <w:t>가격대</w:t>
            </w:r>
          </w:p>
        </w:tc>
        <w:tc>
          <w:tcPr>
            <w:tcW w:type="dxa" w:w="2160"/>
          </w:tcPr>
          <w:p>
            <w:pPr/>
            <w:r>
              <w:rPr>
                <w:b/>
                <w:sz w:val="18"/>
              </w:rPr>
              <w:t>9:30-9:45 AM &amp; 3:35-4:00 PM (개장/폐장)</w:t>
            </w:r>
          </w:p>
        </w:tc>
        <w:tc>
          <w:tcPr>
            <w:tcW w:type="dxa" w:w="2160"/>
          </w:tcPr>
          <w:p>
            <w:pPr/>
            <w:r>
              <w:rPr>
                <w:b/>
                <w:sz w:val="18"/>
              </w:rPr>
              <w:t>9:45 AM - 3:35 PM (정규시간)</w:t>
            </w:r>
          </w:p>
        </w:tc>
      </w:tr>
      <w:tr>
        <w:tc>
          <w:tcPr>
            <w:tcW w:type="dxa" w:w="2160"/>
          </w:tcPr>
          <w:p>
            <w:pPr/>
            <w:r>
              <w:rPr>
                <w:sz w:val="18"/>
              </w:rPr>
              <w:t>Tier 1</w:t>
            </w:r>
          </w:p>
        </w:tc>
        <w:tc>
          <w:tcPr>
            <w:tcW w:type="dxa" w:w="2160"/>
          </w:tcPr>
          <w:p>
            <w:pPr/>
            <w:r>
              <w:rPr>
                <w:sz w:val="18"/>
              </w:rPr>
              <w:t>&gt; $3.00</w:t>
            </w:r>
          </w:p>
        </w:tc>
        <w:tc>
          <w:tcPr>
            <w:tcW w:type="dxa" w:w="2160"/>
          </w:tcPr>
          <w:p>
            <w:pPr/>
            <w:r>
              <w:rPr>
                <w:sz w:val="18"/>
              </w:rPr>
              <w:t>10%</w:t>
            </w:r>
          </w:p>
        </w:tc>
        <w:tc>
          <w:tcPr>
            <w:tcW w:type="dxa" w:w="2160"/>
          </w:tcPr>
          <w:p>
            <w:pPr/>
            <w:r>
              <w:rPr>
                <w:sz w:val="18"/>
              </w:rPr>
              <w:t>5%</w:t>
            </w:r>
          </w:p>
        </w:tc>
      </w:tr>
      <w:tr>
        <w:tc>
          <w:tcPr>
            <w:tcW w:type="dxa" w:w="2160"/>
          </w:tcPr>
          <w:p>
            <w:pPr/>
            <w:r>
              <w:rPr>
                <w:sz w:val="18"/>
              </w:rPr>
              <w:t>Tier 1</w:t>
            </w:r>
          </w:p>
        </w:tc>
        <w:tc>
          <w:tcPr>
            <w:tcW w:type="dxa" w:w="2160"/>
          </w:tcPr>
          <w:p>
            <w:pPr/>
            <w:r>
              <w:rPr>
                <w:sz w:val="18"/>
              </w:rPr>
              <w:t>$0.75 - $3.00</w:t>
            </w:r>
          </w:p>
        </w:tc>
        <w:tc>
          <w:tcPr>
            <w:tcW w:type="dxa" w:w="2160"/>
          </w:tcPr>
          <w:p>
            <w:pPr/>
            <w:r>
              <w:rPr>
                <w:sz w:val="18"/>
              </w:rPr>
              <w:t>40%</w:t>
            </w:r>
          </w:p>
        </w:tc>
        <w:tc>
          <w:tcPr>
            <w:tcW w:type="dxa" w:w="2160"/>
          </w:tcPr>
          <w:p>
            <w:pPr/>
            <w:r>
              <w:rPr>
                <w:sz w:val="18"/>
              </w:rPr>
              <w:t>20%</w:t>
            </w:r>
          </w:p>
        </w:tc>
      </w:tr>
      <w:tr>
        <w:tc>
          <w:tcPr>
            <w:tcW w:type="dxa" w:w="2160"/>
          </w:tcPr>
          <w:p>
            <w:pPr/>
            <w:r>
              <w:rPr>
                <w:sz w:val="18"/>
              </w:rPr>
              <w:t>Tier 1</w:t>
            </w:r>
          </w:p>
        </w:tc>
        <w:tc>
          <w:tcPr>
            <w:tcW w:type="dxa" w:w="2160"/>
          </w:tcPr>
          <w:p>
            <w:pPr/>
            <w:r>
              <w:rPr>
                <w:sz w:val="18"/>
              </w:rPr>
              <w:t>&lt; $0.75</w:t>
            </w:r>
          </w:p>
        </w:tc>
        <w:tc>
          <w:tcPr>
            <w:tcW w:type="dxa" w:w="2160"/>
          </w:tcPr>
          <w:p>
            <w:pPr/>
            <w:r>
              <w:rPr>
                <w:sz w:val="18"/>
              </w:rPr>
              <w:t>$0.30 또는 150% 중 작은 값</w:t>
            </w:r>
          </w:p>
        </w:tc>
        <w:tc>
          <w:tcPr>
            <w:tcW w:type="dxa" w:w="2160"/>
          </w:tcPr>
          <w:p>
            <w:pPr/>
            <w:r>
              <w:rPr>
                <w:sz w:val="18"/>
              </w:rPr>
              <w:t>$0.15 또는 75% 중 작은 값</w:t>
            </w:r>
          </w:p>
        </w:tc>
      </w:tr>
      <w:tr>
        <w:tc>
          <w:tcPr>
            <w:tcW w:type="dxa" w:w="2160"/>
          </w:tcPr>
          <w:p>
            <w:pPr/>
            <w:r>
              <w:rPr>
                <w:sz w:val="18"/>
              </w:rPr>
              <w:t>Tier 2</w:t>
            </w:r>
          </w:p>
        </w:tc>
        <w:tc>
          <w:tcPr>
            <w:tcW w:type="dxa" w:w="2160"/>
          </w:tcPr>
          <w:p>
            <w:pPr/>
            <w:r>
              <w:rPr>
                <w:sz w:val="18"/>
              </w:rPr>
              <w:t>&gt; $3.00</w:t>
            </w:r>
          </w:p>
        </w:tc>
        <w:tc>
          <w:tcPr>
            <w:tcW w:type="dxa" w:w="2160"/>
          </w:tcPr>
          <w:p>
            <w:pPr/>
            <w:r>
              <w:rPr>
                <w:sz w:val="18"/>
              </w:rPr>
              <w:t>20%</w:t>
            </w:r>
          </w:p>
        </w:tc>
        <w:tc>
          <w:tcPr>
            <w:tcW w:type="dxa" w:w="2160"/>
          </w:tcPr>
          <w:p>
            <w:pPr/>
            <w:r>
              <w:rPr>
                <w:sz w:val="18"/>
              </w:rPr>
              <w:t>10%</w:t>
            </w:r>
          </w:p>
        </w:tc>
      </w:tr>
      <w:tr>
        <w:tc>
          <w:tcPr>
            <w:tcW w:type="dxa" w:w="2160"/>
          </w:tcPr>
          <w:p>
            <w:pPr/>
            <w:r>
              <w:rPr>
                <w:sz w:val="18"/>
              </w:rPr>
              <w:t>Tier 2</w:t>
            </w:r>
          </w:p>
        </w:tc>
        <w:tc>
          <w:tcPr>
            <w:tcW w:type="dxa" w:w="2160"/>
          </w:tcPr>
          <w:p>
            <w:pPr/>
            <w:r>
              <w:rPr>
                <w:sz w:val="18"/>
              </w:rPr>
              <w:t>$0.75 - $3.00</w:t>
            </w:r>
          </w:p>
        </w:tc>
        <w:tc>
          <w:tcPr>
            <w:tcW w:type="dxa" w:w="2160"/>
          </w:tcPr>
          <w:p>
            <w:pPr/>
            <w:r>
              <w:rPr>
                <w:sz w:val="18"/>
              </w:rPr>
              <w:t>40%</w:t>
            </w:r>
          </w:p>
        </w:tc>
        <w:tc>
          <w:tcPr>
            <w:tcW w:type="dxa" w:w="2160"/>
          </w:tcPr>
          <w:p>
            <w:pPr/>
            <w:r>
              <w:rPr>
                <w:sz w:val="18"/>
              </w:rPr>
              <w:t>20%</w:t>
            </w:r>
          </w:p>
        </w:tc>
      </w:tr>
      <w:tr>
        <w:tc>
          <w:tcPr>
            <w:tcW w:type="dxa" w:w="2160"/>
          </w:tcPr>
          <w:p>
            <w:pPr/>
            <w:r>
              <w:rPr>
                <w:sz w:val="18"/>
              </w:rPr>
              <w:t>Tier 2</w:t>
            </w:r>
          </w:p>
        </w:tc>
        <w:tc>
          <w:tcPr>
            <w:tcW w:type="dxa" w:w="2160"/>
          </w:tcPr>
          <w:p>
            <w:pPr/>
            <w:r>
              <w:rPr>
                <w:sz w:val="18"/>
              </w:rPr>
              <w:t>&lt; $0.75</w:t>
            </w:r>
          </w:p>
        </w:tc>
        <w:tc>
          <w:tcPr>
            <w:tcW w:type="dxa" w:w="2160"/>
          </w:tcPr>
          <w:p>
            <w:pPr/>
            <w:r>
              <w:rPr>
                <w:sz w:val="18"/>
              </w:rPr>
              <w:t>$0.30 또는 150% 중 작은 값</w:t>
            </w:r>
          </w:p>
        </w:tc>
        <w:tc>
          <w:tcPr>
            <w:tcW w:type="dxa" w:w="2160"/>
          </w:tcPr>
          <w:p>
            <w:pPr/>
            <w:r>
              <w:rPr>
                <w:sz w:val="18"/>
              </w:rPr>
              <w:t>$0.15 또는 75% 중 작은 값</w:t>
            </w:r>
          </w:p>
        </w:tc>
      </w:tr>
    </w:tbl>
    <w:p/>
    <w:p>
      <w:r>
        <w:t>참조가격:</w:t>
      </w:r>
    </w:p>
    <w:p>
      <w:pPr>
        <w:pStyle w:val="ListBullet"/>
      </w:pPr>
      <w:r>
        <w:t>참조가격은 직전 5분 거래 기간 동안의 산술평균 가격이다</w:t>
      </w:r>
    </w:p>
    <w:p>
      <w:pPr>
        <w:pStyle w:val="ListBullet"/>
      </w:pPr>
      <w:r>
        <w:t>가격범위는 참조가격에 비율을 적용하여 산출된다 (상한범위 = 참조가격 + 비율; 하한범위 = 참조가격 - 비율)</w:t>
      </w:r>
    </w:p>
    <w:p>
      <w:pPr>
        <w:pStyle w:val="ListBullet"/>
      </w:pPr>
      <w:r>
        <w:t>참조가격과 범위는 정규 거래시간 동안 매 30초마다 갱신된다</w:t>
      </w:r>
    </w:p>
    <w:p>
      <w:r>
        <w:t>LULD 상태 및 매매 일시중지:</w:t>
      </w:r>
    </w:p>
    <w:p>
      <w:pPr/>
      <w:r>
        <w:rPr>
          <w:rFonts w:ascii="Consolas" w:hAnsi="Consolas"/>
          <w:color w:val="333333"/>
          <w:sz w:val="16"/>
        </w:rPr>
        <w:t>정상 거래</w:t>
        <w:br/>
        <w:t xml:space="preserve">     │</w:t>
        <w:br/>
        <w:t xml:space="preserve">     ▼ 가격이 상한/하한 범위에 도달</w:t>
        <w:br/>
        <w:t>제한 상태 (Limit State, 15초)</w:t>
        <w:br/>
        <w:t xml:space="preserve">     │</w:t>
        <w:br/>
        <w:t xml:space="preserve">     ├─ 가격이 범위 내로 복귀 → 정상 거래</w:t>
        <w:br/>
        <w:t xml:space="preserve">     │</w:t>
        <w:br/>
        <w:t xml:space="preserve">     └─ 15초 후에도 가격이 제한 상태에 잔류</w:t>
        <w:br/>
        <w:t xml:space="preserve">          │</w:t>
        <w:br/>
        <w:t xml:space="preserve">          ▼</w:t>
        <w:br/>
        <w:t xml:space="preserve">     매매 일시중지 (Trading Pause, 5분)</w:t>
        <w:br/>
        <w:t xml:space="preserve">          │</w:t>
        <w:br/>
        <w:t xml:space="preserve">          ▼</w:t>
        <w:br/>
        <w:t xml:space="preserve">     재개장 경매 (주 상장 거래소)</w:t>
        <w:br/>
        <w:t xml:space="preserve">          │</w:t>
        <w:br/>
        <w:t xml:space="preserve">          ▼</w:t>
        <w:br/>
        <w:t xml:space="preserve">     정상 거래 재개</w:t>
      </w:r>
    </w:p>
    <w:p>
      <w:pPr>
        <w:pStyle w:val="ListBullet"/>
      </w:pPr>
      <w:r>
        <w:t>제한 상태: 전미최우선매수호가(매도호가)가 하한(상한) 가격범위와 동일할 때 진입. 제한 상태에서 거래는 계속 가능하나 범위 내 가격에서만 가능. 15초간 가격범위 내에서 거래가 이루어지지 않으면 매매 일시중지가 발동됨.</w:t>
      </w:r>
    </w:p>
    <w:p>
      <w:pPr>
        <w:pStyle w:val="ListBullet"/>
      </w:pPr>
      <w:r>
        <w:t>매매 일시중지: 5분간 지속. 주 상장 거래소가 균형가격을 재설정하기 위한 재개장 경매를 실시.</w:t>
      </w:r>
    </w:p>
    <w:p>
      <w:pPr>
        <w:pStyle w:val="ListBullet"/>
      </w:pPr>
      <w:r>
        <w:t>스트래들 상태 (Straddle State): 전미최우선매수호가가 하한 가격범위 미만이거나 전미최우선매도호가가 상한 가격범위 초과인 경우 (일반적으로 시장 일방의 소멸로 발생).</w:t>
      </w:r>
    </w:p>
    <w:p>
      <w:pPr>
        <w:pStyle w:val="Heading3"/>
      </w:pPr>
      <w:r>
        <w:t>3.2 시장 전체 서킷브레이커 (매매거래중단, Market-Wide Circuit Breakers, MWCB)</w:t>
      </w:r>
    </w:p>
    <w:p>
      <w:r>
        <w:t>시장 전체 서킷브레이커(매매거래중단)는 S&amp;P 500 지수가 급격한 하락을 경험할 때 모든 미국 주식시장의 매매를 중단시킨다. 1987년 블랙먼데이(Black Monday) 이후 최초 도입되었으며, 현행 체계는 2013년 4월 8일에 채택되었다(1988년 규칙 및 2012년 개정에서 사용된 다우존스 기반 기준을 대체).</w:t>
      </w:r>
    </w:p>
    <w:p>
      <w:r>
        <w:t>[Source: NYSE, "Market-Wide Circuit Breakers FAQ", accessed 2026-04-06]</w:t>
      </w:r>
    </w:p>
    <w:p>
      <w:r>
        <w:t>[Source: SEC/Investor.gov, "Stock Market Circuit Breakers", accessed 2026-04-06]</w:t>
      </w:r>
    </w:p>
    <w:p>
      <w:r>
        <w:t>MWCB 발동 기준:</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단계</w:t>
            </w:r>
          </w:p>
        </w:tc>
        <w:tc>
          <w:tcPr>
            <w:tcW w:type="dxa" w:w="2160"/>
          </w:tcPr>
          <w:p>
            <w:pPr/>
            <w:r>
              <w:rPr>
                <w:b/>
                <w:sz w:val="18"/>
              </w:rPr>
              <w:t>기준 (전일 종가 대비 S&amp;P 500 하락률)</w:t>
            </w:r>
          </w:p>
        </w:tc>
        <w:tc>
          <w:tcPr>
            <w:tcW w:type="dxa" w:w="2160"/>
          </w:tcPr>
          <w:p>
            <w:pPr/>
            <w:r>
              <w:rPr>
                <w:b/>
                <w:sz w:val="18"/>
              </w:rPr>
              <w:t>오후 3:25 이전</w:t>
            </w:r>
          </w:p>
        </w:tc>
        <w:tc>
          <w:tcPr>
            <w:tcW w:type="dxa" w:w="2160"/>
          </w:tcPr>
          <w:p>
            <w:pPr/>
            <w:r>
              <w:rPr>
                <w:b/>
                <w:sz w:val="18"/>
              </w:rPr>
              <w:t>오후 3:25 이후</w:t>
            </w:r>
          </w:p>
        </w:tc>
      </w:tr>
      <w:tr>
        <w:tc>
          <w:tcPr>
            <w:tcW w:type="dxa" w:w="2160"/>
          </w:tcPr>
          <w:p>
            <w:pPr/>
            <w:r>
              <w:rPr>
                <w:sz w:val="18"/>
              </w:rPr>
              <w:t>Level 1</w:t>
            </w:r>
          </w:p>
        </w:tc>
        <w:tc>
          <w:tcPr>
            <w:tcW w:type="dxa" w:w="2160"/>
          </w:tcPr>
          <w:p>
            <w:pPr/>
            <w:r>
              <w:rPr>
                <w:sz w:val="18"/>
              </w:rPr>
              <w:t>**7%**</w:t>
            </w:r>
          </w:p>
        </w:tc>
        <w:tc>
          <w:tcPr>
            <w:tcW w:type="dxa" w:w="2160"/>
          </w:tcPr>
          <w:p>
            <w:pPr/>
            <w:r>
              <w:rPr>
                <w:sz w:val="18"/>
              </w:rPr>
              <w:t>모든 시장에서 15분간 매매 중단</w:t>
            </w:r>
          </w:p>
        </w:tc>
        <w:tc>
          <w:tcPr>
            <w:tcW w:type="dxa" w:w="2160"/>
          </w:tcPr>
          <w:p>
            <w:pPr/>
            <w:r>
              <w:rPr>
                <w:sz w:val="18"/>
              </w:rPr>
              <w:t>중단 없음</w:t>
            </w:r>
          </w:p>
        </w:tc>
      </w:tr>
      <w:tr>
        <w:tc>
          <w:tcPr>
            <w:tcW w:type="dxa" w:w="2160"/>
          </w:tcPr>
          <w:p>
            <w:pPr/>
            <w:r>
              <w:rPr>
                <w:sz w:val="18"/>
              </w:rPr>
              <w:t>Level 2</w:t>
            </w:r>
          </w:p>
        </w:tc>
        <w:tc>
          <w:tcPr>
            <w:tcW w:type="dxa" w:w="2160"/>
          </w:tcPr>
          <w:p>
            <w:pPr/>
            <w:r>
              <w:rPr>
                <w:sz w:val="18"/>
              </w:rPr>
              <w:t>**13%**</w:t>
            </w:r>
          </w:p>
        </w:tc>
        <w:tc>
          <w:tcPr>
            <w:tcW w:type="dxa" w:w="2160"/>
          </w:tcPr>
          <w:p>
            <w:pPr/>
            <w:r>
              <w:rPr>
                <w:sz w:val="18"/>
              </w:rPr>
              <w:t>모든 시장에서 15분간 매매 중단</w:t>
            </w:r>
          </w:p>
        </w:tc>
        <w:tc>
          <w:tcPr>
            <w:tcW w:type="dxa" w:w="2160"/>
          </w:tcPr>
          <w:p>
            <w:pPr/>
            <w:r>
              <w:rPr>
                <w:sz w:val="18"/>
              </w:rPr>
              <w:t>중단 없음</w:t>
            </w:r>
          </w:p>
        </w:tc>
      </w:tr>
      <w:tr>
        <w:tc>
          <w:tcPr>
            <w:tcW w:type="dxa" w:w="2160"/>
          </w:tcPr>
          <w:p>
            <w:pPr/>
            <w:r>
              <w:rPr>
                <w:sz w:val="18"/>
              </w:rPr>
              <w:t>Level 3</w:t>
            </w:r>
          </w:p>
        </w:tc>
        <w:tc>
          <w:tcPr>
            <w:tcW w:type="dxa" w:w="2160"/>
          </w:tcPr>
          <w:p>
            <w:pPr/>
            <w:r>
              <w:rPr>
                <w:sz w:val="18"/>
              </w:rPr>
              <w:t>**20%**</w:t>
            </w:r>
          </w:p>
        </w:tc>
        <w:tc>
          <w:tcPr>
            <w:tcW w:type="dxa" w:w="2160"/>
          </w:tcPr>
          <w:p>
            <w:pPr/>
            <w:r>
              <w:rPr>
                <w:sz w:val="18"/>
              </w:rPr>
              <w:t>당일 잔여 시간 동안 매매 중단</w:t>
            </w:r>
          </w:p>
        </w:tc>
        <w:tc>
          <w:tcPr>
            <w:tcW w:type="dxa" w:w="2160"/>
          </w:tcPr>
          <w:p>
            <w:pPr/>
            <w:r>
              <w:rPr>
                <w:sz w:val="18"/>
              </w:rPr>
              <w:t>당일 잔여 시간 동안 매매 중단</w:t>
            </w:r>
          </w:p>
        </w:tc>
      </w:tr>
    </w:tbl>
    <w:p/>
    <w:p>
      <w:r>
        <w:t>운영 세부사항:</w:t>
      </w:r>
    </w:p>
    <w:p>
      <w:pPr>
        <w:pStyle w:val="ListBullet"/>
      </w:pPr>
      <w:r>
        <w:t>발동 수준은 전일 S&amp;P 500 지수 종가를 기준으로 매일 산출되며 가장 가까운 25bp로 반올림됨 (NYSE가 공표)</w:t>
      </w:r>
    </w:p>
    <w:p>
      <w:pPr>
        <w:pStyle w:val="ListBullet"/>
      </w:pPr>
      <w:r>
        <w:t>Level 1 또는 Level 2 중단은 거래일당 1회만 발동 가능</w:t>
      </w:r>
    </w:p>
    <w:p>
      <w:pPr>
        <w:pStyle w:val="ListBullet"/>
      </w:pPr>
      <w:r>
        <w:t>Level 1 중단 후 거래가 15분 후 재개됨; Level 2까지 추가 하락 시 15분간 추가 중단 발동</w:t>
      </w:r>
    </w:p>
    <w:p>
      <w:pPr>
        <w:pStyle w:val="ListBullet"/>
      </w:pPr>
      <w:r>
        <w:t>Level 3 중단은 발생 시점에 관계없이 당일 종일 시장을 폐장</w:t>
      </w:r>
    </w:p>
    <w:p>
      <w:pPr>
        <w:pStyle w:val="ListBullet"/>
      </w:pPr>
      <w:r>
        <w:t>중단 기간 중 주식, 옵션, 개별주식선물의 모든 매매가 중단됨</w:t>
      </w:r>
    </w:p>
    <w:p>
      <w:r>
        <w:t>최근 발동 사례 (2025-2026):</w:t>
      </w:r>
    </w:p>
    <w:p>
      <w:pPr>
        <w:pStyle w:val="ListBullet"/>
      </w:pPr>
      <w:r>
        <w:t>2025년 4월 7일, 미국 관세 발표 이후 MWCB가 발동됨. [미확인 — 구체적인 단계 및 세부사항은 확인 필요]</w:t>
      </w:r>
    </w:p>
    <w:p>
      <w:pPr>
        <w:pStyle w:val="ListBullet"/>
      </w:pPr>
      <w:r>
        <w:t>2026년 3월 9일, KRX는 시장 변동성으로 인해 KOSPI 매매에 서킷브레이커(매매거래중단)를 발동하였으며, 이는 글로벌 시장 혼란과 동시에 발생하였다. [Source: Korea Times, March 2026]</w:t>
      </w:r>
    </w:p>
    <w:p>
      <w:pPr>
        <w:pStyle w:val="Heading3"/>
      </w:pPr>
      <w:r>
        <w:t>3.3 명백한 오류 거래 규칙 (Clearly Erroneous Trade Rules)</w:t>
      </w:r>
    </w:p>
    <w:p>
      <w:r>
        <w:t>거래소와 FINRA는 체결 시점의 현행 시장가격에서 상당히 벗어난 가격으로 체결된 거래를 검토하고 잠재적으로 무효화(취소)하거나 조정하기 위한 규칙을 유지하고 있다.</w:t>
      </w:r>
    </w:p>
    <w:p>
      <w:r>
        <w:t>[Source: FINRA, "Rule 11892 — Clearly Erroneous Transactions in Exchange-Listed Securities", accessed 2026-04-06]</w:t>
      </w:r>
    </w:p>
    <w:p>
      <w:r>
        <w:t>주요 기준:</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참조가격 범위</w:t>
            </w:r>
          </w:p>
        </w:tc>
        <w:tc>
          <w:tcPr>
            <w:tcW w:type="dxa" w:w="4320"/>
          </w:tcPr>
          <w:p>
            <w:pPr/>
            <w:r>
              <w:rPr>
                <w:b/>
                <w:sz w:val="18"/>
              </w:rPr>
              <w:t>무효화 비율 기준</w:t>
            </w:r>
          </w:p>
        </w:tc>
      </w:tr>
      <w:tr>
        <w:tc>
          <w:tcPr>
            <w:tcW w:type="dxa" w:w="4320"/>
          </w:tcPr>
          <w:p>
            <w:pPr/>
            <w:r>
              <w:rPr>
                <w:sz w:val="18"/>
              </w:rPr>
              <w:t>$0.00 - $25.00</w:t>
            </w:r>
          </w:p>
        </w:tc>
        <w:tc>
          <w:tcPr>
            <w:tcW w:type="dxa" w:w="4320"/>
          </w:tcPr>
          <w:p>
            <w:pPr/>
            <w:r>
              <w:rPr>
                <w:sz w:val="18"/>
              </w:rPr>
              <w:t>10%</w:t>
            </w:r>
          </w:p>
        </w:tc>
      </w:tr>
      <w:tr>
        <w:tc>
          <w:tcPr>
            <w:tcW w:type="dxa" w:w="4320"/>
          </w:tcPr>
          <w:p>
            <w:pPr/>
            <w:r>
              <w:rPr>
                <w:sz w:val="18"/>
              </w:rPr>
              <w:t>$25.01 - $50.00</w:t>
            </w:r>
          </w:p>
        </w:tc>
        <w:tc>
          <w:tcPr>
            <w:tcW w:type="dxa" w:w="4320"/>
          </w:tcPr>
          <w:p>
            <w:pPr/>
            <w:r>
              <w:rPr>
                <w:sz w:val="18"/>
              </w:rPr>
              <w:t>5%</w:t>
            </w:r>
          </w:p>
        </w:tc>
      </w:tr>
      <w:tr>
        <w:tc>
          <w:tcPr>
            <w:tcW w:type="dxa" w:w="4320"/>
          </w:tcPr>
          <w:p>
            <w:pPr/>
            <w:r>
              <w:rPr>
                <w:sz w:val="18"/>
              </w:rPr>
              <w:t>&gt; $50.00</w:t>
            </w:r>
          </w:p>
        </w:tc>
        <w:tc>
          <w:tcPr>
            <w:tcW w:type="dxa" w:w="4320"/>
          </w:tcPr>
          <w:p>
            <w:pPr/>
            <w:r>
              <w:rPr>
                <w:sz w:val="18"/>
              </w:rPr>
              <w:t>3%</w:t>
            </w:r>
          </w:p>
        </w:tc>
      </w:tr>
      <w:tr>
        <w:tc>
          <w:tcPr>
            <w:tcW w:type="dxa" w:w="4320"/>
          </w:tcPr>
          <w:p>
            <w:pPr/>
            <w:r>
              <w:rPr>
                <w:sz w:val="18"/>
              </w:rPr>
              <w:t>다수 종목 영향 이벤트 (20개 이상 증권 영향)</w:t>
            </w:r>
          </w:p>
        </w:tc>
        <w:tc>
          <w:tcPr>
            <w:tcW w:type="dxa" w:w="4320"/>
          </w:tcPr>
          <w:p>
            <w:pPr/>
            <w:r>
              <w:rPr>
                <w:sz w:val="18"/>
              </w:rPr>
              <w:t>참조가격에서 30% 이상</w:t>
            </w:r>
          </w:p>
        </w:tc>
      </w:tr>
    </w:tbl>
    <w:p/>
    <w:p>
      <w:r>
        <w:t>절차:</w:t>
      </w:r>
    </w:p>
    <w:p>
      <w:pPr>
        <w:pStyle w:val="ListNumber"/>
      </w:pPr>
      <w:r>
        <w:t>시장 참가자가 체결 후 30분 이내에 거래 검토를 요청할 수 있음</w:t>
      </w:r>
    </w:p>
    <w:p>
      <w:pPr>
        <w:pStyle w:val="ListNumber"/>
      </w:pPr>
      <w:r>
        <w:t>거래소 또는 FINRA가 참조가격(일반적으로 오류 거래 이전의 마지막 체결가격)과 해당 비율 기준에 대해 거래를 검토</w:t>
      </w:r>
    </w:p>
    <w:p>
      <w:pPr>
        <w:pStyle w:val="ListNumber"/>
      </w:pPr>
      <w:r>
        <w:t>추가 고려 요소: 시스템 장애, 거래량/변동성, 뉴스 이벤트, 최근 매매 중단 여부, 전반적 시장 상황</w:t>
      </w:r>
    </w:p>
    <w:p>
      <w:pPr>
        <w:pStyle w:val="ListNumber"/>
      </w:pPr>
      <w:r>
        <w:t>거래소/FINRA가 무효화, 조정, 또는 조치 불이행 결정</w:t>
      </w:r>
    </w:p>
    <w:p>
      <w:pPr>
        <w:pStyle w:val="ListNumber"/>
      </w:pPr>
      <w:r>
        <w:t>거래소 관계자 패널에 이의신청 가능</w:t>
      </w:r>
    </w:p>
    <w:p>
      <w:r>
        <w:t>비상시적 시장 상황 시:</w:t>
      </w:r>
    </w:p>
    <w:p>
      <w:r>
        <w:t>FINRA는 FINRA 및 기타 SRO가 선정한 검토 기간 동안 참조가격에서 30% 이상 벗어난 가격의 모든 거래를 무효화한다.</w:t>
      </w:r>
    </w:p>
    <w:p>
      <w:r>
        <w:t>[Source: SEC, "Press Release: SEC Approves New Exchange Rules for Breaking Clearly Erroneous Trades", 2009-215, October 2009, accessed 2026-04-06]</w:t>
      </w:r>
    </w:p>
    <w:p>
      <w:pPr>
        <w:pStyle w:val="Heading3"/>
      </w:pPr>
      <w:r>
        <w:t>3.4 공매도 제한 (Short Sale Restrictions)</w:t>
      </w:r>
    </w:p>
    <w:p>
      <w:r>
        <w:t>Regulation SHO(제2.3절) 외에, 추가적인 공매도 관련 시장구조 규칙은 다음을 포함한다:</w:t>
      </w:r>
    </w:p>
    <w:p>
      <w:r>
        <w:t>Rule 201 — 대안적 업틱규칙 (공매도 서킷브레이커):</w:t>
      </w:r>
    </w:p>
    <w:p>
      <w:pPr>
        <w:pStyle w:val="ListBullet"/>
      </w:pPr>
      <w:r>
        <w:t>발동 조건: 주가가 전일 종가 대비 10% 이상 하락 시 발동</w:t>
      </w:r>
    </w:p>
    <w:p>
      <w:pPr>
        <w:pStyle w:val="ListBullet"/>
      </w:pPr>
      <w:r>
        <w:t>적용 기간: 현 거래일 잔여 시간과 다음 거래일 전체에 적용</w:t>
      </w:r>
    </w:p>
    <w:p>
      <w:pPr>
        <w:pStyle w:val="ListBullet"/>
      </w:pPr>
      <w:r>
        <w:t>제한 내용: 제한 기간 동안 공매도는 현재 전미최우선매수호가 상위 가격에서만 체결 가능 ("공매도 가격 규제")</w:t>
      </w:r>
    </w:p>
    <w:p>
      <w:pPr>
        <w:pStyle w:val="ListBullet"/>
      </w:pPr>
      <w:r>
        <w:t>목적: 이미 상당한 가격 하락을 경험하고 있는 주식에 대해 공매도가 추가적인 하락 압력을 가하는 것을 방지</w:t>
      </w:r>
    </w:p>
    <w:p>
      <w:r>
        <w:t>Regulation SHO 기준증권 목록:</w:t>
      </w:r>
    </w:p>
    <w:p>
      <w:pPr>
        <w:pStyle w:val="ListBullet"/>
      </w:pPr>
      <w:r>
        <w:t>각 SRO가 매일 공표</w:t>
      </w:r>
    </w:p>
    <w:p>
      <w:pPr>
        <w:pStyle w:val="ListBullet"/>
      </w:pPr>
      <w:r>
        <w:t>누적 미결제 포지션이 기준을 충족하는 증권은 의무적 결제이행 요건의 적용을 받음</w:t>
      </w:r>
    </w:p>
    <w:p>
      <w:pPr>
        <w:pStyle w:val="ListBullet"/>
      </w:pPr>
      <w:r>
        <w:t>브로커-딜러는 장기 미결제가 있는 기준증권의 공매도 체결 전에 주식을 사전 차입(단순 확인이 아닌)해야 함</w:t>
      </w:r>
    </w:p>
    <w:p>
      <w:r>
        <w:t>────────────────────────────────────────────────────────────</w:t>
      </w:r>
    </w:p>
    <w:p>
      <w:pPr>
        <w:pStyle w:val="Heading2"/>
      </w:pPr>
      <w:r>
        <w:t>4. 시장데이터 규칙 (Market Data Rules)</w:t>
      </w:r>
    </w:p>
    <w:p>
      <w:pPr>
        <w:pStyle w:val="Heading3"/>
      </w:pPr>
      <w:r>
        <w:t>4.1 증권정보처리기관 (Securities Information Processors, SIPs)</w:t>
      </w:r>
    </w:p>
    <w:p>
      <w:r>
        <w:t>SIP 시스템은 모든 미국 주식시장에 걸친 통합 실시간 시장데이터 배포의 핵심 인프라를 제공한다. 증권거래법 제11A조와 Regulation NMS (전미시장제도규정) Rule 603에 따라, 거래소는 통합된 호가 및 거래 데이터를 배포하기 위한 계획을 공동으로 운영해야 한다.</w:t>
      </w:r>
    </w:p>
    <w:p>
      <w:r>
        <w:t>현행 SIP 구조 (CT Plan 전환 이전):</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SIP</w:t>
            </w:r>
          </w:p>
        </w:tc>
        <w:tc>
          <w:tcPr>
            <w:tcW w:type="dxa" w:w="2160"/>
          </w:tcPr>
          <w:p>
            <w:pPr/>
            <w:r>
              <w:rPr>
                <w:b/>
                <w:sz w:val="18"/>
              </w:rPr>
              <w:t>운영자</w:t>
            </w:r>
          </w:p>
        </w:tc>
        <w:tc>
          <w:tcPr>
            <w:tcW w:type="dxa" w:w="2160"/>
          </w:tcPr>
          <w:p>
            <w:pPr/>
            <w:r>
              <w:rPr>
                <w:b/>
                <w:sz w:val="18"/>
              </w:rPr>
              <w:t>대상 증권</w:t>
            </w:r>
          </w:p>
        </w:tc>
        <w:tc>
          <w:tcPr>
            <w:tcW w:type="dxa" w:w="2160"/>
          </w:tcPr>
          <w:p>
            <w:pPr/>
            <w:r>
              <w:rPr>
                <w:b/>
                <w:sz w:val="18"/>
              </w:rPr>
              <w:t>데이터 유형</w:t>
            </w:r>
          </w:p>
        </w:tc>
      </w:tr>
      <w:tr>
        <w:tc>
          <w:tcPr>
            <w:tcW w:type="dxa" w:w="2160"/>
          </w:tcPr>
          <w:p>
            <w:pPr/>
            <w:r>
              <w:rPr>
                <w:sz w:val="18"/>
              </w:rPr>
              <w:t>**CTS / CQS** (Network A &amp; B)</w:t>
            </w:r>
          </w:p>
        </w:tc>
        <w:tc>
          <w:tcPr>
            <w:tcW w:type="dxa" w:w="2160"/>
          </w:tcPr>
          <w:p>
            <w:pPr/>
            <w:r>
              <w:rPr>
                <w:sz w:val="18"/>
              </w:rPr>
              <w:t>CTA Plan / NYSE</w:t>
            </w:r>
          </w:p>
        </w:tc>
        <w:tc>
          <w:tcPr>
            <w:tcW w:type="dxa" w:w="2160"/>
          </w:tcPr>
          <w:p>
            <w:pPr/>
            <w:r>
              <w:rPr>
                <w:sz w:val="18"/>
              </w:rPr>
              <w:t>NYSE 상장(Tape A) 및 NYSE American, Cboe 등 상장(Tape B)</w:t>
            </w:r>
          </w:p>
        </w:tc>
        <w:tc>
          <w:tcPr>
            <w:tcW w:type="dxa" w:w="2160"/>
          </w:tcPr>
          <w:p>
            <w:pPr/>
            <w:r>
              <w:rPr>
                <w:sz w:val="18"/>
              </w:rPr>
              <w:t>CTS: 최종체결/거래 데이터; CQS: 호가 데이터(NBBO)</w:t>
            </w:r>
          </w:p>
        </w:tc>
      </w:tr>
      <w:tr>
        <w:tc>
          <w:tcPr>
            <w:tcW w:type="dxa" w:w="2160"/>
          </w:tcPr>
          <w:p>
            <w:pPr/>
            <w:r>
              <w:rPr>
                <w:sz w:val="18"/>
              </w:rPr>
              <w:t>**UTDF / UQDF** (Network C)</w:t>
            </w:r>
          </w:p>
        </w:tc>
        <w:tc>
          <w:tcPr>
            <w:tcW w:type="dxa" w:w="2160"/>
          </w:tcPr>
          <w:p>
            <w:pPr/>
            <w:r>
              <w:rPr>
                <w:sz w:val="18"/>
              </w:rPr>
              <w:t>UTP Plan / Nasdaq</w:t>
            </w:r>
          </w:p>
        </w:tc>
        <w:tc>
          <w:tcPr>
            <w:tcW w:type="dxa" w:w="2160"/>
          </w:tcPr>
          <w:p>
            <w:pPr/>
            <w:r>
              <w:rPr>
                <w:sz w:val="18"/>
              </w:rPr>
              <w:t>Nasdaq 상장(Tape C)</w:t>
            </w:r>
          </w:p>
        </w:tc>
        <w:tc>
          <w:tcPr>
            <w:tcW w:type="dxa" w:w="2160"/>
          </w:tcPr>
          <w:p>
            <w:pPr/>
            <w:r>
              <w:rPr>
                <w:sz w:val="18"/>
              </w:rPr>
              <w:t>UTDF: 최종체결/거래 데이터; UQDF: 호가 데이터</w:t>
            </w:r>
          </w:p>
        </w:tc>
      </w:tr>
    </w:tbl>
    <w:p/>
    <w:p>
      <w:r>
        <w:t>[Source: CTA Plan, ctaplan.com, accessed 2026-04-06]</w:t>
      </w:r>
    </w:p>
    <w:p>
      <w:r>
        <w:t>[Source: UTP Plan, utpplan.com, accessed 2026-04-06]</w:t>
      </w:r>
    </w:p>
    <w:p>
      <w:r>
        <w:t>SIP 데이터 요소:</w:t>
      </w:r>
    </w:p>
    <w:p>
      <w:pPr>
        <w:pStyle w:val="ListBullet"/>
      </w:pPr>
      <w:r>
        <w:t>전미최우선매수·매도호가(NBBO)</w:t>
      </w:r>
    </w:p>
    <w:p>
      <w:pPr>
        <w:pStyle w:val="ListBullet"/>
      </w:pPr>
      <w:r>
        <w:t>최종체결가격, 거래량, 보고 시장센터</w:t>
      </w:r>
    </w:p>
    <w:p>
      <w:pPr>
        <w:pStyle w:val="ListBullet"/>
      </w:pPr>
      <w:r>
        <w:t>공매도 제한 표시</w:t>
      </w:r>
    </w:p>
    <w:p>
      <w:pPr>
        <w:pStyle w:val="ListBullet"/>
      </w:pPr>
      <w:r>
        <w:t>LULD 가격범위 표시</w:t>
      </w:r>
    </w:p>
    <w:p>
      <w:pPr>
        <w:pStyle w:val="ListBullet"/>
      </w:pPr>
      <w:r>
        <w:t>규제 매매중단 표시</w:t>
      </w:r>
    </w:p>
    <w:p>
      <w:pPr>
        <w:pStyle w:val="Heading3"/>
      </w:pPr>
      <w:r>
        <w:t>4.2 CT Plan 개혁 (새로운 통합테이프 계획)</w:t>
      </w:r>
    </w:p>
    <w:p>
      <w:r>
        <w:t>2024년 11월 24일, SEC는 모든 NMS 주식에 대한 실시간 통합 주식시장 데이터의 공개 배포를 규율하는 단일·통합 NMS Plan인 새로운 "CT Plan"을 승인하였다. 이 계획은 최종적으로 CTA/CQ Plan과 UTP Plan을 모두 대체할 것이다.</w:t>
      </w:r>
    </w:p>
    <w:p>
      <w:r>
        <w:t>[Source: SEC, Release No. 34-101672, November 2024, accessed 2026-04-06]</w:t>
      </w:r>
    </w:p>
    <w:p>
      <w:r>
        <w:t>새로운 CT Plan의 주요 특징:</w:t>
      </w:r>
    </w:p>
    <w:p>
      <w:pPr>
        <w:pStyle w:val="ListBullet"/>
      </w:pPr>
      <w:r>
        <w:t>통합 거버넌스: 현행 이원 계획 구조(CTA/CQ 및 UTP)를 대체하는 단일 계획</w:t>
      </w:r>
    </w:p>
    <w:p>
      <w:pPr>
        <w:pStyle w:val="ListBullet"/>
      </w:pPr>
      <w:r>
        <w:t>경쟁적 통합기관: 새 프레임워크는 테이프당 단일 독점 SIP 대신 복수의 경쟁 SIP(경쟁적 통합기관)의 가능성을 구상</w:t>
      </w:r>
    </w:p>
    <w:p>
      <w:pPr>
        <w:pStyle w:val="ListBullet"/>
      </w:pPr>
      <w:r>
        <w:t>데이터 콘텐츠 확대: 시장데이터인프라(MDI) 규칙에 따라, 새 CT Plan은 다음의 배포를 요구:</w:t>
      </w:r>
    </w:p>
    <w:p>
      <w:pPr>
        <w:pStyle w:val="ListBullet"/>
      </w:pPr>
      <w:r>
        <w:t>단주 호가정보 (NBBO 이상의 최우선 단주 매수/매도호가)</w:t>
      </w:r>
    </w:p>
    <w:p>
      <w:pPr>
        <w:pStyle w:val="ListBullet"/>
      </w:pPr>
      <w:r>
        <w:t>호가잔량 데이터 (복수 가격단계에서 집계)</w:t>
      </w:r>
    </w:p>
    <w:p>
      <w:pPr>
        <w:pStyle w:val="ListBullet"/>
      </w:pPr>
      <w:r>
        <w:t>경매 정보</w:t>
      </w:r>
    </w:p>
    <w:p>
      <w:pPr>
        <w:pStyle w:val="ListBullet"/>
      </w:pPr>
      <w:r>
        <w:t>주가에 기반한 매매단위(round lot) 재정의</w:t>
      </w:r>
    </w:p>
    <w:p>
      <w:pPr>
        <w:pStyle w:val="ListBullet"/>
      </w:pPr>
      <w:r>
        <w:t>시행 일정: CT Plan 참가자는 새 계획 시행을 위해 2027년 4월까지 시행해야 하며, 이 시점에서 CTA/CQ 및 UTP 계획은 운영을 중단</w:t>
      </w:r>
    </w:p>
    <w:p>
      <w:pPr>
        <w:pStyle w:val="ListBullet"/>
      </w:pPr>
      <w:r>
        <w:t>일시적 면제: 2026년 3월, SIP가 각 참가자의 최우선 단주 매수/매도호가를 넘어선 단주 호가잔량 데이터 배포 요건에 대해 2년간 유예(2028년 5월까지)를 요청하는 면제 신청을 제출</w:t>
      </w:r>
    </w:p>
    <w:p>
      <w:r>
        <w:t>[Source: SEC, Release No. 34-105125, 2026, accessed 2026-04-06]</w:t>
      </w:r>
    </w:p>
    <w:p>
      <w:pPr>
        <w:pStyle w:val="Heading3"/>
      </w:pPr>
      <w:r>
        <w:t>4.3 독자 데이터 피드 (Proprietary Data Feeds)</w:t>
      </w:r>
    </w:p>
    <w:p>
      <w:r>
        <w:t>통합 SIP 피드 외에, 거래소는 다음을 제공하는 독자 데이터 피드를 운영한다:</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피드 유형</w:t>
            </w:r>
          </w:p>
        </w:tc>
        <w:tc>
          <w:tcPr>
            <w:tcW w:type="dxa" w:w="2880"/>
          </w:tcPr>
          <w:p>
            <w:pPr/>
            <w:r>
              <w:rPr>
                <w:b/>
                <w:sz w:val="18"/>
              </w:rPr>
              <w:t>설명</w:t>
            </w:r>
          </w:p>
        </w:tc>
        <w:tc>
          <w:tcPr>
            <w:tcW w:type="dxa" w:w="2880"/>
          </w:tcPr>
          <w:p>
            <w:pPr/>
            <w:r>
              <w:rPr>
                <w:b/>
                <w:sz w:val="18"/>
              </w:rPr>
              <w:t>일반적 지연시간</w:t>
            </w:r>
          </w:p>
        </w:tc>
      </w:tr>
      <w:tr>
        <w:tc>
          <w:tcPr>
            <w:tcW w:type="dxa" w:w="2880"/>
          </w:tcPr>
          <w:p>
            <w:pPr/>
            <w:r>
              <w:rPr>
                <w:sz w:val="18"/>
              </w:rPr>
              <w:t>직접 피드 (호가잔량)</w:t>
            </w:r>
          </w:p>
        </w:tc>
        <w:tc>
          <w:tcPr>
            <w:tcW w:type="dxa" w:w="2880"/>
          </w:tcPr>
          <w:p>
            <w:pPr/>
            <w:r>
              <w:rPr>
                <w:sz w:val="18"/>
              </w:rPr>
              <w:t>개별 거래소의 전체 호가창 데이터 (예: NYSE Integrated Feed, Nasdaq TotalView, Cboe Pitch)</w:t>
            </w:r>
          </w:p>
        </w:tc>
        <w:tc>
          <w:tcPr>
            <w:tcW w:type="dxa" w:w="2880"/>
          </w:tcPr>
          <w:p>
            <w:pPr/>
            <w:r>
              <w:rPr>
                <w:sz w:val="18"/>
              </w:rPr>
              <w:t>거래소에서 ~10-50마이크로초</w:t>
            </w:r>
          </w:p>
        </w:tc>
      </w:tr>
      <w:tr>
        <w:tc>
          <w:tcPr>
            <w:tcW w:type="dxa" w:w="2880"/>
          </w:tcPr>
          <w:p>
            <w:pPr/>
            <w:r>
              <w:rPr>
                <w:sz w:val="18"/>
              </w:rPr>
              <w:t>최우선호가 피드</w:t>
            </w:r>
          </w:p>
        </w:tc>
        <w:tc>
          <w:tcPr>
            <w:tcW w:type="dxa" w:w="2880"/>
          </w:tcPr>
          <w:p>
            <w:pPr/>
            <w:r>
              <w:rPr>
                <w:sz w:val="18"/>
              </w:rPr>
              <w:t>개별 거래소의 최우선 매수/매도호가 및 최종체결</w:t>
            </w:r>
          </w:p>
        </w:tc>
        <w:tc>
          <w:tcPr>
            <w:tcW w:type="dxa" w:w="2880"/>
          </w:tcPr>
          <w:p>
            <w:pPr/>
            <w:r>
              <w:rPr>
                <w:sz w:val="18"/>
              </w:rPr>
              <w:t>~10-50마이크로초</w:t>
            </w:r>
          </w:p>
        </w:tc>
      </w:tr>
      <w:tr>
        <w:tc>
          <w:tcPr>
            <w:tcW w:type="dxa" w:w="2880"/>
          </w:tcPr>
          <w:p>
            <w:pPr/>
            <w:r>
              <w:rPr>
                <w:sz w:val="18"/>
              </w:rPr>
              <w:t>집계 피드</w:t>
            </w:r>
          </w:p>
        </w:tc>
        <w:tc>
          <w:tcPr>
            <w:tcW w:type="dxa" w:w="2880"/>
          </w:tcPr>
          <w:p>
            <w:pPr/>
            <w:r>
              <w:rPr>
                <w:sz w:val="18"/>
              </w:rPr>
              <w:t>복수 거래소 피드를 결합하는 제3자 벤더</w:t>
            </w:r>
          </w:p>
        </w:tc>
        <w:tc>
          <w:tcPr>
            <w:tcW w:type="dxa" w:w="2880"/>
          </w:tcPr>
          <w:p>
            <w:pPr/>
            <w:r>
              <w:rPr>
                <w:sz w:val="18"/>
              </w:rPr>
              <w:t>다양</w:t>
            </w:r>
          </w:p>
        </w:tc>
      </w:tr>
    </w:tbl>
    <w:p/>
    <w:p>
      <w:r>
        <w:t>지연시간 차이: 독자 피드는 SIP(고유 처리 지연시간 ~200-500마이크로초 [추정])보다 실질적으로 빠르다. 이 지연시간 차이는 직접 피드 접근권을 가진 회사에 정보 우위를 제공하므로 지속적인 규제 논의의 대상이 되어 왔다.</w:t>
      </w:r>
    </w:p>
    <w:p>
      <w:r>
        <w:t>코로케이션(전산센터 공동입주) 서비스: 거래소는 시장 참가자가 거래 서버를 거래소 매매체결엔진(매칭엔진)에 물리적으로 근접한 위치에 배치할 수 있도록 하는 코로케이션 서비스를 제공한다. SEC는 코로케이션 서비스가 공정하고 합리적이며 비차별적인 기준으로 제공될 것을 요구한다.</w:t>
      </w:r>
    </w:p>
    <w:p>
      <w:pPr>
        <w:pStyle w:val="Heading3"/>
      </w:pPr>
      <w:r>
        <w:t>4.4 시장데이터인프라 (MDI) 규칙</w:t>
      </w:r>
    </w:p>
    <w:p>
      <w:r>
        <w:t>2020년 12월에 채택된 MDI 규칙(Regulation NMS 개정)은 미국 주식시장 데이터 프레임워크의 대대적인 개편을 의미한다.</w:t>
      </w:r>
    </w:p>
    <w:p>
      <w:r>
        <w:t>주요 구성요소:</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구성요소</w:t>
            </w:r>
          </w:p>
        </w:tc>
        <w:tc>
          <w:tcPr>
            <w:tcW w:type="dxa" w:w="2880"/>
          </w:tcPr>
          <w:p>
            <w:pPr/>
            <w:r>
              <w:rPr>
                <w:b/>
                <w:sz w:val="18"/>
              </w:rPr>
              <w:t>설명</w:t>
            </w:r>
          </w:p>
        </w:tc>
        <w:tc>
          <w:tcPr>
            <w:tcW w:type="dxa" w:w="2880"/>
          </w:tcPr>
          <w:p>
            <w:pPr/>
            <w:r>
              <w:rPr>
                <w:b/>
                <w:sz w:val="18"/>
              </w:rPr>
              <w:t>현황</w:t>
            </w:r>
          </w:p>
        </w:tc>
      </w:tr>
      <w:tr>
        <w:tc>
          <w:tcPr>
            <w:tcW w:type="dxa" w:w="2880"/>
          </w:tcPr>
          <w:p>
            <w:pPr/>
            <w:r>
              <w:rPr>
                <w:sz w:val="18"/>
              </w:rPr>
              <w:t>"핵심 데이터" 정의 확대</w:t>
            </w:r>
          </w:p>
        </w:tc>
        <w:tc>
          <w:tcPr>
            <w:tcW w:type="dxa" w:w="2880"/>
          </w:tcPr>
          <w:p>
            <w:pPr/>
            <w:r>
              <w:rPr>
                <w:sz w:val="18"/>
              </w:rPr>
              <w:t>호가잔량, 단주 정보, 경매 데이터를 포함</w:t>
            </w:r>
          </w:p>
        </w:tc>
        <w:tc>
          <w:tcPr>
            <w:tcW w:type="dxa" w:w="2880"/>
          </w:tcPr>
          <w:p>
            <w:pPr/>
            <w:r>
              <w:rPr>
                <w:sz w:val="18"/>
              </w:rPr>
              <w:t>시행 진행 중</w:t>
            </w:r>
          </w:p>
        </w:tc>
      </w:tr>
      <w:tr>
        <w:tc>
          <w:tcPr>
            <w:tcW w:type="dxa" w:w="2880"/>
          </w:tcPr>
          <w:p>
            <w:pPr/>
            <w:r>
              <w:rPr>
                <w:sz w:val="18"/>
              </w:rPr>
              <w:t>매매단위(Round lot) 재정의</w:t>
            </w:r>
          </w:p>
        </w:tc>
        <w:tc>
          <w:tcPr>
            <w:tcW w:type="dxa" w:w="2880"/>
          </w:tcPr>
          <w:p>
            <w:pPr/>
            <w:r>
              <w:rPr>
                <w:sz w:val="18"/>
              </w:rPr>
              <w:t>주가별 매매단위 정의: $0.01-$250.00 = 100주; $250.01-$1,000.00 = 40주; $1,000.01-$10,000.00 = 10주; &gt;$10,000.00 = 1주</w:t>
            </w:r>
          </w:p>
        </w:tc>
        <w:tc>
          <w:tcPr>
            <w:tcW w:type="dxa" w:w="2880"/>
          </w:tcPr>
          <w:p>
            <w:pPr/>
            <w:r>
              <w:rPr>
                <w:sz w:val="18"/>
              </w:rPr>
              <w:t>매매단위/단주 정의: 2026년 5월 시행</w:t>
            </w:r>
          </w:p>
        </w:tc>
      </w:tr>
      <w:tr>
        <w:tc>
          <w:tcPr>
            <w:tcW w:type="dxa" w:w="2880"/>
          </w:tcPr>
          <w:p>
            <w:pPr/>
            <w:r>
              <w:rPr>
                <w:sz w:val="18"/>
              </w:rPr>
              <w:t>경쟁적 통합기관 모델</w:t>
            </w:r>
          </w:p>
        </w:tc>
        <w:tc>
          <w:tcPr>
            <w:tcW w:type="dxa" w:w="2880"/>
          </w:tcPr>
          <w:p>
            <w:pPr/>
            <w:r>
              <w:rPr>
                <w:sz w:val="18"/>
              </w:rPr>
              <w:t>기존 독점 SIP 외에 복수 기관이 시장데이터를 수집·통합할 수 있도록 허용</w:t>
            </w:r>
          </w:p>
        </w:tc>
        <w:tc>
          <w:tcPr>
            <w:tcW w:type="dxa" w:w="2880"/>
          </w:tcPr>
          <w:p>
            <w:pPr/>
            <w:r>
              <w:rPr>
                <w:sz w:val="18"/>
              </w:rPr>
              <w:t>CT Plan 개혁에 흡수</w:t>
            </w:r>
          </w:p>
        </w:tc>
      </w:tr>
      <w:tr>
        <w:tc>
          <w:tcPr>
            <w:tcW w:type="dxa" w:w="2880"/>
          </w:tcPr>
          <w:p>
            <w:pPr/>
            <w:r>
              <w:rPr>
                <w:sz w:val="18"/>
              </w:rPr>
              <w:t>단주 투명성</w:t>
            </w:r>
          </w:p>
        </w:tc>
        <w:tc>
          <w:tcPr>
            <w:tcW w:type="dxa" w:w="2880"/>
          </w:tcPr>
          <w:p>
            <w:pPr/>
            <w:r>
              <w:rPr>
                <w:sz w:val="18"/>
              </w:rPr>
              <w:t>NBBO 이상 가격의 단주 호가정보 배포</w:t>
            </w:r>
          </w:p>
        </w:tc>
        <w:tc>
          <w:tcPr>
            <w:tcW w:type="dxa" w:w="2880"/>
          </w:tcPr>
          <w:p>
            <w:pPr/>
            <w:r>
              <w:rPr>
                <w:sz w:val="18"/>
              </w:rPr>
              <w:t>2026-2028년 단계적 시행</w:t>
            </w:r>
          </w:p>
        </w:tc>
      </w:tr>
      <w:tr>
        <w:tc>
          <w:tcPr>
            <w:tcW w:type="dxa" w:w="2880"/>
          </w:tcPr>
          <w:p>
            <w:pPr/>
            <w:r>
              <w:rPr>
                <w:sz w:val="18"/>
              </w:rPr>
              <w:t>자체집계 모델</w:t>
            </w:r>
          </w:p>
        </w:tc>
        <w:tc>
          <w:tcPr>
            <w:tcW w:type="dxa" w:w="2880"/>
          </w:tcPr>
          <w:p>
            <w:pPr/>
            <w:r>
              <w:rPr>
                <w:sz w:val="18"/>
              </w:rPr>
              <w:t>브로커-딜러가 SIP에 의존하지 않고 개별 거래소 피드의 데이터를 자체 집계할 수 있도록 허용</w:t>
            </w:r>
          </w:p>
        </w:tc>
        <w:tc>
          <w:tcPr>
            <w:tcW w:type="dxa" w:w="2880"/>
          </w:tcPr>
          <w:p>
            <w:pPr/>
            <w:r>
              <w:rPr>
                <w:sz w:val="18"/>
              </w:rPr>
              <w:t>CT Plan 프레임워크 하</w:t>
            </w:r>
          </w:p>
        </w:tc>
      </w:tr>
    </w:tbl>
    <w:p/>
    <w:p>
      <w:r>
        <w:t>[Source: SEC, "Market Data Infrastructure Rule", Release No. 34-90610, December 2020, accessed 2026-04-06]</w:t>
      </w:r>
    </w:p>
    <w:p>
      <w:r>
        <w:t>────────────────────────────────────────────────────────────</w:t>
      </w:r>
    </w:p>
    <w:p>
      <w:pPr>
        <w:pStyle w:val="Heading2"/>
      </w:pPr>
      <w:r>
        <w:t>5. 시장감시 (Market Surveillance)</w:t>
      </w:r>
    </w:p>
    <w:p>
      <w:pPr>
        <w:pStyle w:val="Heading3"/>
      </w:pPr>
      <w:r>
        <w:t>5.1 통합감사추적 (Consolidated Audit Trail, CAT)</w:t>
      </w:r>
    </w:p>
    <w:p>
      <w:r>
        <w:t>통합감사추적(CAT)은 NMS 증권(주식 및 옵션)의 모든 활동을 주문 발생에서 라우팅, 변경, 취소, 체결까지 추적하는 포괄적 감사추적 및 중앙 저장소이다. 2010년 5월 플래시크래시 이후 2012년에 채택된 SEC Rule 613에 의해 의무화되었다.</w:t>
      </w:r>
    </w:p>
    <w:p>
      <w:r>
        <w:t>[Source: CAT NMS Plan, catnmsplan.com, accessed 2026-04-06]</w:t>
      </w:r>
    </w:p>
    <w:p>
      <w:r>
        <w:t>[Source: FINRA, "Consolidated Audit Trail (CAT)", accessed 2026-04-06]</w:t>
      </w:r>
    </w:p>
    <w:p>
      <w:r>
        <w:t>CAT 개요:</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세부사항</w:t>
            </w:r>
          </w:p>
        </w:tc>
      </w:tr>
      <w:tr>
        <w:tc>
          <w:tcPr>
            <w:tcW w:type="dxa" w:w="4320"/>
          </w:tcPr>
          <w:p>
            <w:pPr/>
            <w:r>
              <w:rPr>
                <w:sz w:val="18"/>
              </w:rPr>
              <w:t>근거 규칙</w:t>
            </w:r>
          </w:p>
        </w:tc>
        <w:tc>
          <w:tcPr>
            <w:tcW w:type="dxa" w:w="4320"/>
          </w:tcPr>
          <w:p>
            <w:pPr/>
            <w:r>
              <w:rPr>
                <w:sz w:val="18"/>
              </w:rPr>
              <w:t>SEC Rule 613 (2012년 7월 채택)</w:t>
            </w:r>
          </w:p>
        </w:tc>
      </w:tr>
      <w:tr>
        <w:tc>
          <w:tcPr>
            <w:tcW w:type="dxa" w:w="4320"/>
          </w:tcPr>
          <w:p>
            <w:pPr/>
            <w:r>
              <w:rPr>
                <w:sz w:val="18"/>
              </w:rPr>
              <w:t>운영자</w:t>
            </w:r>
          </w:p>
        </w:tc>
        <w:tc>
          <w:tcPr>
            <w:tcW w:type="dxa" w:w="4320"/>
          </w:tcPr>
          <w:p>
            <w:pPr/>
            <w:r>
              <w:rPr>
                <w:sz w:val="18"/>
              </w:rPr>
              <w:t>CAT NMS, LLC (SRO 공동 소유)</w:t>
            </w:r>
          </w:p>
        </w:tc>
      </w:tr>
      <w:tr>
        <w:tc>
          <w:tcPr>
            <w:tcW w:type="dxa" w:w="4320"/>
          </w:tcPr>
          <w:p>
            <w:pPr/>
            <w:r>
              <w:rPr>
                <w:sz w:val="18"/>
              </w:rPr>
              <w:t>계획 처리자</w:t>
            </w:r>
          </w:p>
        </w:tc>
        <w:tc>
          <w:tcPr>
            <w:tcW w:type="dxa" w:w="4320"/>
          </w:tcPr>
          <w:p>
            <w:pPr/>
            <w:r>
              <w:rPr>
                <w:sz w:val="18"/>
              </w:rPr>
              <w:t>FINRA CAT, LLC</w:t>
            </w:r>
          </w:p>
        </w:tc>
      </w:tr>
      <w:tr>
        <w:tc>
          <w:tcPr>
            <w:tcW w:type="dxa" w:w="4320"/>
          </w:tcPr>
          <w:p>
            <w:pPr/>
            <w:r>
              <w:rPr>
                <w:sz w:val="18"/>
              </w:rPr>
              <w:t>적용 범위</w:t>
            </w:r>
          </w:p>
        </w:tc>
        <w:tc>
          <w:tcPr>
            <w:tcW w:type="dxa" w:w="4320"/>
          </w:tcPr>
          <w:p>
            <w:pPr/>
            <w:r>
              <w:rPr>
                <w:sz w:val="18"/>
              </w:rPr>
              <w:t>모든 NMS 주식 및 상장 옵션</w:t>
            </w:r>
          </w:p>
        </w:tc>
      </w:tr>
      <w:tr>
        <w:tc>
          <w:tcPr>
            <w:tcW w:type="dxa" w:w="4320"/>
          </w:tcPr>
          <w:p>
            <w:pPr/>
            <w:r>
              <w:rPr>
                <w:sz w:val="18"/>
              </w:rPr>
              <w:t>보고 주체</w:t>
            </w:r>
          </w:p>
        </w:tc>
        <w:tc>
          <w:tcPr>
            <w:tcW w:type="dxa" w:w="4320"/>
          </w:tcPr>
          <w:p>
            <w:pPr/>
            <w:r>
              <w:rPr>
                <w:sz w:val="18"/>
              </w:rPr>
              <w:t>모든 국가증권거래소, FINRA, 및 그 회원 브로커-딜러</w:t>
            </w:r>
          </w:p>
        </w:tc>
      </w:tr>
      <w:tr>
        <w:tc>
          <w:tcPr>
            <w:tcW w:type="dxa" w:w="4320"/>
          </w:tcPr>
          <w:p>
            <w:pPr/>
            <w:r>
              <w:rPr>
                <w:sz w:val="18"/>
              </w:rPr>
              <w:t>수집 데이터</w:t>
            </w:r>
          </w:p>
        </w:tc>
        <w:tc>
          <w:tcPr>
            <w:tcW w:type="dxa" w:w="4320"/>
          </w:tcPr>
          <w:p>
            <w:pPr/>
            <w:r>
              <w:rPr>
                <w:sz w:val="18"/>
              </w:rPr>
              <w:t>고객 및 주문 이벤트 정보: 주문 접수/발생, 라우팅, 변경, 취소, 체결 (고객 계좌 배정 포함)</w:t>
            </w:r>
          </w:p>
        </w:tc>
      </w:tr>
      <w:tr>
        <w:tc>
          <w:tcPr>
            <w:tcW w:type="dxa" w:w="4320"/>
          </w:tcPr>
          <w:p>
            <w:pPr/>
            <w:r>
              <w:rPr>
                <w:sz w:val="18"/>
              </w:rPr>
              <w:t>보고 기한</w:t>
            </w:r>
          </w:p>
        </w:tc>
        <w:tc>
          <w:tcPr>
            <w:tcW w:type="dxa" w:w="4320"/>
          </w:tcPr>
          <w:p>
            <w:pPr/>
            <w:r>
              <w:rPr>
                <w:sz w:val="18"/>
              </w:rPr>
              <w:t>거래소 이벤트: 당일 (익일 오전 8:00). 브로커-딜러 이벤트: T+1 오전 8:00까지</w:t>
            </w:r>
          </w:p>
        </w:tc>
      </w:tr>
      <w:tr>
        <w:tc>
          <w:tcPr>
            <w:tcW w:type="dxa" w:w="4320"/>
          </w:tcPr>
          <w:p>
            <w:pPr/>
            <w:r>
              <w:rPr>
                <w:sz w:val="18"/>
              </w:rPr>
              <w:t>연간 예산 (2026)</w:t>
            </w:r>
          </w:p>
        </w:tc>
        <w:tc>
          <w:tcPr>
            <w:tcW w:type="dxa" w:w="4320"/>
          </w:tcPr>
          <w:p>
            <w:pPr/>
            <w:r>
              <w:rPr>
                <w:sz w:val="18"/>
              </w:rPr>
              <w:t>~$156 million</w:t>
            </w:r>
          </w:p>
        </w:tc>
      </w:tr>
    </w:tbl>
    <w:p/>
    <w:p>
      <w:r>
        <w:t>CAT 데이터 요소:</w:t>
      </w:r>
    </w:p>
    <w:p>
      <w:pPr>
        <w:pStyle w:val="ListBullet"/>
      </w:pPr>
      <w:r>
        <w:t>고객 계좌 정보 (고객정보시스템 — CAIS를 통해)</w:t>
      </w:r>
    </w:p>
    <w:p>
      <w:pPr>
        <w:pStyle w:val="ListBullet"/>
      </w:pPr>
      <w:r>
        <w:t>주문 이벤트: 신규 주문, 라우팅, 변경, 취소</w:t>
      </w:r>
    </w:p>
    <w:p>
      <w:pPr>
        <w:pStyle w:val="ListBullet"/>
      </w:pPr>
      <w:r>
        <w:t>체결 이벤트: 전량 체결, 부분 체결</w:t>
      </w:r>
    </w:p>
    <w:p>
      <w:pPr>
        <w:pStyle w:val="ListBullet"/>
      </w:pPr>
      <w:r>
        <w:t>타임스탬프 (밀리초 단위)</w:t>
      </w:r>
    </w:p>
    <w:p>
      <w:pPr>
        <w:pStyle w:val="ListBullet"/>
      </w:pPr>
      <w:r>
        <w:t>각 주문의 중요 조건 (종목, 방향, 수량, 가격, 주문 유형, 유효기간)</w:t>
      </w:r>
    </w:p>
    <w:p>
      <w:pPr>
        <w:pStyle w:val="ListBullet"/>
      </w:pPr>
      <w:r>
        <w:t>전체 수명주기에 걸친 연결을 가능하게 하는 고유 주문 식별자</w:t>
      </w:r>
    </w:p>
    <w:p>
      <w:pPr>
        <w:pStyle w:val="ListBullet"/>
      </w:pPr>
      <w:r>
        <w:t>브로커-딜러 식별 정보</w:t>
      </w:r>
    </w:p>
    <w:p>
      <w:r>
        <w:t>최근 동향 (2025-2026):</w:t>
      </w:r>
    </w:p>
    <w:p>
      <w:pPr>
        <w:pStyle w:val="ListBullet"/>
      </w:pPr>
      <w:r>
        <w:t>CAIS 완화 (2025년 2-3월): SEC가 면제적 구제를 승인하고, CAT LLC가 업계 회원의 특정 범주 인물에 대한 고객 성명, 주소, 생년월일 보고 요건을 삭제하는 수정안을 제출하여 개인정보 보호 문제에 대응</w:t>
      </w:r>
    </w:p>
    <w:p>
      <w:pPr>
        <w:pStyle w:val="ListBullet"/>
      </w:pPr>
      <w:r>
        <w:t>비용 절감: SEC가 비용 절감 조치를 시행하여 2026년 1분기 말까지 예상 절감 효과 발생</w:t>
      </w:r>
    </w:p>
    <w:p>
      <w:pPr>
        <w:pStyle w:val="ListBullet"/>
      </w:pPr>
      <w:r>
        <w:t>자금 분쟁: 2025년 7월, 제11순회 항소법원이 SEC의 2023년 CAT 자금 조달 명령을 무효화. Citadel Securities는 이후 2026년 1월에 분쟁 중인 CAT 수수료 $119 million의 동결을 위한 소송을 제기</w:t>
      </w:r>
    </w:p>
    <w:p>
      <w:pPr>
        <w:pStyle w:val="ListBullet"/>
      </w:pPr>
      <w:r>
        <w:t>SEC 면제적 구제 (2025): SEC가 CAT의 감시 역할은 유지하면서 여러 CAT 요건으로부터의 구제를 부여하는 면제 명령을 발행하여 운영 복잡성을 감소 ("Declawing the CAT")</w:t>
      </w:r>
    </w:p>
    <w:p>
      <w:r>
        <w:t>[Source: FINRA, "2026 FINRA Annual Regulatory Oversight Report — CAT", December 2025, accessed 2026-04-06]</w:t>
      </w:r>
    </w:p>
    <w:p>
      <w:r>
        <w:t>[Source: Katten, "Declawing the CAT: SEC Trims Back Audit Trail Obligations", 2025, accessed 2026-04-06]</w:t>
      </w:r>
    </w:p>
    <w:p>
      <w:pPr>
        <w:pStyle w:val="Heading3"/>
      </w:pPr>
      <w:r>
        <w:t>5.2 FINRA 감시 프로그램 (FINRA Surveillance Programs)</w:t>
      </w:r>
    </w:p>
    <w:p>
      <w:r>
        <w:t>FINRA는 거래소 및 장외 거래를 모두 포괄하는 미국 내 가장 포괄적인 교차시장 감시 시스템을 운영한다.</w:t>
      </w:r>
    </w:p>
    <w:p>
      <w:r>
        <w:t>주요 감시 프로그램:</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프로그램</w:t>
            </w:r>
          </w:p>
        </w:tc>
        <w:tc>
          <w:tcPr>
            <w:tcW w:type="dxa" w:w="4320"/>
          </w:tcPr>
          <w:p>
            <w:pPr/>
            <w:r>
              <w:rPr>
                <w:b/>
                <w:sz w:val="18"/>
              </w:rPr>
              <w:t>설명</w:t>
            </w:r>
          </w:p>
        </w:tc>
      </w:tr>
      <w:tr>
        <w:tc>
          <w:tcPr>
            <w:tcW w:type="dxa" w:w="4320"/>
          </w:tcPr>
          <w:p>
            <w:pPr/>
            <w:r>
              <w:rPr>
                <w:sz w:val="18"/>
              </w:rPr>
              <w:t>교차시장 주식감시</w:t>
            </w:r>
          </w:p>
        </w:tc>
        <w:tc>
          <w:tcPr>
            <w:tcW w:type="dxa" w:w="4320"/>
          </w:tcPr>
          <w:p>
            <w:pPr/>
            <w:r>
              <w:rPr>
                <w:sz w:val="18"/>
              </w:rPr>
              <w:t>모든 미국 주식 거래장소(거래소 + ATS + OTC)에 걸친 조작적 매매 감시</w:t>
            </w:r>
          </w:p>
        </w:tc>
      </w:tr>
      <w:tr>
        <w:tc>
          <w:tcPr>
            <w:tcW w:type="dxa" w:w="4320"/>
          </w:tcPr>
          <w:p>
            <w:pPr/>
            <w:r>
              <w:rPr>
                <w:sz w:val="18"/>
              </w:rPr>
              <w:t>교차상품 감시</w:t>
            </w:r>
          </w:p>
        </w:tc>
        <w:tc>
          <w:tcPr>
            <w:tcW w:type="dxa" w:w="4320"/>
          </w:tcPr>
          <w:p>
            <w:pPr/>
            <w:r>
              <w:rPr>
                <w:sz w:val="18"/>
              </w:rPr>
              <w:t>연관 증권(주식, ETP, 옵션)에 대한 조작 행위 감시</w:t>
            </w:r>
          </w:p>
        </w:tc>
      </w:tr>
      <w:tr>
        <w:tc>
          <w:tcPr>
            <w:tcW w:type="dxa" w:w="4320"/>
          </w:tcPr>
          <w:p>
            <w:pPr/>
            <w:r>
              <w:rPr>
                <w:sz w:val="18"/>
              </w:rPr>
              <w:t>내부자거래 탐지</w:t>
            </w:r>
          </w:p>
        </w:tc>
        <w:tc>
          <w:tcPr>
            <w:tcW w:type="dxa" w:w="4320"/>
          </w:tcPr>
          <w:p>
            <w:pPr/>
            <w:r>
              <w:rPr>
                <w:sz w:val="18"/>
              </w:rPr>
              <w:t>중요 미공개정보 관련 이벤트 전후의 매매에 대한 패턴 기반 분석</w:t>
            </w:r>
          </w:p>
        </w:tc>
      </w:tr>
      <w:tr>
        <w:tc>
          <w:tcPr>
            <w:tcW w:type="dxa" w:w="4320"/>
          </w:tcPr>
          <w:p>
            <w:pPr/>
            <w:r>
              <w:rPr>
                <w:sz w:val="18"/>
              </w:rPr>
              <w:t>시장조작</w:t>
            </w:r>
          </w:p>
        </w:tc>
        <w:tc>
          <w:tcPr>
            <w:tcW w:type="dxa" w:w="4320"/>
          </w:tcPr>
          <w:p>
            <w:pPr/>
            <w:r>
              <w:rPr>
                <w:sz w:val="18"/>
              </w:rPr>
              <w:t>스푸핑, 레이어링, 가장매매, 종가조작, 작전매매(pump-and-dump) 탐지</w:t>
            </w:r>
          </w:p>
        </w:tc>
      </w:tr>
      <w:tr>
        <w:tc>
          <w:tcPr>
            <w:tcW w:type="dxa" w:w="4320"/>
          </w:tcPr>
          <w:p>
            <w:pPr/>
            <w:r>
              <w:rPr>
                <w:sz w:val="18"/>
              </w:rPr>
              <w:t>최선집행의무(Best Execution) 검토</w:t>
            </w:r>
          </w:p>
        </w:tc>
        <w:tc>
          <w:tcPr>
            <w:tcW w:type="dxa" w:w="4320"/>
          </w:tcPr>
          <w:p>
            <w:pPr/>
            <w:r>
              <w:rPr>
                <w:sz w:val="18"/>
              </w:rPr>
              <w:t>브로커-딜러 주문 라우팅 및 체결 품질 감시</w:t>
            </w:r>
          </w:p>
        </w:tc>
      </w:tr>
      <w:tr>
        <w:tc>
          <w:tcPr>
            <w:tcW w:type="dxa" w:w="4320"/>
          </w:tcPr>
          <w:p>
            <w:pPr/>
            <w:r>
              <w:rPr>
                <w:sz w:val="18"/>
              </w:rPr>
              <w:t>공매도 감시</w:t>
            </w:r>
          </w:p>
        </w:tc>
        <w:tc>
          <w:tcPr>
            <w:tcW w:type="dxa" w:w="4320"/>
          </w:tcPr>
          <w:p>
            <w:pPr/>
            <w:r>
              <w:rPr>
                <w:sz w:val="18"/>
              </w:rPr>
              <w:t>Reg SHO 차입확인, 결제이행, 가격 규제 요건 준수</w:t>
            </w:r>
          </w:p>
        </w:tc>
      </w:tr>
      <w:tr>
        <w:tc>
          <w:tcPr>
            <w:tcW w:type="dxa" w:w="4320"/>
          </w:tcPr>
          <w:p>
            <w:pPr/>
            <w:r>
              <w:rPr>
                <w:sz w:val="18"/>
              </w:rPr>
              <w:t>Regulation NMS (전미시장제도규정) 준수</w:t>
            </w:r>
          </w:p>
        </w:tc>
        <w:tc>
          <w:tcPr>
            <w:tcW w:type="dxa" w:w="4320"/>
          </w:tcPr>
          <w:p>
            <w:pPr/>
            <w:r>
              <w:rPr>
                <w:sz w:val="18"/>
              </w:rPr>
              <w:t>매매체결방지(trade-throughs), 잠긴/교차 시장(locked/crossed markets), 접근수수료 준수 감시</w:t>
            </w:r>
          </w:p>
        </w:tc>
      </w:tr>
    </w:tbl>
    <w:p/>
    <w:p>
      <w:r>
        <w:t>2025-2026 감시 중점 분야 (FINRA 2026 감독 보고서 기준):</w:t>
      </w:r>
    </w:p>
    <w:p>
      <w:pPr>
        <w:pStyle w:val="ListBullet"/>
      </w:pPr>
      <w:r>
        <w:t>차명계좌, 계좌탈취 매수, 소셜미디어 모집을 이용한 소형주 작전매매 증가</w:t>
      </w:r>
    </w:p>
    <w:p>
      <w:pPr>
        <w:pStyle w:val="ListBullet"/>
      </w:pPr>
      <w:r>
        <w:t>거래소 상장 주식의 교차상품 및 교차고객 조작</w:t>
      </w:r>
    </w:p>
    <w:p>
      <w:pPr>
        <w:pStyle w:val="ListBullet"/>
      </w:pPr>
      <w:r>
        <w:t>감시 공백: 미조정된 경보, 제한적 교차상품/교차고객 검토, 부실한 문서화</w:t>
      </w:r>
    </w:p>
    <w:p>
      <w:pPr>
        <w:pStyle w:val="ListBullet"/>
      </w:pPr>
      <w:r>
        <w:t>조작 행위에서의 AI 및 알고리즘 도구 사용</w:t>
      </w:r>
    </w:p>
    <w:p>
      <w:pPr>
        <w:pStyle w:val="ListBullet"/>
      </w:pPr>
      <w:r>
        <w:t>해외 관할권에서 사업을 운영하는 소형주 거래소 상장 발행인의 공모 및 사모에 관한 회사 관행에 대한 대상 검사 (2025년 10월 시작)</w:t>
      </w:r>
    </w:p>
    <w:p>
      <w:r>
        <w:t>[Source: FINRA, "2026 Annual Regulatory Oversight Report — Manipulative Trading", December 2025, accessed 2026-04-06]</w:t>
      </w:r>
    </w:p>
    <w:p>
      <w:r>
        <w:t>[Source: FINRA, "Cross Market Equities Supervision: Potential Manipulation Report", accessed 2026-04-06]</w:t>
      </w:r>
    </w:p>
    <w:p>
      <w:pPr>
        <w:pStyle w:val="Heading3"/>
      </w:pPr>
      <w:r>
        <w:t>5.3 거래소 감시 (Exchange Surveillance)</w:t>
      </w:r>
    </w:p>
    <w:p>
      <w:r>
        <w:t>대부분의 거래소가 규제 서비스 협약을 통해 일상적인 감시를 FINRA에 위임하였지만, 거래소는 다음을 유지한다:</w:t>
      </w:r>
    </w:p>
    <w:p>
      <w:pPr>
        <w:pStyle w:val="ListBullet"/>
      </w:pPr>
      <w:r>
        <w:t>상장 기준 준수: 상장회사의 지속적인 상장 요건(재무 기준, 기업지배구조, 공시) 준수 감시</w:t>
      </w:r>
    </w:p>
    <w:p>
      <w:pPr>
        <w:pStyle w:val="ListBullet"/>
      </w:pPr>
      <w:r>
        <w:t>매매 중단: 개별 증권의 매매 중단 권한 (규제 중단, LULD 매매 일시중지, 뉴스 배포 중단)</w:t>
      </w:r>
    </w:p>
    <w:p>
      <w:pPr>
        <w:pStyle w:val="ListBullet"/>
      </w:pPr>
      <w:r>
        <w:t>시장 품질 감시: 시장조성자(마켓메이커) 의무, 단주 체결 품질, 개장/폐장 경매 프로세스에 대한 실시간 감시</w:t>
      </w:r>
    </w:p>
    <w:p>
      <w:pPr>
        <w:pStyle w:val="ListBullet"/>
      </w:pPr>
      <w:r>
        <w:t>규칙 집행: FINRA RSA에 포함되지 않는 거래소 고유 규칙의 조사 및 집행</w:t>
      </w:r>
    </w:p>
    <w:p>
      <w:r>
        <w:t>────────────────────────────────────────────────────────────</w:t>
      </w:r>
    </w:p>
    <w:p>
      <w:pPr>
        <w:pStyle w:val="Heading2"/>
      </w:pPr>
      <w:r>
        <w:t>6. 보고 요건 (Reporting Requirements)</w:t>
      </w:r>
    </w:p>
    <w:p>
      <w:pPr>
        <w:pStyle w:val="Heading3"/>
      </w:pPr>
      <w:r>
        <w:t>6.1 거래보고시설 (Trade Reporting Facilities)</w:t>
      </w:r>
    </w:p>
    <w:p>
      <w:r>
        <w:t>NMS 증권의 장외 거래는 규정된 기한 내에 FINRA의 거래보고시설을 통해 보고되어야 한다.</w:t>
      </w:r>
    </w:p>
    <w:p>
      <w:r>
        <w:t>FINRA 거래보고 인프라:</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시설</w:t>
            </w:r>
          </w:p>
        </w:tc>
        <w:tc>
          <w:tcPr>
            <w:tcW w:type="dxa" w:w="2160"/>
          </w:tcPr>
          <w:p>
            <w:pPr/>
            <w:r>
              <w:rPr>
                <w:b/>
                <w:sz w:val="18"/>
              </w:rPr>
              <w:t>정식명칭</w:t>
            </w:r>
          </w:p>
        </w:tc>
        <w:tc>
          <w:tcPr>
            <w:tcW w:type="dxa" w:w="2160"/>
          </w:tcPr>
          <w:p>
            <w:pPr/>
            <w:r>
              <w:rPr>
                <w:b/>
                <w:sz w:val="18"/>
              </w:rPr>
              <w:t>기능</w:t>
            </w:r>
          </w:p>
        </w:tc>
        <w:tc>
          <w:tcPr>
            <w:tcW w:type="dxa" w:w="2160"/>
          </w:tcPr>
          <w:p>
            <w:pPr/>
            <w:r>
              <w:rPr>
                <w:b/>
                <w:sz w:val="18"/>
              </w:rPr>
              <w:t>대상 증권</w:t>
            </w:r>
          </w:p>
        </w:tc>
      </w:tr>
      <w:tr>
        <w:tc>
          <w:tcPr>
            <w:tcW w:type="dxa" w:w="2160"/>
          </w:tcPr>
          <w:p>
            <w:pPr/>
            <w:r>
              <w:rPr>
                <w:sz w:val="18"/>
              </w:rPr>
              <w:t>**TRF**</w:t>
            </w:r>
          </w:p>
        </w:tc>
        <w:tc>
          <w:tcPr>
            <w:tcW w:type="dxa" w:w="2160"/>
          </w:tcPr>
          <w:p>
            <w:pPr/>
            <w:r>
              <w:rPr>
                <w:sz w:val="18"/>
              </w:rPr>
              <w:t>Trade Reporting Facility</w:t>
            </w:r>
          </w:p>
        </w:tc>
        <w:tc>
          <w:tcPr>
            <w:tcW w:type="dxa" w:w="2160"/>
          </w:tcPr>
          <w:p>
            <w:pPr/>
            <w:r>
              <w:rPr>
                <w:sz w:val="18"/>
              </w:rPr>
              <w:t>NMS 주식의 장외 거래 보고</w:t>
            </w:r>
          </w:p>
        </w:tc>
        <w:tc>
          <w:tcPr>
            <w:tcW w:type="dxa" w:w="2160"/>
          </w:tcPr>
          <w:p>
            <w:pPr/>
            <w:r>
              <w:rPr>
                <w:sz w:val="18"/>
              </w:rPr>
              <w:t>거래소 상장 주식</w:t>
            </w:r>
          </w:p>
        </w:tc>
      </w:tr>
      <w:tr>
        <w:tc>
          <w:tcPr>
            <w:tcW w:type="dxa" w:w="2160"/>
          </w:tcPr>
          <w:p>
            <w:pPr/>
            <w:r>
              <w:rPr>
                <w:sz w:val="18"/>
              </w:rPr>
              <w:t>**ADF**</w:t>
            </w:r>
          </w:p>
        </w:tc>
        <w:tc>
          <w:tcPr>
            <w:tcW w:type="dxa" w:w="2160"/>
          </w:tcPr>
          <w:p>
            <w:pPr/>
            <w:r>
              <w:rPr>
                <w:sz w:val="18"/>
              </w:rPr>
              <w:t>Alternative Display Facility</w:t>
            </w:r>
          </w:p>
        </w:tc>
        <w:tc>
          <w:tcPr>
            <w:tcW w:type="dxa" w:w="2160"/>
          </w:tcPr>
          <w:p>
            <w:pPr/>
            <w:r>
              <w:rPr>
                <w:sz w:val="18"/>
              </w:rPr>
              <w:t>호가 표시, 거래 보고, 거래 대사</w:t>
            </w:r>
          </w:p>
        </w:tc>
        <w:tc>
          <w:tcPr>
            <w:tcW w:type="dxa" w:w="2160"/>
          </w:tcPr>
          <w:p>
            <w:pPr/>
            <w:r>
              <w:rPr>
                <w:sz w:val="18"/>
              </w:rPr>
              <w:t>거래소 상장 주식 (표시 전용, 체결 없음)</w:t>
            </w:r>
          </w:p>
        </w:tc>
      </w:tr>
      <w:tr>
        <w:tc>
          <w:tcPr>
            <w:tcW w:type="dxa" w:w="2160"/>
          </w:tcPr>
          <w:p>
            <w:pPr/>
            <w:r>
              <w:rPr>
                <w:sz w:val="18"/>
              </w:rPr>
              <w:t>**ORF**</w:t>
            </w:r>
          </w:p>
        </w:tc>
        <w:tc>
          <w:tcPr>
            <w:tcW w:type="dxa" w:w="2160"/>
          </w:tcPr>
          <w:p>
            <w:pPr/>
            <w:r>
              <w:rPr>
                <w:sz w:val="18"/>
              </w:rPr>
              <w:t>OTC Reporting Facility</w:t>
            </w:r>
          </w:p>
        </w:tc>
        <w:tc>
          <w:tcPr>
            <w:tcW w:type="dxa" w:w="2160"/>
          </w:tcPr>
          <w:p>
            <w:pPr/>
            <w:r>
              <w:rPr>
                <w:sz w:val="18"/>
              </w:rPr>
              <w:t>OTC 주식(비거래소 상장)의 거래 보고</w:t>
            </w:r>
          </w:p>
        </w:tc>
        <w:tc>
          <w:tcPr>
            <w:tcW w:type="dxa" w:w="2160"/>
          </w:tcPr>
          <w:p>
            <w:pPr/>
            <w:r>
              <w:rPr>
                <w:sz w:val="18"/>
              </w:rPr>
              <w:t>OTC 주식, Rule 144A 제한증권</w:t>
            </w:r>
          </w:p>
        </w:tc>
      </w:tr>
    </w:tbl>
    <w:p/>
    <w:p>
      <w:r>
        <w:t>활성 TRF:</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TRF</w:t>
            </w:r>
          </w:p>
        </w:tc>
        <w:tc>
          <w:tcPr>
            <w:tcW w:type="dxa" w:w="2880"/>
          </w:tcPr>
          <w:p>
            <w:pPr/>
            <w:r>
              <w:rPr>
                <w:b/>
                <w:sz w:val="18"/>
              </w:rPr>
              <w:t>거래소 파트너</w:t>
            </w:r>
          </w:p>
        </w:tc>
        <w:tc>
          <w:tcPr>
            <w:tcW w:type="dxa" w:w="2880"/>
          </w:tcPr>
          <w:p>
            <w:pPr/>
            <w:r>
              <w:rPr>
                <w:b/>
                <w:sz w:val="18"/>
              </w:rPr>
              <w:t>위치</w:t>
            </w:r>
          </w:p>
        </w:tc>
      </w:tr>
      <w:tr>
        <w:tc>
          <w:tcPr>
            <w:tcW w:type="dxa" w:w="2880"/>
          </w:tcPr>
          <w:p>
            <w:pPr/>
            <w:r>
              <w:rPr>
                <w:sz w:val="18"/>
              </w:rPr>
              <w:t>FINRA/Nasdaq TRF Carteret</w:t>
            </w:r>
          </w:p>
        </w:tc>
        <w:tc>
          <w:tcPr>
            <w:tcW w:type="dxa" w:w="2880"/>
          </w:tcPr>
          <w:p>
            <w:pPr/>
            <w:r>
              <w:rPr>
                <w:sz w:val="18"/>
              </w:rPr>
              <w:t>Nasdaq</w:t>
            </w:r>
          </w:p>
        </w:tc>
        <w:tc>
          <w:tcPr>
            <w:tcW w:type="dxa" w:w="2880"/>
          </w:tcPr>
          <w:p>
            <w:pPr/>
            <w:r>
              <w:rPr>
                <w:sz w:val="18"/>
              </w:rPr>
              <w:t>Carteret, NJ</w:t>
            </w:r>
          </w:p>
        </w:tc>
      </w:tr>
      <w:tr>
        <w:tc>
          <w:tcPr>
            <w:tcW w:type="dxa" w:w="2880"/>
          </w:tcPr>
          <w:p>
            <w:pPr/>
            <w:r>
              <w:rPr>
                <w:sz w:val="18"/>
              </w:rPr>
              <w:t>FINRA/Nasdaq TRF Chicago</w:t>
            </w:r>
          </w:p>
        </w:tc>
        <w:tc>
          <w:tcPr>
            <w:tcW w:type="dxa" w:w="2880"/>
          </w:tcPr>
          <w:p>
            <w:pPr/>
            <w:r>
              <w:rPr>
                <w:sz w:val="18"/>
              </w:rPr>
              <w:t>Nasdaq</w:t>
            </w:r>
          </w:p>
        </w:tc>
        <w:tc>
          <w:tcPr>
            <w:tcW w:type="dxa" w:w="2880"/>
          </w:tcPr>
          <w:p>
            <w:pPr/>
            <w:r>
              <w:rPr>
                <w:sz w:val="18"/>
              </w:rPr>
              <w:t>Chicago, IL</w:t>
            </w:r>
          </w:p>
        </w:tc>
      </w:tr>
      <w:tr>
        <w:tc>
          <w:tcPr>
            <w:tcW w:type="dxa" w:w="2880"/>
          </w:tcPr>
          <w:p>
            <w:pPr/>
            <w:r>
              <w:rPr>
                <w:sz w:val="18"/>
              </w:rPr>
              <w:t>FINRA/NYSE TRF</w:t>
            </w:r>
          </w:p>
        </w:tc>
        <w:tc>
          <w:tcPr>
            <w:tcW w:type="dxa" w:w="2880"/>
          </w:tcPr>
          <w:p>
            <w:pPr/>
            <w:r>
              <w:rPr>
                <w:sz w:val="18"/>
              </w:rPr>
              <w:t>NYSE</w:t>
            </w:r>
          </w:p>
        </w:tc>
        <w:tc>
          <w:tcPr>
            <w:tcW w:type="dxa" w:w="2880"/>
          </w:tcPr>
          <w:p>
            <w:pPr/>
            <w:r>
              <w:rPr>
                <w:sz w:val="18"/>
              </w:rPr>
              <w:t>New York, NY</w:t>
            </w:r>
          </w:p>
        </w:tc>
      </w:tr>
    </w:tbl>
    <w:p/>
    <w:p>
      <w:r>
        <w:t>[Source: FINRA, "Trade Reporting Facility (TRF)", accessed 2026-04-06]</w:t>
      </w:r>
    </w:p>
    <w:p>
      <w:r>
        <w:t>[Source: FINRA, "Alternative Display Facility (ADF)", accessed 2026-04-06]</w:t>
      </w:r>
    </w:p>
    <w:p>
      <w:r>
        <w:t>[Source: FINRA, "Over-the-Counter Reporting Facility (ORF)", accessed 2026-04-06]</w:t>
      </w:r>
    </w:p>
    <w:p>
      <w:r>
        <w:t>보고 기한:</w:t>
      </w:r>
    </w:p>
    <w:p>
      <w:pPr>
        <w:pStyle w:val="ListBullet"/>
      </w:pPr>
      <w:r>
        <w:t>시장시간(오전 9:30 - 오후 4:00 ET) 중 체결된 거래: 체결 후 10초 이내 보고</w:t>
      </w:r>
    </w:p>
    <w:p>
      <w:pPr>
        <w:pStyle w:val="ListBullet"/>
      </w:pPr>
      <w:r>
        <w:t>시장시간 외 체결된 거래: FINRA 규칙에 따라 보고 (일반적으로 다음 거래일 개장 전)</w:t>
      </w:r>
    </w:p>
    <w:p>
      <w:pPr>
        <w:pStyle w:val="Heading3"/>
      </w:pPr>
      <w:r>
        <w:t>6.2 대량거래자 보고 (Large Trader Reporting, Rule 13h / Form 13H)</w:t>
      </w:r>
    </w:p>
    <w:p>
      <w:r>
        <w:t>2011년에 채택된 SEC Rule 13h-1은 "대량거래자"가 SEC에 자신의 신원을 밝힐 것을 요구하며, 그 브로커-딜러가 거래 기록을 유지하고 요청 시 보고할 것을 요구한다.</w:t>
      </w:r>
    </w:p>
    <w:p>
      <w:r>
        <w:t>[Source: SEC, "Form 13H", accessed 2026-04-06]</w:t>
      </w:r>
    </w:p>
    <w:p>
      <w:r>
        <w:t>기준:</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기준</w:t>
            </w:r>
          </w:p>
        </w:tc>
        <w:tc>
          <w:tcPr>
            <w:tcW w:type="dxa" w:w="4320"/>
          </w:tcPr>
          <w:p>
            <w:pPr/>
            <w:r>
              <w:rPr>
                <w:b/>
                <w:sz w:val="18"/>
              </w:rPr>
              <w:t>조건</w:t>
            </w:r>
          </w:p>
        </w:tc>
      </w:tr>
      <w:tr>
        <w:tc>
          <w:tcPr>
            <w:tcW w:type="dxa" w:w="4320"/>
          </w:tcPr>
          <w:p>
            <w:pPr/>
            <w:r>
              <w:rPr>
                <w:sz w:val="18"/>
              </w:rPr>
              <w:t>일간</w:t>
            </w:r>
          </w:p>
        </w:tc>
        <w:tc>
          <w:tcPr>
            <w:tcW w:type="dxa" w:w="4320"/>
          </w:tcPr>
          <w:p>
            <w:pPr/>
            <w:r>
              <w:rPr>
                <w:sz w:val="18"/>
              </w:rPr>
              <w:t>어떤 역일 동안 2백만 주 **또는** 공정시장가치 $20 million</w:t>
            </w:r>
          </w:p>
        </w:tc>
      </w:tr>
      <w:tr>
        <w:tc>
          <w:tcPr>
            <w:tcW w:type="dxa" w:w="4320"/>
          </w:tcPr>
          <w:p>
            <w:pPr/>
            <w:r>
              <w:rPr>
                <w:sz w:val="18"/>
              </w:rPr>
              <w:t>월간</w:t>
            </w:r>
          </w:p>
        </w:tc>
        <w:tc>
          <w:tcPr>
            <w:tcW w:type="dxa" w:w="4320"/>
          </w:tcPr>
          <w:p>
            <w:pPr/>
            <w:r>
              <w:rPr>
                <w:sz w:val="18"/>
              </w:rPr>
              <w:t>어떤 역월 동안 2천만 주 **또는** 공정시장가치 $200 million</w:t>
            </w:r>
          </w:p>
        </w:tc>
      </w:tr>
    </w:tbl>
    <w:p/>
    <w:p>
      <w:r>
        <w:t>요건:</w:t>
      </w:r>
    </w:p>
    <w:p>
      <w:pPr>
        <w:pStyle w:val="ListBullet"/>
      </w:pPr>
      <w:r>
        <w:t>대량거래자는 SEC에 Form 13H를 제출하고 대량거래자식별번호(LTID)를 취득해야 함</w:t>
      </w:r>
    </w:p>
    <w:p>
      <w:pPr>
        <w:pStyle w:val="ListBullet"/>
      </w:pPr>
      <w:r>
        <w:t>최초 제출: 기준을 처음 초과한 날로부터 10영업일 이내</w:t>
      </w:r>
    </w:p>
    <w:p>
      <w:pPr>
        <w:pStyle w:val="ListBullet"/>
      </w:pPr>
      <w:r>
        <w:t>연간 갱신: 역년 종료 후 45일 이내 (예: 2025 역년의 경우 2026년 2월 17일)</w:t>
      </w:r>
    </w:p>
    <w:p>
      <w:pPr>
        <w:pStyle w:val="ListBullet"/>
      </w:pPr>
      <w:r>
        <w:t>중대한 변경 시 즉시 수정 필요</w:t>
      </w:r>
    </w:p>
    <w:p>
      <w:pPr>
        <w:pStyle w:val="ListBullet"/>
      </w:pPr>
      <w:r>
        <w:t>브로커-딜러는 대량거래자의 모든 거래 기록을 유지하고 SEC 요청 시 전자시스템을 통해 보고해야 함</w:t>
      </w:r>
    </w:p>
    <w:p>
      <w:pPr>
        <w:pStyle w:val="Heading3"/>
      </w:pPr>
      <w:r>
        <w:t>6.3 공매도잔고 보고 (Short Interest Reporting)</w:t>
      </w:r>
    </w:p>
    <w:p>
      <w:r>
        <w:t>FINRA 공매도잔고 보고:</w:t>
      </w:r>
    </w:p>
    <w:p>
      <w:pPr>
        <w:pStyle w:val="ListBullet"/>
      </w:pPr>
      <w:r>
        <w:t>FINRA 회원사는 모든 주식증권의 공매도잔고 포지션을 월 2회(월중 및 월말 결제일) FINRA에 보고해야 함</w:t>
      </w:r>
    </w:p>
    <w:p>
      <w:pPr>
        <w:pStyle w:val="ListBullet"/>
      </w:pPr>
      <w:r>
        <w:t>데이터는 약 10영업일의 지연으로 공표됨</w:t>
      </w:r>
    </w:p>
    <w:p>
      <w:pPr>
        <w:pStyle w:val="ListBullet"/>
      </w:pPr>
      <w:r>
        <w:t>보고는 모든 고객 및 자기 공매도 포지션을 포함</w:t>
      </w:r>
    </w:p>
    <w:p>
      <w:r>
        <w:t>SEC Rule 13f-2 / Form SHO (기관투자자의 공매도 포지션 보고):</w:t>
      </w:r>
    </w:p>
    <w:p>
      <w:pPr>
        <w:pStyle w:val="ListBullet"/>
      </w:pPr>
      <w:r>
        <w:t>2023년 10월 SEC가 공매도 투명성을 강화하기 위해 채택</w:t>
      </w:r>
    </w:p>
    <w:p>
      <w:pPr>
        <w:pStyle w:val="ListBullet"/>
      </w:pPr>
      <w:r>
        <w:t>상당한 공매도 포지션을 보유한 기관투자자가 월별 총 공매도 포지션을 Form SHO로 보고할 것을 요구</w:t>
      </w:r>
    </w:p>
    <w:p>
      <w:pPr>
        <w:pStyle w:val="ListBullet"/>
      </w:pPr>
      <w:r>
        <w:t>현행 상태: SEC가 2026년 1월 2일부터 2028년 1월 2일까지의 Rule 13f-2 준수에 대한 일시적 면제를 제공. 최초 Form SHO 보고는 2028년 1월 마지막 영업일로부터 14일력일 이내에 제출해야 함</w:t>
      </w:r>
    </w:p>
    <w:p>
      <w:pPr>
        <w:pStyle w:val="ListBullet"/>
      </w:pPr>
      <w:r>
        <w:t>보고 기준:</w:t>
      </w:r>
    </w:p>
    <w:p>
      <w:pPr>
        <w:pStyle w:val="ListBullet"/>
      </w:pPr>
      <w:r>
        <w:t>보고 발행인의 주식증권: 월평균 공매도 포지션 $10 million 이상, 또는 발행주식총수의 2.5% 이상에 해당하는 공매도 포지션 중 작은 값</w:t>
      </w:r>
    </w:p>
    <w:p>
      <w:pPr>
        <w:pStyle w:val="ListBullet"/>
      </w:pPr>
      <w:r>
        <w:t>비보고 발행인의 주식증권: 월평균 공매도 포지션 $500,000 이상</w:t>
      </w:r>
    </w:p>
    <w:p>
      <w:r>
        <w:t>[Source: SEC, "Short Position and Short Activity Reporting by Institutional Investment Managers", Release No. 34-98738, October 2023, accessed 2026-04-06]</w:t>
      </w:r>
    </w:p>
    <w:p>
      <w:r>
        <w:t>[Source: Morgan Lewis, "Reminder: SEC's New Short Sale Reporting Filings Due February 2025", October 2024, accessed 2026-04-06]</w:t>
      </w:r>
    </w:p>
    <w:p>
      <w:r>
        <w:t>[Source: SEC, "Exemption From Exchange Act Rule 13f-2 and Related Form SHO", Press Release 2025-37, accessed 2026-04-06]</w:t>
      </w:r>
    </w:p>
    <w:p>
      <w:pPr>
        <w:pStyle w:val="Heading3"/>
      </w:pPr>
      <w:r>
        <w:t>6.4 Form 13F (기관 보유 보고)</w:t>
      </w:r>
    </w:p>
    <w:p>
      <w:r>
        <w:t>증권거래법 제13(f)조는 $100 million 이상의 13(f) 증권에 대해 투자재량권을 행사하는 기관투자자에게 Form 13F의 분기별 보고를 요구한다.</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세부사항</w:t>
            </w:r>
          </w:p>
        </w:tc>
      </w:tr>
      <w:tr>
        <w:tc>
          <w:tcPr>
            <w:tcW w:type="dxa" w:w="4320"/>
          </w:tcPr>
          <w:p>
            <w:pPr/>
            <w:r>
              <w:rPr>
                <w:sz w:val="18"/>
              </w:rPr>
              <w:t>제출 기준</w:t>
            </w:r>
          </w:p>
        </w:tc>
        <w:tc>
          <w:tcPr>
            <w:tcW w:type="dxa" w:w="4320"/>
          </w:tcPr>
          <w:p>
            <w:pPr/>
            <w:r>
              <w:rPr>
                <w:sz w:val="18"/>
              </w:rPr>
              <w:t>13(f) 증권의 총 공정시장가치 $100 million</w:t>
            </w:r>
          </w:p>
        </w:tc>
      </w:tr>
      <w:tr>
        <w:tc>
          <w:tcPr>
            <w:tcW w:type="dxa" w:w="4320"/>
          </w:tcPr>
          <w:p>
            <w:pPr/>
            <w:r>
              <w:rPr>
                <w:sz w:val="18"/>
              </w:rPr>
              <w:t>제출 빈도</w:t>
            </w:r>
          </w:p>
        </w:tc>
        <w:tc>
          <w:tcPr>
            <w:tcW w:type="dxa" w:w="4320"/>
          </w:tcPr>
          <w:p>
            <w:pPr/>
            <w:r>
              <w:rPr>
                <w:sz w:val="18"/>
              </w:rPr>
              <w:t>분기별 (각 분기 종료 후 45일 이내)</w:t>
            </w:r>
          </w:p>
        </w:tc>
      </w:tr>
      <w:tr>
        <w:tc>
          <w:tcPr>
            <w:tcW w:type="dxa" w:w="4320"/>
          </w:tcPr>
          <w:p>
            <w:pPr/>
            <w:r>
              <w:rPr>
                <w:sz w:val="18"/>
              </w:rPr>
              <w:t>2026 제출일</w:t>
            </w:r>
          </w:p>
        </w:tc>
        <w:tc>
          <w:tcPr>
            <w:tcW w:type="dxa" w:w="4320"/>
          </w:tcPr>
          <w:p>
            <w:pPr/>
            <w:r>
              <w:rPr>
                <w:sz w:val="18"/>
              </w:rPr>
              <w:t>2월 17일, 5월 15일, 8월 14일, 11월 16일</w:t>
            </w:r>
          </w:p>
        </w:tc>
      </w:tr>
      <w:tr>
        <w:tc>
          <w:tcPr>
            <w:tcW w:type="dxa" w:w="4320"/>
          </w:tcPr>
          <w:p>
            <w:pPr/>
            <w:r>
              <w:rPr>
                <w:sz w:val="18"/>
              </w:rPr>
              <w:t>내용</w:t>
            </w:r>
          </w:p>
        </w:tc>
        <w:tc>
          <w:tcPr>
            <w:tcW w:type="dxa" w:w="4320"/>
          </w:tcPr>
          <w:p>
            <w:pPr/>
            <w:r>
              <w:rPr>
                <w:sz w:val="18"/>
              </w:rPr>
              <w:t>13(f) 증권(SEC 목록에 있는 주식, 특정 옵션, 전환사채)의 매수 포지션(주식수 및 시장가치); 투자재량 유형; 의결권</w:t>
            </w:r>
          </w:p>
        </w:tc>
      </w:tr>
      <w:tr>
        <w:tc>
          <w:tcPr>
            <w:tcW w:type="dxa" w:w="4320"/>
          </w:tcPr>
          <w:p>
            <w:pPr/>
            <w:r>
              <w:rPr>
                <w:sz w:val="18"/>
              </w:rPr>
              <w:t>공개 가용성</w:t>
            </w:r>
          </w:p>
        </w:tc>
        <w:tc>
          <w:tcPr>
            <w:tcW w:type="dxa" w:w="4320"/>
          </w:tcPr>
          <w:p>
            <w:pPr/>
            <w:r>
              <w:rPr>
                <w:sz w:val="18"/>
              </w:rPr>
              <w:t>EDGAR에 제출; 공개 열람 가능 (기밀 처리 요청 가능)</w:t>
            </w:r>
          </w:p>
        </w:tc>
      </w:tr>
    </w:tbl>
    <w:p/>
    <w:p>
      <w:r>
        <w:t>[Source: SEC, "Frequently Asked Questions About Form 13F", accessed 2026-04-06]</w:t>
      </w:r>
    </w:p>
    <w:p>
      <w:pPr>
        <w:pStyle w:val="Heading3"/>
      </w:pPr>
      <w:r>
        <w:t>6.5 주요 보고 요건 요약 (Summary of Key Reporting Requirements)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보고</w:t>
            </w:r>
          </w:p>
        </w:tc>
        <w:tc>
          <w:tcPr>
            <w:tcW w:type="dxa" w:w="1728"/>
          </w:tcPr>
          <w:p>
            <w:pPr/>
            <w:r>
              <w:rPr>
                <w:b/>
                <w:sz w:val="18"/>
              </w:rPr>
              <w:t>제출자</w:t>
            </w:r>
          </w:p>
        </w:tc>
        <w:tc>
          <w:tcPr>
            <w:tcW w:type="dxa" w:w="1728"/>
          </w:tcPr>
          <w:p>
            <w:pPr/>
            <w:r>
              <w:rPr>
                <w:b/>
                <w:sz w:val="18"/>
              </w:rPr>
              <w:t>빈도</w:t>
            </w:r>
          </w:p>
        </w:tc>
        <w:tc>
          <w:tcPr>
            <w:tcW w:type="dxa" w:w="1728"/>
          </w:tcPr>
          <w:p>
            <w:pPr/>
            <w:r>
              <w:rPr>
                <w:b/>
                <w:sz w:val="18"/>
              </w:rPr>
              <w:t>대상</w:t>
            </w:r>
          </w:p>
        </w:tc>
        <w:tc>
          <w:tcPr>
            <w:tcW w:type="dxa" w:w="1728"/>
          </w:tcPr>
          <w:p>
            <w:pPr/>
            <w:r>
              <w:rPr>
                <w:b/>
                <w:sz w:val="18"/>
              </w:rPr>
              <w:t>주요 기준</w:t>
            </w:r>
          </w:p>
        </w:tc>
      </w:tr>
      <w:tr>
        <w:tc>
          <w:tcPr>
            <w:tcW w:type="dxa" w:w="1728"/>
          </w:tcPr>
          <w:p>
            <w:pPr/>
            <w:r>
              <w:rPr>
                <w:sz w:val="18"/>
              </w:rPr>
              <w:t>거래 보고 (TRF/ADF/ORF)</w:t>
            </w:r>
          </w:p>
        </w:tc>
        <w:tc>
          <w:tcPr>
            <w:tcW w:type="dxa" w:w="1728"/>
          </w:tcPr>
          <w:p>
            <w:pPr/>
            <w:r>
              <w:rPr>
                <w:sz w:val="18"/>
              </w:rPr>
              <w:t>브로커-딜러</w:t>
            </w:r>
          </w:p>
        </w:tc>
        <w:tc>
          <w:tcPr>
            <w:tcW w:type="dxa" w:w="1728"/>
          </w:tcPr>
          <w:p>
            <w:pPr/>
            <w:r>
              <w:rPr>
                <w:sz w:val="18"/>
              </w:rPr>
              <w:t>실시간 (10초)</w:t>
            </w:r>
          </w:p>
        </w:tc>
        <w:tc>
          <w:tcPr>
            <w:tcW w:type="dxa" w:w="1728"/>
          </w:tcPr>
          <w:p>
            <w:pPr/>
            <w:r>
              <w:rPr>
                <w:sz w:val="18"/>
              </w:rPr>
              <w:t>FINRA</w:t>
            </w:r>
          </w:p>
        </w:tc>
        <w:tc>
          <w:tcPr>
            <w:tcW w:type="dxa" w:w="1728"/>
          </w:tcPr>
          <w:p>
            <w:pPr/>
            <w:r>
              <w:rPr>
                <w:sz w:val="18"/>
              </w:rPr>
              <w:t>모든 장외 거래</w:t>
            </w:r>
          </w:p>
        </w:tc>
      </w:tr>
      <w:tr>
        <w:tc>
          <w:tcPr>
            <w:tcW w:type="dxa" w:w="1728"/>
          </w:tcPr>
          <w:p>
            <w:pPr/>
            <w:r>
              <w:rPr>
                <w:sz w:val="18"/>
              </w:rPr>
              <w:t>Form 13H (대량거래자)</w:t>
            </w:r>
          </w:p>
        </w:tc>
        <w:tc>
          <w:tcPr>
            <w:tcW w:type="dxa" w:w="1728"/>
          </w:tcPr>
          <w:p>
            <w:pPr/>
            <w:r>
              <w:rPr>
                <w:sz w:val="18"/>
              </w:rPr>
              <w:t>대량거래자</w:t>
            </w:r>
          </w:p>
        </w:tc>
        <w:tc>
          <w:tcPr>
            <w:tcW w:type="dxa" w:w="1728"/>
          </w:tcPr>
          <w:p>
            <w:pPr/>
            <w:r>
              <w:rPr>
                <w:sz w:val="18"/>
              </w:rPr>
              <w:t>연간 + 수정</w:t>
            </w:r>
          </w:p>
        </w:tc>
        <w:tc>
          <w:tcPr>
            <w:tcW w:type="dxa" w:w="1728"/>
          </w:tcPr>
          <w:p>
            <w:pPr/>
            <w:r>
              <w:rPr>
                <w:sz w:val="18"/>
              </w:rPr>
              <w:t>SEC</w:t>
            </w:r>
          </w:p>
        </w:tc>
        <w:tc>
          <w:tcPr>
            <w:tcW w:type="dxa" w:w="1728"/>
          </w:tcPr>
          <w:p>
            <w:pPr/>
            <w:r>
              <w:rPr>
                <w:sz w:val="18"/>
              </w:rPr>
              <w:t>일 200만주 또는 $20M</w:t>
            </w:r>
          </w:p>
        </w:tc>
      </w:tr>
      <w:tr>
        <w:tc>
          <w:tcPr>
            <w:tcW w:type="dxa" w:w="1728"/>
          </w:tcPr>
          <w:p>
            <w:pPr/>
            <w:r>
              <w:rPr>
                <w:sz w:val="18"/>
              </w:rPr>
              <w:t>Form 13F (보유)</w:t>
            </w:r>
          </w:p>
        </w:tc>
        <w:tc>
          <w:tcPr>
            <w:tcW w:type="dxa" w:w="1728"/>
          </w:tcPr>
          <w:p>
            <w:pPr/>
            <w:r>
              <w:rPr>
                <w:sz w:val="18"/>
              </w:rPr>
              <w:t>기관투자자</w:t>
            </w:r>
          </w:p>
        </w:tc>
        <w:tc>
          <w:tcPr>
            <w:tcW w:type="dxa" w:w="1728"/>
          </w:tcPr>
          <w:p>
            <w:pPr/>
            <w:r>
              <w:rPr>
                <w:sz w:val="18"/>
              </w:rPr>
              <w:t>분기별</w:t>
            </w:r>
          </w:p>
        </w:tc>
        <w:tc>
          <w:tcPr>
            <w:tcW w:type="dxa" w:w="1728"/>
          </w:tcPr>
          <w:p>
            <w:pPr/>
            <w:r>
              <w:rPr>
                <w:sz w:val="18"/>
              </w:rPr>
              <w:t>SEC (EDGAR)</w:t>
            </w:r>
          </w:p>
        </w:tc>
        <w:tc>
          <w:tcPr>
            <w:tcW w:type="dxa" w:w="1728"/>
          </w:tcPr>
          <w:p>
            <w:pPr/>
            <w:r>
              <w:rPr>
                <w:sz w:val="18"/>
              </w:rPr>
              <w:t>13(f) 증권 $100M AUM</w:t>
            </w:r>
          </w:p>
        </w:tc>
      </w:tr>
      <w:tr>
        <w:tc>
          <w:tcPr>
            <w:tcW w:type="dxa" w:w="1728"/>
          </w:tcPr>
          <w:p>
            <w:pPr/>
            <w:r>
              <w:rPr>
                <w:sz w:val="18"/>
              </w:rPr>
              <w:t>FINRA 공매도잔고</w:t>
            </w:r>
          </w:p>
        </w:tc>
        <w:tc>
          <w:tcPr>
            <w:tcW w:type="dxa" w:w="1728"/>
          </w:tcPr>
          <w:p>
            <w:pPr/>
            <w:r>
              <w:rPr>
                <w:sz w:val="18"/>
              </w:rPr>
              <w:t>FINRA 회원</w:t>
            </w:r>
          </w:p>
        </w:tc>
        <w:tc>
          <w:tcPr>
            <w:tcW w:type="dxa" w:w="1728"/>
          </w:tcPr>
          <w:p>
            <w:pPr/>
            <w:r>
              <w:rPr>
                <w:sz w:val="18"/>
              </w:rPr>
              <w:t>월 2회</w:t>
            </w:r>
          </w:p>
        </w:tc>
        <w:tc>
          <w:tcPr>
            <w:tcW w:type="dxa" w:w="1728"/>
          </w:tcPr>
          <w:p>
            <w:pPr/>
            <w:r>
              <w:rPr>
                <w:sz w:val="18"/>
              </w:rPr>
              <w:t>FINRA</w:t>
            </w:r>
          </w:p>
        </w:tc>
        <w:tc>
          <w:tcPr>
            <w:tcW w:type="dxa" w:w="1728"/>
          </w:tcPr>
          <w:p>
            <w:pPr/>
            <w:r>
              <w:rPr>
                <w:sz w:val="18"/>
              </w:rPr>
              <w:t>모든 공매도 포지션</w:t>
            </w:r>
          </w:p>
        </w:tc>
      </w:tr>
      <w:tr>
        <w:tc>
          <w:tcPr>
            <w:tcW w:type="dxa" w:w="1728"/>
          </w:tcPr>
          <w:p>
            <w:pPr/>
            <w:r>
              <w:rPr>
                <w:sz w:val="18"/>
              </w:rPr>
              <w:t>Form SHO (Rule 13f-2)</w:t>
            </w:r>
          </w:p>
        </w:tc>
        <w:tc>
          <w:tcPr>
            <w:tcW w:type="dxa" w:w="1728"/>
          </w:tcPr>
          <w:p>
            <w:pPr/>
            <w:r>
              <w:rPr>
                <w:sz w:val="18"/>
              </w:rPr>
              <w:t>기관투자자</w:t>
            </w:r>
          </w:p>
        </w:tc>
        <w:tc>
          <w:tcPr>
            <w:tcW w:type="dxa" w:w="1728"/>
          </w:tcPr>
          <w:p>
            <w:pPr/>
            <w:r>
              <w:rPr>
                <w:sz w:val="18"/>
              </w:rPr>
              <w:t>월별 (2028년으로 연기)</w:t>
            </w:r>
          </w:p>
        </w:tc>
        <w:tc>
          <w:tcPr>
            <w:tcW w:type="dxa" w:w="1728"/>
          </w:tcPr>
          <w:p>
            <w:pPr/>
            <w:r>
              <w:rPr>
                <w:sz w:val="18"/>
              </w:rPr>
              <w:t>SEC</w:t>
            </w:r>
          </w:p>
        </w:tc>
        <w:tc>
          <w:tcPr>
            <w:tcW w:type="dxa" w:w="1728"/>
          </w:tcPr>
          <w:p>
            <w:pPr/>
            <w:r>
              <w:rPr>
                <w:sz w:val="18"/>
              </w:rPr>
              <w:t>$10M/$500K 기준</w:t>
            </w:r>
          </w:p>
        </w:tc>
      </w:tr>
      <w:tr>
        <w:tc>
          <w:tcPr>
            <w:tcW w:type="dxa" w:w="1728"/>
          </w:tcPr>
          <w:p>
            <w:pPr/>
            <w:r>
              <w:rPr>
                <w:sz w:val="18"/>
              </w:rPr>
              <w:t>Form 144</w:t>
            </w:r>
          </w:p>
        </w:tc>
        <w:tc>
          <w:tcPr>
            <w:tcW w:type="dxa" w:w="1728"/>
          </w:tcPr>
          <w:p>
            <w:pPr/>
            <w:r>
              <w:rPr>
                <w:sz w:val="18"/>
              </w:rPr>
              <w:t>계열사/내부자</w:t>
            </w:r>
          </w:p>
        </w:tc>
        <w:tc>
          <w:tcPr>
            <w:tcW w:type="dxa" w:w="1728"/>
          </w:tcPr>
          <w:p>
            <w:pPr/>
            <w:r>
              <w:rPr>
                <w:sz w:val="18"/>
              </w:rPr>
              <w:t>매도 전</w:t>
            </w:r>
          </w:p>
        </w:tc>
        <w:tc>
          <w:tcPr>
            <w:tcW w:type="dxa" w:w="1728"/>
          </w:tcPr>
          <w:p>
            <w:pPr/>
            <w:r>
              <w:rPr>
                <w:sz w:val="18"/>
              </w:rPr>
              <w:t>SEC</w:t>
            </w:r>
          </w:p>
        </w:tc>
        <w:tc>
          <w:tcPr>
            <w:tcW w:type="dxa" w:w="1728"/>
          </w:tcPr>
          <w:p>
            <w:pPr/>
            <w:r>
              <w:rPr>
                <w:sz w:val="18"/>
              </w:rPr>
              <w:t>제한/지배증권</w:t>
            </w:r>
          </w:p>
        </w:tc>
      </w:tr>
      <w:tr>
        <w:tc>
          <w:tcPr>
            <w:tcW w:type="dxa" w:w="1728"/>
          </w:tcPr>
          <w:p>
            <w:pPr/>
            <w:r>
              <w:rPr>
                <w:sz w:val="18"/>
              </w:rPr>
              <w:t>Schedule 13D/13G</w:t>
            </w:r>
          </w:p>
        </w:tc>
        <w:tc>
          <w:tcPr>
            <w:tcW w:type="dxa" w:w="1728"/>
          </w:tcPr>
          <w:p>
            <w:pPr/>
            <w:r>
              <w:rPr>
                <w:sz w:val="18"/>
              </w:rPr>
              <w:t>실질적 소유자</w:t>
            </w:r>
          </w:p>
        </w:tc>
        <w:tc>
          <w:tcPr>
            <w:tcW w:type="dxa" w:w="1728"/>
          </w:tcPr>
          <w:p>
            <w:pPr/>
            <w:r>
              <w:rPr>
                <w:sz w:val="18"/>
              </w:rPr>
              <w:t>이벤트 기반</w:t>
            </w:r>
          </w:p>
        </w:tc>
        <w:tc>
          <w:tcPr>
            <w:tcW w:type="dxa" w:w="1728"/>
          </w:tcPr>
          <w:p>
            <w:pPr/>
            <w:r>
              <w:rPr>
                <w:sz w:val="18"/>
              </w:rPr>
              <w:t>SEC</w:t>
            </w:r>
          </w:p>
        </w:tc>
        <w:tc>
          <w:tcPr>
            <w:tcW w:type="dxa" w:w="1728"/>
          </w:tcPr>
          <w:p>
            <w:pPr/>
            <w:r>
              <w:rPr>
                <w:sz w:val="18"/>
              </w:rPr>
              <w:t>5% 초과 실질적 소유</w:t>
            </w:r>
          </w:p>
        </w:tc>
      </w:tr>
      <w:tr>
        <w:tc>
          <w:tcPr>
            <w:tcW w:type="dxa" w:w="1728"/>
          </w:tcPr>
          <w:p>
            <w:pPr/>
            <w:r>
              <w:rPr>
                <w:sz w:val="18"/>
              </w:rPr>
              <w:t>Section 16 (Forms 3/4/5)</w:t>
            </w:r>
          </w:p>
        </w:tc>
        <w:tc>
          <w:tcPr>
            <w:tcW w:type="dxa" w:w="1728"/>
          </w:tcPr>
          <w:p>
            <w:pPr/>
            <w:r>
              <w:rPr>
                <w:sz w:val="18"/>
              </w:rPr>
              <w:t>임원, 이사, 10% 이상 대주주</w:t>
            </w:r>
          </w:p>
        </w:tc>
        <w:tc>
          <w:tcPr>
            <w:tcW w:type="dxa" w:w="1728"/>
          </w:tcPr>
          <w:p>
            <w:pPr/>
            <w:r>
              <w:rPr>
                <w:sz w:val="18"/>
              </w:rPr>
              <w:t>이벤트 기반 / 연간</w:t>
            </w:r>
          </w:p>
        </w:tc>
        <w:tc>
          <w:tcPr>
            <w:tcW w:type="dxa" w:w="1728"/>
          </w:tcPr>
          <w:p>
            <w:pPr/>
            <w:r>
              <w:rPr>
                <w:sz w:val="18"/>
              </w:rPr>
              <w:t>SEC</w:t>
            </w:r>
          </w:p>
        </w:tc>
        <w:tc>
          <w:tcPr>
            <w:tcW w:type="dxa" w:w="1728"/>
          </w:tcPr>
          <w:p>
            <w:pPr/>
            <w:r>
              <w:rPr>
                <w:sz w:val="18"/>
              </w:rPr>
              <w:t>내부자 거래</w:t>
            </w:r>
          </w:p>
        </w:tc>
      </w:tr>
    </w:tbl>
    <w:p/>
    <w:p>
      <w:r>
        <w:t>────────────────────────────────────────────────────────────</w:t>
      </w:r>
    </w:p>
    <w:p>
      <w:pPr>
        <w:pStyle w:val="Heading2"/>
      </w:pPr>
      <w:r>
        <w:t>7. 국경간 제도 (Cross-border Arrangements)</w:t>
      </w:r>
    </w:p>
    <w:p>
      <w:pPr>
        <w:pStyle w:val="Heading3"/>
      </w:pPr>
      <w:r>
        <w:t>7.1 외국민간발행인 (Foreign Private Issuer, FPI) 규칙</w:t>
      </w:r>
    </w:p>
    <w:p>
      <w:r>
        <w:t>SEC는 FPI 제도를 통해 미국 시장에서 상장 또는 자본 조달을 원하는 비미국 기업에 완화된 규제 프레임워크를 제공한다.</w:t>
      </w:r>
    </w:p>
    <w:p>
      <w:r>
        <w:t>[Source: SEC, "Accessing the U.S. Capital Markets — A Brief Overview for Foreign Private Issuers", accessed 2026-04-06]</w:t>
      </w:r>
    </w:p>
    <w:p>
      <w:r>
        <w:t>FPI 자격 기준:</w:t>
      </w:r>
    </w:p>
    <w:p>
      <w:r>
        <w:t>비미국 발행인은 다음 조건을 모두 충족하면 FPI 자격이 된다:</w:t>
      </w:r>
    </w:p>
    <w:p>
      <w:pPr>
        <w:pStyle w:val="ListNumber"/>
      </w:pPr>
      <w:r>
        <w:t>거주지 기준: 발행 의결권주식의 50% 초과분이 직간접적으로 미국 거주자에 의해 보유되지 않을 것; 또는</w:t>
      </w:r>
    </w:p>
    <w:p>
      <w:pPr>
        <w:pStyle w:val="ListNumber"/>
      </w:pPr>
      <w:r>
        <w:t>사업 접촉 기준 (미국 거주자 보유가 50% 초과인 경우): 다음 조건 중 어느 것도 해당하지 않을 것: (a) 경영진 또는 이사의 과반수가 미국 시민 또는 거주자; (b) 발행인 자산의 50% 초과가 미국 소재; (c) 발행인의 사업이 주로 미국에서 관리</w:t>
      </w:r>
    </w:p>
    <w:p>
      <w:r>
        <w:t>FPI 규제 완화:</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분야</w:t>
            </w:r>
          </w:p>
        </w:tc>
        <w:tc>
          <w:tcPr>
            <w:tcW w:type="dxa" w:w="2880"/>
          </w:tcPr>
          <w:p>
            <w:pPr/>
            <w:r>
              <w:rPr>
                <w:b/>
                <w:sz w:val="18"/>
              </w:rPr>
              <w:t>FPI 취급</w:t>
            </w:r>
          </w:p>
        </w:tc>
        <w:tc>
          <w:tcPr>
            <w:tcW w:type="dxa" w:w="2880"/>
          </w:tcPr>
          <w:p>
            <w:pPr/>
            <w:r>
              <w:rPr>
                <w:b/>
                <w:sz w:val="18"/>
              </w:rPr>
              <w:t>국내 발행인 취급</w:t>
            </w:r>
          </w:p>
        </w:tc>
      </w:tr>
      <w:tr>
        <w:tc>
          <w:tcPr>
            <w:tcW w:type="dxa" w:w="2880"/>
          </w:tcPr>
          <w:p>
            <w:pPr/>
            <w:r>
              <w:rPr>
                <w:sz w:val="18"/>
              </w:rPr>
              <w:t>재무보고</w:t>
            </w:r>
          </w:p>
        </w:tc>
        <w:tc>
          <w:tcPr>
            <w:tcW w:type="dxa" w:w="2880"/>
          </w:tcPr>
          <w:p>
            <w:pPr/>
            <w:r>
              <w:rPr>
                <w:sz w:val="18"/>
              </w:rPr>
              <w:t>Form 20-F로 연차보고서(미국 GAAP 또는 IFRS로 조정); 분기보고서 불요</w:t>
            </w:r>
          </w:p>
        </w:tc>
        <w:tc>
          <w:tcPr>
            <w:tcW w:type="dxa" w:w="2880"/>
          </w:tcPr>
          <w:p>
            <w:pPr/>
            <w:r>
              <w:rPr>
                <w:sz w:val="18"/>
              </w:rPr>
              <w:t>10-K (연간), 10-Q (분기)</w:t>
            </w:r>
          </w:p>
        </w:tc>
      </w:tr>
      <w:tr>
        <w:tc>
          <w:tcPr>
            <w:tcW w:type="dxa" w:w="2880"/>
          </w:tcPr>
          <w:p>
            <w:pPr/>
            <w:r>
              <w:rPr>
                <w:sz w:val="18"/>
              </w:rPr>
              <w:t>위임장 규칙</w:t>
            </w:r>
          </w:p>
        </w:tc>
        <w:tc>
          <w:tcPr>
            <w:tcW w:type="dxa" w:w="2880"/>
          </w:tcPr>
          <w:p>
            <w:pPr/>
            <w:r>
              <w:rPr>
                <w:sz w:val="18"/>
              </w:rPr>
              <w:t>위임장 권유 규칙(Regulation 14A) 면제</w:t>
            </w:r>
          </w:p>
        </w:tc>
        <w:tc>
          <w:tcPr>
            <w:tcW w:type="dxa" w:w="2880"/>
          </w:tcPr>
          <w:p>
            <w:pPr/>
            <w:r>
              <w:rPr>
                <w:sz w:val="18"/>
              </w:rPr>
              <w:t>전체 위임장 규칙 적용</w:t>
            </w:r>
          </w:p>
        </w:tc>
      </w:tr>
      <w:tr>
        <w:tc>
          <w:tcPr>
            <w:tcW w:type="dxa" w:w="2880"/>
          </w:tcPr>
          <w:p>
            <w:pPr/>
            <w:r>
              <w:rPr>
                <w:sz w:val="18"/>
              </w:rPr>
              <w:t>Section 16 보고</w:t>
            </w:r>
          </w:p>
        </w:tc>
        <w:tc>
          <w:tcPr>
            <w:tcW w:type="dxa" w:w="2880"/>
          </w:tcPr>
          <w:p>
            <w:pPr/>
            <w:r>
              <w:rPr>
                <w:sz w:val="18"/>
              </w:rPr>
              <w:t>내부자 보고(Forms 3, 4, 5) 및 단기매매차익 반환 면제</w:t>
            </w:r>
          </w:p>
        </w:tc>
        <w:tc>
          <w:tcPr>
            <w:tcW w:type="dxa" w:w="2880"/>
          </w:tcPr>
          <w:p>
            <w:pPr/>
            <w:r>
              <w:rPr>
                <w:sz w:val="18"/>
              </w:rPr>
              <w:t>전체 Section 16 의무</w:t>
            </w:r>
          </w:p>
        </w:tc>
      </w:tr>
      <w:tr>
        <w:tc>
          <w:tcPr>
            <w:tcW w:type="dxa" w:w="2880"/>
          </w:tcPr>
          <w:p>
            <w:pPr/>
            <w:r>
              <w:rPr>
                <w:sz w:val="18"/>
              </w:rPr>
              <w:t>Regulation FD</w:t>
            </w:r>
          </w:p>
        </w:tc>
        <w:tc>
          <w:tcPr>
            <w:tcW w:type="dxa" w:w="2880"/>
          </w:tcPr>
          <w:p>
            <w:pPr/>
            <w:r>
              <w:rPr>
                <w:sz w:val="18"/>
              </w:rPr>
              <w:t>선택적 공시 규칙 면제</w:t>
            </w:r>
          </w:p>
        </w:tc>
        <w:tc>
          <w:tcPr>
            <w:tcW w:type="dxa" w:w="2880"/>
          </w:tcPr>
          <w:p>
            <w:pPr/>
            <w:r>
              <w:rPr>
                <w:sz w:val="18"/>
              </w:rPr>
              <w:t>전체 Regulation FD 적용</w:t>
            </w:r>
          </w:p>
        </w:tc>
      </w:tr>
      <w:tr>
        <w:tc>
          <w:tcPr>
            <w:tcW w:type="dxa" w:w="2880"/>
          </w:tcPr>
          <w:p>
            <w:pPr/>
            <w:r>
              <w:rPr>
                <w:sz w:val="18"/>
              </w:rPr>
              <w:t>기업지배구조</w:t>
            </w:r>
          </w:p>
        </w:tc>
        <w:tc>
          <w:tcPr>
            <w:tcW w:type="dxa" w:w="2880"/>
          </w:tcPr>
          <w:p>
            <w:pPr/>
            <w:r>
              <w:rPr>
                <w:sz w:val="18"/>
              </w:rPr>
              <w:t>대부분의 상장 기준에 대해 본국 관행 적용 가능 (차이점 공시)</w:t>
            </w:r>
          </w:p>
        </w:tc>
        <w:tc>
          <w:tcPr>
            <w:tcW w:type="dxa" w:w="2880"/>
          </w:tcPr>
          <w:p>
            <w:pPr/>
            <w:r>
              <w:rPr>
                <w:sz w:val="18"/>
              </w:rPr>
              <w:t>거래소 상장 기준 준수</w:t>
            </w:r>
          </w:p>
        </w:tc>
      </w:tr>
      <w:tr>
        <w:tc>
          <w:tcPr>
            <w:tcW w:type="dxa" w:w="2880"/>
          </w:tcPr>
          <w:p>
            <w:pPr/>
            <w:r>
              <w:rPr>
                <w:sz w:val="18"/>
              </w:rPr>
              <w:t>공개매수</w:t>
            </w:r>
          </w:p>
        </w:tc>
        <w:tc>
          <w:tcPr>
            <w:tcW w:type="dxa" w:w="2880"/>
          </w:tcPr>
          <w:p>
            <w:pPr/>
            <w:r>
              <w:rPr>
                <w:sz w:val="18"/>
              </w:rPr>
              <w:t>미국 주주 참여에 따른 Tier I 또는 Tier II 면제 가능</w:t>
            </w:r>
          </w:p>
        </w:tc>
        <w:tc>
          <w:tcPr>
            <w:tcW w:type="dxa" w:w="2880"/>
          </w:tcPr>
          <w:p>
            <w:pPr/>
            <w:r>
              <w:rPr>
                <w:sz w:val="18"/>
              </w:rPr>
              <w:t>전체 공개매수 규칙 적용</w:t>
            </w:r>
          </w:p>
        </w:tc>
      </w:tr>
    </w:tbl>
    <w:p/>
    <w:p>
      <w:r>
        <w:t>2025년 FPI 정의 관련 개념공개:</w:t>
      </w:r>
    </w:p>
    <w:p>
      <w:r>
        <w:t>2025년, SEC는 FPI 정의의 잠재적 변경에 대한 공개의견을 구하는 개념공개를 발행하였다. 검토 중인 주요 제안:</w:t>
      </w:r>
    </w:p>
    <w:p>
      <w:pPr>
        <w:pStyle w:val="ListBullet"/>
      </w:pPr>
      <w:r>
        <w:t>FPI 자격을 발행인이 IOSCO 다자간 양해각서(MMoU) 또는 강화된 MMoU(130개 이상 관할권이 서명)에 서명한 관할권의 감독을 받는 것을 조건으로 할 것</w:t>
      </w:r>
    </w:p>
    <w:p>
      <w:pPr>
        <w:pStyle w:val="ListBullet"/>
      </w:pPr>
      <w:r>
        <w:t>거주지 기준의 잠재적 강화</w:t>
      </w:r>
    </w:p>
    <w:p>
      <w:pPr>
        <w:pStyle w:val="ListBullet"/>
      </w:pPr>
      <w:r>
        <w:t>주로 미국 투자자 기반을 가진 외국 기업의 증가에 대한 대응</w:t>
      </w:r>
    </w:p>
    <w:p>
      <w:r>
        <w:t>[Source: SEC, "Concept Release on Foreign Private Issuer Eligibility", Release No. 33-11376, 2025, accessed 2026-04-06]</w:t>
      </w:r>
    </w:p>
    <w:p>
      <w:pPr>
        <w:pStyle w:val="Heading3"/>
      </w:pPr>
      <w:r>
        <w:t>7.2 미국예탁증서 (American Depositary Receipts, ADR) / 미국예탁주식 (American Depositary Shares, ADS)</w:t>
      </w:r>
    </w:p>
    <w:p>
      <w:r>
        <w:t>ADR은 미국 예탁은행이 비미국 기업의 주식을 대표하여 발행하는 양도 가능 증서이다. 미국 투자자가 미국 시장을 통해 해외 기업에 투자할 수 있게 한다.</w:t>
      </w:r>
    </w:p>
    <w:p>
      <w:r>
        <w:t>ADR 프로그램 유형:</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레벨</w:t>
            </w:r>
          </w:p>
        </w:tc>
        <w:tc>
          <w:tcPr>
            <w:tcW w:type="dxa" w:w="1728"/>
          </w:tcPr>
          <w:p>
            <w:pPr/>
            <w:r>
              <w:rPr>
                <w:b/>
                <w:sz w:val="18"/>
              </w:rPr>
              <w:t>등록</w:t>
            </w:r>
          </w:p>
        </w:tc>
        <w:tc>
          <w:tcPr>
            <w:tcW w:type="dxa" w:w="1728"/>
          </w:tcPr>
          <w:p>
            <w:pPr/>
            <w:r>
              <w:rPr>
                <w:b/>
                <w:sz w:val="18"/>
              </w:rPr>
              <w:t>거래 장소</w:t>
            </w:r>
          </w:p>
        </w:tc>
        <w:tc>
          <w:tcPr>
            <w:tcW w:type="dxa" w:w="1728"/>
          </w:tcPr>
          <w:p>
            <w:pPr/>
            <w:r>
              <w:rPr>
                <w:b/>
                <w:sz w:val="18"/>
              </w:rPr>
              <w:t>자본 조달</w:t>
            </w:r>
          </w:p>
        </w:tc>
        <w:tc>
          <w:tcPr>
            <w:tcW w:type="dxa" w:w="1728"/>
          </w:tcPr>
          <w:p>
            <w:pPr/>
            <w:r>
              <w:rPr>
                <w:b/>
                <w:sz w:val="18"/>
              </w:rPr>
              <w:t>SEC 제출</w:t>
            </w:r>
          </w:p>
        </w:tc>
      </w:tr>
      <w:tr>
        <w:tc>
          <w:tcPr>
            <w:tcW w:type="dxa" w:w="1728"/>
          </w:tcPr>
          <w:p>
            <w:pPr/>
            <w:r>
              <w:rPr>
                <w:sz w:val="18"/>
              </w:rPr>
              <w:t>Level I (비후원/후원)</w:t>
            </w:r>
          </w:p>
        </w:tc>
        <w:tc>
          <w:tcPr>
            <w:tcW w:type="dxa" w:w="1728"/>
          </w:tcPr>
          <w:p>
            <w:pPr/>
            <w:r>
              <w:rPr>
                <w:sz w:val="18"/>
              </w:rPr>
              <w:t>면제 (Rule 12g3-2(b))</w:t>
            </w:r>
          </w:p>
        </w:tc>
        <w:tc>
          <w:tcPr>
            <w:tcW w:type="dxa" w:w="1728"/>
          </w:tcPr>
          <w:p>
            <w:pPr/>
            <w:r>
              <w:rPr>
                <w:sz w:val="18"/>
              </w:rPr>
              <w:t>OTC / Pink Sheets</w:t>
            </w:r>
          </w:p>
        </w:tc>
        <w:tc>
          <w:tcPr>
            <w:tcW w:type="dxa" w:w="1728"/>
          </w:tcPr>
          <w:p>
            <w:pPr/>
            <w:r>
              <w:rPr>
                <w:sz w:val="18"/>
              </w:rPr>
              <w:t>불가</w:t>
            </w:r>
          </w:p>
        </w:tc>
        <w:tc>
          <w:tcPr>
            <w:tcW w:type="dxa" w:w="1728"/>
          </w:tcPr>
          <w:p>
            <w:pPr/>
            <w:r>
              <w:rPr>
                <w:sz w:val="18"/>
              </w:rPr>
              <w:t>Form F-6만</w:t>
            </w:r>
          </w:p>
        </w:tc>
      </w:tr>
      <w:tr>
        <w:tc>
          <w:tcPr>
            <w:tcW w:type="dxa" w:w="1728"/>
          </w:tcPr>
          <w:p>
            <w:pPr/>
            <w:r>
              <w:rPr>
                <w:sz w:val="18"/>
              </w:rPr>
              <w:t>Level II (상장)</w:t>
            </w:r>
          </w:p>
        </w:tc>
        <w:tc>
          <w:tcPr>
            <w:tcW w:type="dxa" w:w="1728"/>
          </w:tcPr>
          <w:p>
            <w:pPr/>
            <w:r>
              <w:rPr>
                <w:sz w:val="18"/>
              </w:rPr>
              <w:t>완전 등록</w:t>
            </w:r>
          </w:p>
        </w:tc>
        <w:tc>
          <w:tcPr>
            <w:tcW w:type="dxa" w:w="1728"/>
          </w:tcPr>
          <w:p>
            <w:pPr/>
            <w:r>
              <w:rPr>
                <w:sz w:val="18"/>
              </w:rPr>
              <w:t>NYSE / Nasdaq / 기타 거래소</w:t>
            </w:r>
          </w:p>
        </w:tc>
        <w:tc>
          <w:tcPr>
            <w:tcW w:type="dxa" w:w="1728"/>
          </w:tcPr>
          <w:p>
            <w:pPr/>
            <w:r>
              <w:rPr>
                <w:sz w:val="18"/>
              </w:rPr>
              <w:t>불가</w:t>
            </w:r>
          </w:p>
        </w:tc>
        <w:tc>
          <w:tcPr>
            <w:tcW w:type="dxa" w:w="1728"/>
          </w:tcPr>
          <w:p>
            <w:pPr/>
            <w:r>
              <w:rPr>
                <w:sz w:val="18"/>
              </w:rPr>
              <w:t>Form 20-F, Form F-6</w:t>
            </w:r>
          </w:p>
        </w:tc>
      </w:tr>
      <w:tr>
        <w:tc>
          <w:tcPr>
            <w:tcW w:type="dxa" w:w="1728"/>
          </w:tcPr>
          <w:p>
            <w:pPr/>
            <w:r>
              <w:rPr>
                <w:sz w:val="18"/>
              </w:rPr>
              <w:t>Level III (공모)</w:t>
            </w:r>
          </w:p>
        </w:tc>
        <w:tc>
          <w:tcPr>
            <w:tcW w:type="dxa" w:w="1728"/>
          </w:tcPr>
          <w:p>
            <w:pPr/>
            <w:r>
              <w:rPr>
                <w:sz w:val="18"/>
              </w:rPr>
              <w:t>완전 등록 + Securities Act 등록</w:t>
            </w:r>
          </w:p>
        </w:tc>
        <w:tc>
          <w:tcPr>
            <w:tcW w:type="dxa" w:w="1728"/>
          </w:tcPr>
          <w:p>
            <w:pPr/>
            <w:r>
              <w:rPr>
                <w:sz w:val="18"/>
              </w:rPr>
              <w:t>NYSE / Nasdaq / 기타 거래소</w:t>
            </w:r>
          </w:p>
        </w:tc>
        <w:tc>
          <w:tcPr>
            <w:tcW w:type="dxa" w:w="1728"/>
          </w:tcPr>
          <w:p>
            <w:pPr/>
            <w:r>
              <w:rPr>
                <w:sz w:val="18"/>
              </w:rPr>
              <w:t>가능 (공모)</w:t>
            </w:r>
          </w:p>
        </w:tc>
        <w:tc>
          <w:tcPr>
            <w:tcW w:type="dxa" w:w="1728"/>
          </w:tcPr>
          <w:p>
            <w:pPr/>
            <w:r>
              <w:rPr>
                <w:sz w:val="18"/>
              </w:rPr>
              <w:t>Form 20-F, Form F-6, Form F-1</w:t>
            </w:r>
          </w:p>
        </w:tc>
      </w:tr>
      <w:tr>
        <w:tc>
          <w:tcPr>
            <w:tcW w:type="dxa" w:w="1728"/>
          </w:tcPr>
          <w:p>
            <w:pPr/>
            <w:r>
              <w:rPr>
                <w:sz w:val="18"/>
              </w:rPr>
              <w:t>Rule 144A ADR</w:t>
            </w:r>
          </w:p>
        </w:tc>
        <w:tc>
          <w:tcPr>
            <w:tcW w:type="dxa" w:w="1728"/>
          </w:tcPr>
          <w:p>
            <w:pPr/>
            <w:r>
              <w:rPr>
                <w:sz w:val="18"/>
              </w:rPr>
              <w:t>면제</w:t>
            </w:r>
          </w:p>
        </w:tc>
        <w:tc>
          <w:tcPr>
            <w:tcW w:type="dxa" w:w="1728"/>
          </w:tcPr>
          <w:p>
            <w:pPr/>
            <w:r>
              <w:rPr>
                <w:sz w:val="18"/>
              </w:rPr>
              <w:t>PORTAL / QIBs만</w:t>
            </w:r>
          </w:p>
        </w:tc>
        <w:tc>
          <w:tcPr>
            <w:tcW w:type="dxa" w:w="1728"/>
          </w:tcPr>
          <w:p>
            <w:pPr/>
            <w:r>
              <w:rPr>
                <w:sz w:val="18"/>
              </w:rPr>
              <w:t>가능 (사모)</w:t>
            </w:r>
          </w:p>
        </w:tc>
        <w:tc>
          <w:tcPr>
            <w:tcW w:type="dxa" w:w="1728"/>
          </w:tcPr>
          <w:p>
            <w:pPr/>
            <w:r>
              <w:rPr>
                <w:sz w:val="18"/>
              </w:rPr>
              <w:t>SEC 미제출 (QIBs에만)</w:t>
            </w:r>
          </w:p>
        </w:tc>
      </w:tr>
    </w:tbl>
    <w:p/>
    <w:p>
      <w:r>
        <w:t>주요 요건:</w:t>
      </w:r>
    </w:p>
    <w:p>
      <w:pPr>
        <w:pStyle w:val="ListBullet"/>
      </w:pPr>
      <w:r>
        <w:t>예탁은행(예: BNY Mellon, JPMorgan, Citibank, Deutsche Bank)이 해외 주식을 수탁 보관</w:t>
      </w:r>
    </w:p>
    <w:p>
      <w:pPr>
        <w:pStyle w:val="ListBullet"/>
      </w:pPr>
      <w:r>
        <w:t>ADR 비율: 하나의 ADR이 몇 주의 해외 주식을 대표하는지 결정 (예: 1 ADR = 기초주식 10주)</w:t>
      </w:r>
    </w:p>
    <w:p>
      <w:pPr>
        <w:pStyle w:val="ListBullet"/>
      </w:pPr>
      <w:r>
        <w:t>Form F-6: 예탁주식(ADR)에 대한 Securities Act 등록서류</w:t>
      </w:r>
    </w:p>
    <w:p>
      <w:pPr>
        <w:pStyle w:val="ListBullet"/>
      </w:pPr>
      <w:r>
        <w:t>후원 ADR: 외국 발행인이 예탁은행과 직접 계약</w:t>
      </w:r>
    </w:p>
    <w:p>
      <w:pPr>
        <w:pStyle w:val="ListBullet"/>
      </w:pPr>
      <w:r>
        <w:t>비후원 ADR: 외국 발행인과의 공식 계약 없이 예탁은행이 생성</w:t>
      </w:r>
    </w:p>
    <w:p>
      <w:pPr>
        <w:pStyle w:val="Heading3"/>
      </w:pPr>
      <w:r>
        <w:t>7.3 SEC 양해각서 (Memoranda of Understanding, MOUs)</w:t>
      </w:r>
    </w:p>
    <w:p>
      <w:r>
        <w:t>SEC는 광범위한 국제 협력 체계를 유지한다:</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협약</w:t>
            </w:r>
          </w:p>
        </w:tc>
        <w:tc>
          <w:tcPr>
            <w:tcW w:type="dxa" w:w="2880"/>
          </w:tcPr>
          <w:p>
            <w:pPr/>
            <w:r>
              <w:rPr>
                <w:b/>
                <w:sz w:val="18"/>
              </w:rPr>
              <w:t>범위</w:t>
            </w:r>
          </w:p>
        </w:tc>
        <w:tc>
          <w:tcPr>
            <w:tcW w:type="dxa" w:w="2880"/>
          </w:tcPr>
          <w:p>
            <w:pPr/>
            <w:r>
              <w:rPr>
                <w:b/>
                <w:sz w:val="18"/>
              </w:rPr>
              <w:t>당사자</w:t>
            </w:r>
          </w:p>
        </w:tc>
      </w:tr>
      <w:tr>
        <w:tc>
          <w:tcPr>
            <w:tcW w:type="dxa" w:w="2880"/>
          </w:tcPr>
          <w:p>
            <w:pPr/>
            <w:r>
              <w:rPr>
                <w:sz w:val="18"/>
              </w:rPr>
              <w:t>**IOSCO MMoU**</w:t>
            </w:r>
          </w:p>
        </w:tc>
        <w:tc>
          <w:tcPr>
            <w:tcW w:type="dxa" w:w="2880"/>
          </w:tcPr>
          <w:p>
            <w:pPr/>
            <w:r>
              <w:rPr>
                <w:sz w:val="18"/>
              </w:rPr>
              <w:t>집행 목적의 협의, 협력, 정보 교환</w:t>
            </w:r>
          </w:p>
        </w:tc>
        <w:tc>
          <w:tcPr>
            <w:tcW w:type="dxa" w:w="2880"/>
          </w:tcPr>
          <w:p>
            <w:pPr/>
            <w:r>
              <w:rPr>
                <w:sz w:val="18"/>
              </w:rPr>
              <w:t>130개 이상 관할권 (SEC 서명)</w:t>
            </w:r>
          </w:p>
        </w:tc>
      </w:tr>
      <w:tr>
        <w:tc>
          <w:tcPr>
            <w:tcW w:type="dxa" w:w="2880"/>
          </w:tcPr>
          <w:p>
            <w:pPr/>
            <w:r>
              <w:rPr>
                <w:sz w:val="18"/>
              </w:rPr>
              <w:t>**IOSCO 강화된 MMoU (EMMoU)**</w:t>
            </w:r>
          </w:p>
        </w:tc>
        <w:tc>
          <w:tcPr>
            <w:tcW w:type="dxa" w:w="2880"/>
          </w:tcPr>
          <w:p>
            <w:pPr/>
            <w:r>
              <w:rPr>
                <w:sz w:val="18"/>
              </w:rPr>
              <w:t>추가 집행 도구를 갖춘 강화된 협력 프레임워크</w:t>
            </w:r>
          </w:p>
        </w:tc>
        <w:tc>
          <w:tcPr>
            <w:tcW w:type="dxa" w:w="2880"/>
          </w:tcPr>
          <w:p>
            <w:pPr/>
            <w:r>
              <w:rPr>
                <w:sz w:val="18"/>
              </w:rPr>
              <w:t>회원 확대 중</w:t>
            </w:r>
          </w:p>
        </w:tc>
      </w:tr>
      <w:tr>
        <w:tc>
          <w:tcPr>
            <w:tcW w:type="dxa" w:w="2880"/>
          </w:tcPr>
          <w:p>
            <w:pPr/>
            <w:r>
              <w:rPr>
                <w:sz w:val="18"/>
              </w:rPr>
              <w:t>**양자 MOU**</w:t>
            </w:r>
          </w:p>
        </w:tc>
        <w:tc>
          <w:tcPr>
            <w:tcW w:type="dxa" w:w="2880"/>
          </w:tcPr>
          <w:p>
            <w:pPr/>
            <w:r>
              <w:rPr>
                <w:sz w:val="18"/>
              </w:rPr>
              <w:t>감독 및 집행 협력을 위한 특정 양자 협약</w:t>
            </w:r>
          </w:p>
        </w:tc>
        <w:tc>
          <w:tcPr>
            <w:tcW w:type="dxa" w:w="2880"/>
          </w:tcPr>
          <w:p>
            <w:pPr/>
            <w:r>
              <w:rPr>
                <w:sz w:val="18"/>
              </w:rPr>
              <w:t>SEC가 주요 관할권과 MOU 유지 (예: UK FCA, EU ESMA, 일본 FSA/JFSA, 한국 FSC (금융위원회)/FSS (금융감독원) 등)</w:t>
            </w:r>
          </w:p>
        </w:tc>
      </w:tr>
      <w:tr>
        <w:tc>
          <w:tcPr>
            <w:tcW w:type="dxa" w:w="2880"/>
          </w:tcPr>
          <w:p>
            <w:pPr/>
            <w:r>
              <w:rPr>
                <w:sz w:val="18"/>
              </w:rPr>
              <w:t>**다관할 공시체계 (MJDS)**</w:t>
            </w:r>
          </w:p>
        </w:tc>
        <w:tc>
          <w:tcPr>
            <w:tcW w:type="dxa" w:w="2880"/>
          </w:tcPr>
          <w:p>
            <w:pPr/>
            <w:r>
              <w:rPr>
                <w:sz w:val="18"/>
              </w:rPr>
              <w:t>미국-캐나다 국경간 공모에 대한 상호 인정</w:t>
            </w:r>
          </w:p>
        </w:tc>
        <w:tc>
          <w:tcPr>
            <w:tcW w:type="dxa" w:w="2880"/>
          </w:tcPr>
          <w:p>
            <w:pPr/>
            <w:r>
              <w:rPr>
                <w:sz w:val="18"/>
              </w:rPr>
              <w:t>미국 (SEC)과 캐나다 (CSA)</w:t>
            </w:r>
          </w:p>
        </w:tc>
      </w:tr>
    </w:tbl>
    <w:p/>
    <w:p>
      <w:r>
        <w:t>SEC 국경간 집행 권한 (도드-프랭크법 강화):</w:t>
      </w:r>
    </w:p>
    <w:p>
      <w:pPr>
        <w:pStyle w:val="ListBullet"/>
      </w:pPr>
      <w:r>
        <w:t>도드-프랭크법 Section 929I가 국경간 조사를 위한 SEC 소환장 권한을 확대</w:t>
      </w:r>
    </w:p>
    <w:p>
      <w:pPr>
        <w:pStyle w:val="ListBullet"/>
      </w:pPr>
      <w:r>
        <w:t>SEC는 미국 시장과 연관된 외국 기관 및 개인에 대해 집행 조치를 취할 수 있음</w:t>
      </w:r>
    </w:p>
    <w:p>
      <w:pPr>
        <w:pStyle w:val="ListBullet"/>
      </w:pPr>
      <w:r>
        <w:t>SEC는 내부자거래, 시장조작, 회계부정 조사에서 외국 규제기관과 정기적으로 협력</w:t>
      </w:r>
    </w:p>
    <w:p>
      <w:pPr>
        <w:pStyle w:val="Heading3"/>
      </w:pPr>
      <w:r>
        <w:t>7.4 Regulation S</w:t>
      </w:r>
    </w:p>
    <w:p>
      <w:r>
        <w:t>Regulation S는 미국 외에서 이루어지는 증권의 공모 및 판매에 대해 Securities Act 등록 요건으로부터의 면제를 제공한다:</w:t>
      </w:r>
    </w:p>
    <w:p>
      <w:pPr>
        <w:pStyle w:val="ListBullet"/>
      </w:pPr>
      <w:r>
        <w:t>발행인 안전항: 공모 및 판매가 "역외거래"로 이루어지고 미국 내 "지시된 판매 노력"이 없어야 함</w:t>
      </w:r>
    </w:p>
    <w:p>
      <w:pPr>
        <w:pStyle w:val="ListBullet"/>
      </w:pPr>
      <w:r>
        <w:t>배포 준수 기간: 미국 보고 발행인의 주식증권은 6개월의 배포 준수 기간이 적용되며 (비보고 발행인은 1년), 이 기간 동안 미국으로의 환류가 제한됨</w:t>
      </w:r>
    </w:p>
    <w:p>
      <w:pPr>
        <w:pStyle w:val="ListBullet"/>
      </w:pPr>
      <w:r>
        <w:t>Category 1/2/3: 증권은 미국으로의 환류 가능성에 따라 분류되며, 점진적으로 엄격한 요건이 적용됨</w:t>
      </w:r>
    </w:p>
    <w:p>
      <w:r>
        <w:t>────────────────────────────────────────────────────────────</w:t>
      </w:r>
    </w:p>
    <w:p>
      <w:pPr>
        <w:pStyle w:val="Heading2"/>
      </w:pPr>
      <w:r>
        <w:t>8. 최근 변경 사항 (2021-2026) (Recent Changes)</w:t>
      </w:r>
    </w:p>
    <w:p>
      <w:pPr>
        <w:pStyle w:val="Heading3"/>
      </w:pPr>
      <w:r>
        <w:t>8.1 T+1 결제주기 (2024년 5월 28일)</w:t>
      </w:r>
    </w:p>
    <w:p>
      <w:r>
        <w:t>2023년 2월 15일, SEC는 대부분의 브로커-딜러 거래에 대한 표준 결제주기(Settlement Cycle)를 T+2(2영업일)에서 T+1(1영업일)로 단축하는 규칙 개정을 채택하였다. 새 주기는 2024년 5월 28일 시행되었다.</w:t>
      </w:r>
    </w:p>
    <w:p>
      <w:r>
        <w:t>[Source: SEC, "Shortening the Securities Transaction Settlement Cycle", Press Release 2024-62, May 2024, accessed 2026-04-06]</w:t>
      </w:r>
    </w:p>
    <w:p>
      <w:r>
        <w:t>주요 사항:</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항목</w:t>
            </w:r>
          </w:p>
        </w:tc>
        <w:tc>
          <w:tcPr>
            <w:tcW w:type="dxa" w:w="4320"/>
          </w:tcPr>
          <w:p>
            <w:pPr/>
            <w:r>
              <w:rPr>
                <w:b/>
                <w:sz w:val="18"/>
              </w:rPr>
              <w:t>설명</w:t>
            </w:r>
          </w:p>
        </w:tc>
      </w:tr>
      <w:tr>
        <w:tc>
          <w:tcPr>
            <w:tcW w:type="dxa" w:w="4320"/>
          </w:tcPr>
          <w:p>
            <w:pPr/>
            <w:r>
              <w:rPr>
                <w:sz w:val="18"/>
              </w:rPr>
              <w:t>시행일</w:t>
            </w:r>
          </w:p>
        </w:tc>
        <w:tc>
          <w:tcPr>
            <w:tcW w:type="dxa" w:w="4320"/>
          </w:tcPr>
          <w:p>
            <w:pPr/>
            <w:r>
              <w:rPr>
                <w:sz w:val="18"/>
              </w:rPr>
              <w:t>2024년 5월 28일</w:t>
            </w:r>
          </w:p>
        </w:tc>
      </w:tr>
      <w:tr>
        <w:tc>
          <w:tcPr>
            <w:tcW w:type="dxa" w:w="4320"/>
          </w:tcPr>
          <w:p>
            <w:pPr/>
            <w:r>
              <w:rPr>
                <w:sz w:val="18"/>
              </w:rPr>
              <w:t>이전 주기</w:t>
            </w:r>
          </w:p>
        </w:tc>
        <w:tc>
          <w:tcPr>
            <w:tcW w:type="dxa" w:w="4320"/>
          </w:tcPr>
          <w:p>
            <w:pPr/>
            <w:r>
              <w:rPr>
                <w:sz w:val="18"/>
              </w:rPr>
              <w:t>T+2 (2017년 9월 5일부터; 그 이전 T+3)</w:t>
            </w:r>
          </w:p>
        </w:tc>
      </w:tr>
      <w:tr>
        <w:tc>
          <w:tcPr>
            <w:tcW w:type="dxa" w:w="4320"/>
          </w:tcPr>
          <w:p>
            <w:pPr/>
            <w:r>
              <w:rPr>
                <w:sz w:val="18"/>
              </w:rPr>
              <w:t>새 주기</w:t>
            </w:r>
          </w:p>
        </w:tc>
        <w:tc>
          <w:tcPr>
            <w:tcW w:type="dxa" w:w="4320"/>
          </w:tcPr>
          <w:p>
            <w:pPr/>
            <w:r>
              <w:rPr>
                <w:sz w:val="18"/>
              </w:rPr>
              <w:t>T+1</w:t>
            </w:r>
          </w:p>
        </w:tc>
      </w:tr>
      <w:tr>
        <w:tc>
          <w:tcPr>
            <w:tcW w:type="dxa" w:w="4320"/>
          </w:tcPr>
          <w:p>
            <w:pPr/>
            <w:r>
              <w:rPr>
                <w:sz w:val="18"/>
              </w:rPr>
              <w:t>적용 거래</w:t>
            </w:r>
          </w:p>
        </w:tc>
        <w:tc>
          <w:tcPr>
            <w:tcW w:type="dxa" w:w="4320"/>
          </w:tcPr>
          <w:p>
            <w:pPr/>
            <w:r>
              <w:rPr>
                <w:sz w:val="18"/>
              </w:rPr>
              <w:t>주식, 회사채, 단위투자신탁, 지방채, 이를 포함하는 금융상품의 대부분의 유통시장 거래</w:t>
            </w:r>
          </w:p>
        </w:tc>
      </w:tr>
      <w:tr>
        <w:tc>
          <w:tcPr>
            <w:tcW w:type="dxa" w:w="4320"/>
          </w:tcPr>
          <w:p>
            <w:pPr/>
            <w:r>
              <w:rPr>
                <w:sz w:val="18"/>
              </w:rPr>
              <w:t>예외</w:t>
            </w:r>
          </w:p>
        </w:tc>
        <w:tc>
          <w:tcPr>
            <w:tcW w:type="dxa" w:w="4320"/>
          </w:tcPr>
          <w:p>
            <w:pPr/>
            <w:r>
              <w:rPr>
                <w:sz w:val="18"/>
              </w:rPr>
              <w:t>일부 거래 (예: 특정 총액인수 공모, 증권대차거래)는 다른 결제 관례를 따름</w:t>
            </w:r>
          </w:p>
        </w:tc>
      </w:tr>
      <w:tr>
        <w:tc>
          <w:tcPr>
            <w:tcW w:type="dxa" w:w="4320"/>
          </w:tcPr>
          <w:p>
            <w:pPr/>
            <w:r>
              <w:rPr>
                <w:sz w:val="18"/>
              </w:rPr>
              <w:t>목표</w:t>
            </w:r>
          </w:p>
        </w:tc>
        <w:tc>
          <w:tcPr>
            <w:tcW w:type="dxa" w:w="4320"/>
          </w:tcPr>
          <w:p>
            <w:pPr/>
            <w:r>
              <w:rPr>
                <w:sz w:val="18"/>
              </w:rPr>
              <w:t>미결제 거래로 인한 신용, 시장, 유동성 리스크 감소; 청산기관의 증거금 요건 절감</w:t>
            </w:r>
          </w:p>
        </w:tc>
      </w:tr>
    </w:tbl>
    <w:p/>
    <w:p>
      <w:r>
        <w:t>영향:</w:t>
      </w:r>
    </w:p>
    <w:p>
      <w:pPr>
        <w:pStyle w:val="ListBullet"/>
      </w:pPr>
      <w:r>
        <w:t>DTCC (Depository Trust &amp; Clearing Corporation)가 T+1을 지원하기 위해 시스템과 프로세스를 수정</w:t>
      </w:r>
    </w:p>
    <w:p>
      <w:pPr>
        <w:pStyle w:val="ListBullet"/>
      </w:pPr>
      <w:r>
        <w:t>NSCC의 증거금 요건이 약 41% 감소 [미확인]</w:t>
      </w:r>
    </w:p>
    <w:p>
      <w:pPr>
        <w:pStyle w:val="ListBullet"/>
      </w:pPr>
      <w:r>
        <w:t>국제 투자자(특히 아시아 시간대)가 외환결제 및 증권인도를 위한 압축된 일정으로 인해 운영상 어려움에 직면</w:t>
      </w:r>
    </w:p>
    <w:p>
      <w:pPr>
        <w:pStyle w:val="ListBullet"/>
      </w:pPr>
      <w:r>
        <w:t>당일 확인율이 크게 증가</w:t>
      </w:r>
    </w:p>
    <w:p>
      <w:pPr>
        <w:pStyle w:val="ListBullet"/>
      </w:pPr>
      <w:r>
        <w:t>T+0으로의 추가 단축 논의가 나타났으나 2026년 4월 기준 공식 제안은 없음</w:t>
      </w:r>
    </w:p>
    <w:p>
      <w:pPr>
        <w:pStyle w:val="Heading3"/>
      </w:pPr>
      <w:r>
        <w:t>8.2 호가단위 및 접근수수료 개혁 (2024년 — 시행 2026년 11월로 연기)</w:t>
      </w:r>
    </w:p>
    <w:p>
      <w:r>
        <w:t>2024년 9월 18일, SEC가 Regulation NMS (전미시장제도규정) Rules 610 및 612의 개정을 만장일치로 채택하였다.</w:t>
      </w:r>
    </w:p>
    <w:p>
      <w:r>
        <w:t>[Source: SEC, "SEC Adopts Rules to Amend Minimum Pricing Increments and Access Fee Caps", Press Release 2024-137, September 2024, accessed 2026-04-06]</w:t>
      </w:r>
    </w:p>
    <w:p>
      <w:r>
        <w:t>변경 요약:</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요소</w:t>
            </w:r>
          </w:p>
        </w:tc>
        <w:tc>
          <w:tcPr>
            <w:tcW w:type="dxa" w:w="2880"/>
          </w:tcPr>
          <w:p>
            <w:pPr/>
            <w:r>
              <w:rPr>
                <w:b/>
                <w:sz w:val="18"/>
              </w:rPr>
              <w:t>이전 규칙</w:t>
            </w:r>
          </w:p>
        </w:tc>
        <w:tc>
          <w:tcPr>
            <w:tcW w:type="dxa" w:w="2880"/>
          </w:tcPr>
          <w:p>
            <w:pPr/>
            <w:r>
              <w:rPr>
                <w:b/>
                <w:sz w:val="18"/>
              </w:rPr>
              <w:t>새 규칙 (2026년 11월 시행)</w:t>
            </w:r>
          </w:p>
        </w:tc>
      </w:tr>
      <w:tr>
        <w:tc>
          <w:tcPr>
            <w:tcW w:type="dxa" w:w="2880"/>
          </w:tcPr>
          <w:p>
            <w:pPr/>
            <w:r>
              <w:rPr>
                <w:sz w:val="18"/>
              </w:rPr>
              <w:t>최소 호가단위(최소가격변동폭) (고스프레드 종목, TWAQS &gt; $0.015)</w:t>
            </w:r>
          </w:p>
        </w:tc>
        <w:tc>
          <w:tcPr>
            <w:tcW w:type="dxa" w:w="2880"/>
          </w:tcPr>
          <w:p>
            <w:pPr/>
            <w:r>
              <w:rPr>
                <w:sz w:val="18"/>
              </w:rPr>
              <w:t>$0.01</w:t>
            </w:r>
          </w:p>
        </w:tc>
        <w:tc>
          <w:tcPr>
            <w:tcW w:type="dxa" w:w="2880"/>
          </w:tcPr>
          <w:p>
            <w:pPr/>
            <w:r>
              <w:rPr>
                <w:sz w:val="18"/>
              </w:rPr>
              <w:t>$0.01 (변경 없음)</w:t>
            </w:r>
          </w:p>
        </w:tc>
      </w:tr>
      <w:tr>
        <w:tc>
          <w:tcPr>
            <w:tcW w:type="dxa" w:w="2880"/>
          </w:tcPr>
          <w:p>
            <w:pPr/>
            <w:r>
              <w:rPr>
                <w:sz w:val="18"/>
              </w:rPr>
              <w:t>최소 호가단위(최소가격변동폭) (저스프레드 종목, TWAQS &lt;= $0.015)</w:t>
            </w:r>
          </w:p>
        </w:tc>
        <w:tc>
          <w:tcPr>
            <w:tcW w:type="dxa" w:w="2880"/>
          </w:tcPr>
          <w:p>
            <w:pPr/>
            <w:r>
              <w:rPr>
                <w:sz w:val="18"/>
              </w:rPr>
              <w:t>$0.01</w:t>
            </w:r>
          </w:p>
        </w:tc>
        <w:tc>
          <w:tcPr>
            <w:tcW w:type="dxa" w:w="2880"/>
          </w:tcPr>
          <w:p>
            <w:pPr/>
            <w:r>
              <w:rPr>
                <w:sz w:val="18"/>
              </w:rPr>
              <w:t>**$0.005 (반페니)**</w:t>
            </w:r>
          </w:p>
        </w:tc>
      </w:tr>
      <w:tr>
        <w:tc>
          <w:tcPr>
            <w:tcW w:type="dxa" w:w="2880"/>
          </w:tcPr>
          <w:p>
            <w:pPr/>
            <w:r>
              <w:rPr>
                <w:sz w:val="18"/>
              </w:rPr>
              <w:t>접근수수료 상한</w:t>
            </w:r>
          </w:p>
        </w:tc>
        <w:tc>
          <w:tcPr>
            <w:tcW w:type="dxa" w:w="2880"/>
          </w:tcPr>
          <w:p>
            <w:pPr/>
            <w:r>
              <w:rPr>
                <w:sz w:val="18"/>
              </w:rPr>
              <w:t>$0.003/주 (30 mils)</w:t>
            </w:r>
          </w:p>
        </w:tc>
        <w:tc>
          <w:tcPr>
            <w:tcW w:type="dxa" w:w="2880"/>
          </w:tcPr>
          <w:p>
            <w:pPr/>
            <w:r>
              <w:rPr>
                <w:sz w:val="18"/>
              </w:rPr>
              <w:t>**$0.001/주 (10 mils)**</w:t>
            </w:r>
          </w:p>
        </w:tc>
      </w:tr>
      <w:tr>
        <w:tc>
          <w:tcPr>
            <w:tcW w:type="dxa" w:w="2880"/>
          </w:tcPr>
          <w:p>
            <w:pPr/>
            <w:r>
              <w:rPr>
                <w:sz w:val="18"/>
              </w:rPr>
              <w:t>매매단위(Round lot) 정의</w:t>
            </w:r>
          </w:p>
        </w:tc>
        <w:tc>
          <w:tcPr>
            <w:tcW w:type="dxa" w:w="2880"/>
          </w:tcPr>
          <w:p>
            <w:pPr/>
            <w:r>
              <w:rPr>
                <w:sz w:val="18"/>
              </w:rPr>
              <w:t>100주 (일률적)</w:t>
            </w:r>
          </w:p>
        </w:tc>
        <w:tc>
          <w:tcPr>
            <w:tcW w:type="dxa" w:w="2880"/>
          </w:tcPr>
          <w:p>
            <w:pPr/>
            <w:r>
              <w:rPr>
                <w:sz w:val="18"/>
              </w:rPr>
              <w:t>가격단계별 (MDI 규칙 참조)</w:t>
            </w:r>
          </w:p>
        </w:tc>
      </w:tr>
      <w:tr>
        <w:tc>
          <w:tcPr>
            <w:tcW w:type="dxa" w:w="2880"/>
          </w:tcPr>
          <w:p>
            <w:pPr/>
            <w:r>
              <w:rPr>
                <w:sz w:val="18"/>
              </w:rPr>
              <w:t>단주 투명성</w:t>
            </w:r>
          </w:p>
        </w:tc>
        <w:tc>
          <w:tcPr>
            <w:tcW w:type="dxa" w:w="2880"/>
          </w:tcPr>
          <w:p>
            <w:pPr/>
            <w:r>
              <w:rPr>
                <w:sz w:val="18"/>
              </w:rPr>
              <w:t>불요</w:t>
            </w:r>
          </w:p>
        </w:tc>
        <w:tc>
          <w:tcPr>
            <w:tcW w:type="dxa" w:w="2880"/>
          </w:tcPr>
          <w:p>
            <w:pPr/>
            <w:r>
              <w:rPr>
                <w:sz w:val="18"/>
              </w:rPr>
              <w:t>NBBO 이상의 단주 호가를 배포해야 함</w:t>
            </w:r>
          </w:p>
        </w:tc>
      </w:tr>
      <w:tr>
        <w:tc>
          <w:tcPr>
            <w:tcW w:type="dxa" w:w="2880"/>
          </w:tcPr>
          <w:p>
            <w:pPr/>
            <w:r>
              <w:rPr>
                <w:sz w:val="18"/>
              </w:rPr>
              <w:t>호가단위(최소가격변동폭) 재평가</w:t>
            </w:r>
          </w:p>
        </w:tc>
        <w:tc>
          <w:tcPr>
            <w:tcW w:type="dxa" w:w="2880"/>
          </w:tcPr>
          <w:p>
            <w:pPr/>
            <w:r>
              <w:rPr>
                <w:sz w:val="18"/>
              </w:rPr>
              <w:t>없음</w:t>
            </w:r>
          </w:p>
        </w:tc>
        <w:tc>
          <w:tcPr>
            <w:tcW w:type="dxa" w:w="2880"/>
          </w:tcPr>
          <w:p>
            <w:pPr/>
            <w:r>
              <w:rPr>
                <w:sz w:val="18"/>
              </w:rPr>
              <w:t>**반기(5월, 11월, 3개월 TWAQS 평가 기준)**</w:t>
            </w:r>
          </w:p>
        </w:tc>
      </w:tr>
    </w:tbl>
    <w:p/>
    <w:p>
      <w:r>
        <w:t>시행 일정:</w:t>
      </w:r>
    </w:p>
    <w:p>
      <w:pPr>
        <w:pStyle w:val="ListBullet"/>
      </w:pPr>
      <w:r>
        <w:t>2024년 9월 18일: 규칙 채택</w:t>
      </w:r>
    </w:p>
    <w:p>
      <w:pPr>
        <w:pStyle w:val="ListBullet"/>
      </w:pPr>
      <w:r>
        <w:t>2025년 10월 14일: D.C. 순회법원이 규칙을 유지하고 업계의 심사 청원을 기각</w:t>
      </w:r>
    </w:p>
    <w:p>
      <w:pPr>
        <w:pStyle w:val="ListBullet"/>
      </w:pPr>
      <w:r>
        <w:t>2025년 10월 31일: SEC가 호가단위 및 접근수수료 시행을 2025년 11월 3일에서 2026년 11월 첫 영업일로 연기하는 면제 명령 발행</w:t>
      </w:r>
    </w:p>
    <w:p>
      <w:pPr>
        <w:pStyle w:val="ListBullet"/>
      </w:pPr>
      <w:r>
        <w:t>2026년 5월: 매매단위/단주 정의 시행일 (연기되지 않음)</w:t>
      </w:r>
    </w:p>
    <w:p>
      <w:pPr>
        <w:pStyle w:val="ListBullet"/>
      </w:pPr>
      <w:r>
        <w:t>2026년 11월: 호가단위(최소가격변동폭) 및 접근수수료 시행일</w:t>
      </w:r>
    </w:p>
    <w:p>
      <w:r>
        <w:t>[Source: Sidley Austin, "D.C. Circuit Upholds SEC Tick Size/Fee-Cap Rule", October 2025, accessed 2026-04-06]</w:t>
      </w:r>
    </w:p>
    <w:p>
      <w:r>
        <w:t>[Source: SEC, "SEC Issues Exemptive Order Regarding Compliance with Certain Rules Under Regulation NMS", Press Release 2025-130, October 2025, accessed 2026-04-06]</w:t>
      </w:r>
    </w:p>
    <w:p>
      <w:pPr>
        <w:pStyle w:val="Heading3"/>
      </w:pPr>
      <w:r>
        <w:t>8.3 최선집행의무(Best Execution) 및 PFOF 제안 — 철회 (2025년 6월)</w:t>
      </w:r>
    </w:p>
    <w:p>
      <w:r>
        <w:t>SEC는 Gary Gensler 위원장 하에서 2022년 12월과 2023년 초에 네 가지 주요 주식시장 구조 개혁을 제안하였다:</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제안</w:t>
            </w:r>
          </w:p>
        </w:tc>
        <w:tc>
          <w:tcPr>
            <w:tcW w:type="dxa" w:w="2880"/>
          </w:tcPr>
          <w:p>
            <w:pPr/>
            <w:r>
              <w:rPr>
                <w:b/>
                <w:sz w:val="18"/>
              </w:rPr>
              <w:t>설명</w:t>
            </w:r>
          </w:p>
        </w:tc>
        <w:tc>
          <w:tcPr>
            <w:tcW w:type="dxa" w:w="2880"/>
          </w:tcPr>
          <w:p>
            <w:pPr/>
            <w:r>
              <w:rPr>
                <w:b/>
                <w:sz w:val="18"/>
              </w:rPr>
              <w:t>현황 (2026년 4월 기준)</w:t>
            </w:r>
          </w:p>
        </w:tc>
      </w:tr>
      <w:tr>
        <w:tc>
          <w:tcPr>
            <w:tcW w:type="dxa" w:w="2880"/>
          </w:tcPr>
          <w:p>
            <w:pPr/>
            <w:r>
              <w:rPr>
                <w:sz w:val="18"/>
              </w:rPr>
              <w:t>Regulation Best Execution (Rules 1100-1102)</w:t>
            </w:r>
          </w:p>
        </w:tc>
        <w:tc>
          <w:tcPr>
            <w:tcW w:type="dxa" w:w="2880"/>
          </w:tcPr>
          <w:p>
            <w:pPr/>
            <w:r>
              <w:rPr>
                <w:sz w:val="18"/>
              </w:rPr>
              <w:t>연방 최선집행의무(Best Execution) 기준; 이해상충 거래(PFOF, 자기매매)에 대한 강화된 의무</w:t>
            </w:r>
          </w:p>
        </w:tc>
        <w:tc>
          <w:tcPr>
            <w:tcW w:type="dxa" w:w="2880"/>
          </w:tcPr>
          <w:p>
            <w:pPr/>
            <w:r>
              <w:rPr>
                <w:sz w:val="18"/>
              </w:rPr>
              <w:t>**철회됨** (2025년 6월 12일)</w:t>
            </w:r>
          </w:p>
        </w:tc>
      </w:tr>
      <w:tr>
        <w:tc>
          <w:tcPr>
            <w:tcW w:type="dxa" w:w="2880"/>
          </w:tcPr>
          <w:p>
            <w:pPr/>
            <w:r>
              <w:rPr>
                <w:sz w:val="18"/>
              </w:rPr>
              <w:t>Order Competition Rule (Rule 615)</w:t>
            </w:r>
          </w:p>
        </w:tc>
        <w:tc>
          <w:tcPr>
            <w:tcW w:type="dxa" w:w="2880"/>
          </w:tcPr>
          <w:p>
            <w:pPr/>
            <w:r>
              <w:rPr>
                <w:sz w:val="18"/>
              </w:rPr>
              <w:t>특정 소매 주문이 적격 경매에서 주문별 경쟁에 노출될 것을 요구</w:t>
            </w:r>
          </w:p>
        </w:tc>
        <w:tc>
          <w:tcPr>
            <w:tcW w:type="dxa" w:w="2880"/>
          </w:tcPr>
          <w:p>
            <w:pPr/>
            <w:r>
              <w:rPr>
                <w:sz w:val="18"/>
              </w:rPr>
              <w:t>**철회됨** (2025년 6월 12일)</w:t>
            </w:r>
          </w:p>
        </w:tc>
      </w:tr>
      <w:tr>
        <w:tc>
          <w:tcPr>
            <w:tcW w:type="dxa" w:w="2880"/>
          </w:tcPr>
          <w:p>
            <w:pPr/>
            <w:r>
              <w:rPr>
                <w:sz w:val="18"/>
              </w:rPr>
              <w:t>Regulation NMS (전미시장제도규정) 개정 (호가단위/접근수수료)</w:t>
            </w:r>
          </w:p>
        </w:tc>
        <w:tc>
          <w:tcPr>
            <w:tcW w:type="dxa" w:w="2880"/>
          </w:tcPr>
          <w:p>
            <w:pPr/>
            <w:r>
              <w:rPr>
                <w:sz w:val="18"/>
              </w:rPr>
              <w:t>가변 호가단위(최소가격변동폭), 낮은 접근수수료 상한</w:t>
            </w:r>
          </w:p>
        </w:tc>
        <w:tc>
          <w:tcPr>
            <w:tcW w:type="dxa" w:w="2880"/>
          </w:tcPr>
          <w:p>
            <w:pPr/>
            <w:r>
              <w:rPr>
                <w:sz w:val="18"/>
              </w:rPr>
              <w:t>**채택됨** (2024년 9월)</w:t>
            </w:r>
          </w:p>
        </w:tc>
      </w:tr>
      <w:tr>
        <w:tc>
          <w:tcPr>
            <w:tcW w:type="dxa" w:w="2880"/>
          </w:tcPr>
          <w:p>
            <w:pPr/>
            <w:r>
              <w:rPr>
                <w:sz w:val="18"/>
              </w:rPr>
              <w:t>Rule 605 개정 (체결 품질 공시)</w:t>
            </w:r>
          </w:p>
        </w:tc>
        <w:tc>
          <w:tcPr>
            <w:tcW w:type="dxa" w:w="2880"/>
          </w:tcPr>
          <w:p>
            <w:pPr/>
            <w:r>
              <w:rPr>
                <w:sz w:val="18"/>
              </w:rPr>
              <w:t>현대화된 체결 품질 통계; 브로커-딜러까지 확대 적용</w:t>
            </w:r>
          </w:p>
        </w:tc>
        <w:tc>
          <w:tcPr>
            <w:tcW w:type="dxa" w:w="2880"/>
          </w:tcPr>
          <w:p>
            <w:pPr/>
            <w:r>
              <w:rPr>
                <w:sz w:val="18"/>
              </w:rPr>
              <w:t>**채택됨** (2024년 3월)</w:t>
            </w:r>
          </w:p>
        </w:tc>
      </w:tr>
    </w:tbl>
    <w:p/>
    <w:p>
      <w:r>
        <w:t>2025년 6월 12일, SEC (2025년 트럼프 대통령이 지명한 Paul Atkins 위원장 하에서)는 Regulation Best Execution (최선집행의무 규정)과 Order Competition Rule을 포함한 14개 미결 규칙 제안을 공식 철회하였다. 이 주제에 대한 향후 규칙제정은 새로운 제안과 의견수렴 기간으로 처음부터 시작해야 한다.</w:t>
      </w:r>
    </w:p>
    <w:p>
      <w:r>
        <w:t>[Source: SEC, "Regulation Best Execution — Withdrawal", June 2025, accessed 2026-04-06]</w:t>
      </w:r>
    </w:p>
    <w:p>
      <w:r>
        <w:t>[Source: Proskauer, "SEC Formally Withdraws Fourteen Rule Proposals", June 2025, accessed 2026-04-06]</w:t>
      </w:r>
    </w:p>
    <w:p>
      <w:r>
        <w:t>PFOF 현황:</w:t>
      </w:r>
    </w:p>
    <w:p>
      <w:pPr>
        <w:pStyle w:val="ListBullet"/>
      </w:pPr>
      <w:r>
        <w:t>주문흐름대가(Payment for Order Flow)는 2026년 4월 기준 미국에서 합법이다</w:t>
      </w:r>
    </w:p>
    <w:p>
      <w:pPr>
        <w:pStyle w:val="ListBullet"/>
      </w:pPr>
      <w:r>
        <w:t>EU는 금융상품시장지침 II (MiFID II) 개혁에 따라 2026년 중반까지 PFOF를 단계적으로 폐지하기로 합의</w:t>
      </w:r>
    </w:p>
    <w:p>
      <w:pPr>
        <w:pStyle w:val="ListBullet"/>
      </w:pPr>
      <w:r>
        <w:t>SEC의 2022년 12월 Order Competition Rule은 소매 주문에 대한 경매 노출을 요구하여(간접적으로 PFOF를 겨냥) 2025년 6월에 철회됨</w:t>
      </w:r>
    </w:p>
    <w:p>
      <w:pPr>
        <w:pStyle w:val="ListBullet"/>
      </w:pPr>
      <w:r>
        <w:t>FINRA는 기존 프레임워크 하에서 브로커-딜러의 최선집행의무(Best Execution) 및 주문 라우팅 공시를 계속 감시</w:t>
      </w:r>
    </w:p>
    <w:p>
      <w:pPr>
        <w:pStyle w:val="Heading3"/>
      </w:pPr>
      <w:r>
        <w:t>8.4 Rule 605 개정 (체결 품질 공시)</w:t>
      </w:r>
    </w:p>
    <w:p>
      <w:r>
        <w:t>2024년 3월에 채택된 Regulation NMS (전미시장제도규정) Rule 605 개정은 체결 품질 보고를 현대화한다:</w:t>
      </w:r>
    </w:p>
    <w:p>
      <w:pPr>
        <w:pStyle w:val="ListBullet"/>
      </w:pPr>
      <w:r>
        <w:t>적용 범위 확대: 시장센터뿐만 아니라 브로커-딜러(도매업자 포함)도 월별 체결 품질 통계를 공표할 것을 요구</w:t>
      </w:r>
    </w:p>
    <w:p>
      <w:pPr>
        <w:pStyle w:val="ListBullet"/>
      </w:pPr>
      <w:r>
        <w:t>강화된 지표: 유효/호가 스프레드 비율, 크기 개선, 체결률 등 새로운 통계 척도 포함</w:t>
      </w:r>
    </w:p>
    <w:p>
      <w:pPr>
        <w:pStyle w:val="ListBullet"/>
      </w:pPr>
      <w:r>
        <w:t>주문 크기 분류: 현대 매매 패턴을 반영하여 갱신 (소수점 이하 주식 및 단주 포함)</w:t>
      </w:r>
    </w:p>
    <w:p>
      <w:pPr>
        <w:pStyle w:val="ListBullet"/>
      </w:pPr>
      <w:r>
        <w:t>시행: 시장센터는 2026년 초; 브로커-딜러는 2026년까지 단계적 도입 [추정]</w:t>
      </w:r>
    </w:p>
    <w:p>
      <w:pPr>
        <w:pStyle w:val="Heading3"/>
      </w:pPr>
      <w:r>
        <w:t>8.5 통합테이프 및 시장데이터 개혁 (2024-2027)</w:t>
      </w:r>
    </w:p>
    <w:p>
      <w:r>
        <w:t>세부사항은 제4.2절(CT Plan 개혁) 참조. 주요 일정:</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일자</w:t>
            </w:r>
          </w:p>
        </w:tc>
        <w:tc>
          <w:tcPr>
            <w:tcW w:type="dxa" w:w="4320"/>
          </w:tcPr>
          <w:p>
            <w:pPr/>
            <w:r>
              <w:rPr>
                <w:b/>
                <w:sz w:val="18"/>
              </w:rPr>
              <w:t>사건</w:t>
            </w:r>
          </w:p>
        </w:tc>
      </w:tr>
      <w:tr>
        <w:tc>
          <w:tcPr>
            <w:tcW w:type="dxa" w:w="4320"/>
          </w:tcPr>
          <w:p>
            <w:pPr/>
            <w:r>
              <w:rPr>
                <w:sz w:val="18"/>
              </w:rPr>
              <w:t>2020년 12월</w:t>
            </w:r>
          </w:p>
        </w:tc>
        <w:tc>
          <w:tcPr>
            <w:tcW w:type="dxa" w:w="4320"/>
          </w:tcPr>
          <w:p>
            <w:pPr/>
            <w:r>
              <w:rPr>
                <w:sz w:val="18"/>
              </w:rPr>
              <w:t>MDI 규칙 채택</w:t>
            </w:r>
          </w:p>
        </w:tc>
      </w:tr>
      <w:tr>
        <w:tc>
          <w:tcPr>
            <w:tcW w:type="dxa" w:w="4320"/>
          </w:tcPr>
          <w:p>
            <w:pPr/>
            <w:r>
              <w:rPr>
                <w:sz w:val="18"/>
              </w:rPr>
              <w:t>2024년 11월</w:t>
            </w:r>
          </w:p>
        </w:tc>
        <w:tc>
          <w:tcPr>
            <w:tcW w:type="dxa" w:w="4320"/>
          </w:tcPr>
          <w:p>
            <w:pPr/>
            <w:r>
              <w:rPr>
                <w:sz w:val="18"/>
              </w:rPr>
              <w:t>CT Plan SEC 승인</w:t>
            </w:r>
          </w:p>
        </w:tc>
      </w:tr>
      <w:tr>
        <w:tc>
          <w:tcPr>
            <w:tcW w:type="dxa" w:w="4320"/>
          </w:tcPr>
          <w:p>
            <w:pPr/>
            <w:r>
              <w:rPr>
                <w:sz w:val="18"/>
              </w:rPr>
              <w:t>2026년 5월</w:t>
            </w:r>
          </w:p>
        </w:tc>
        <w:tc>
          <w:tcPr>
            <w:tcW w:type="dxa" w:w="4320"/>
          </w:tcPr>
          <w:p>
            <w:pPr/>
            <w:r>
              <w:rPr>
                <w:sz w:val="18"/>
              </w:rPr>
              <w:t>매매단위 / 단주 정의 시행</w:t>
            </w:r>
          </w:p>
        </w:tc>
      </w:tr>
      <w:tr>
        <w:tc>
          <w:tcPr>
            <w:tcW w:type="dxa" w:w="4320"/>
          </w:tcPr>
          <w:p>
            <w:pPr/>
            <w:r>
              <w:rPr>
                <w:sz w:val="18"/>
              </w:rPr>
              <w:t>2026년 11월</w:t>
            </w:r>
          </w:p>
        </w:tc>
        <w:tc>
          <w:tcPr>
            <w:tcW w:type="dxa" w:w="4320"/>
          </w:tcPr>
          <w:p>
            <w:pPr/>
            <w:r>
              <w:rPr>
                <w:sz w:val="18"/>
              </w:rPr>
              <w:t>호가단위(최소가격변동폭) / 접근수수료 시행</w:t>
            </w:r>
          </w:p>
        </w:tc>
      </w:tr>
      <w:tr>
        <w:tc>
          <w:tcPr>
            <w:tcW w:type="dxa" w:w="4320"/>
          </w:tcPr>
          <w:p>
            <w:pPr/>
            <w:r>
              <w:rPr>
                <w:sz w:val="18"/>
              </w:rPr>
              <w:t>2027년 4월</w:t>
            </w:r>
          </w:p>
        </w:tc>
        <w:tc>
          <w:tcPr>
            <w:tcW w:type="dxa" w:w="4320"/>
          </w:tcPr>
          <w:p>
            <w:pPr/>
            <w:r>
              <w:rPr>
                <w:sz w:val="18"/>
              </w:rPr>
              <w:t>CT Plan 전면 시행; CTA/CQ 및 UTP 계획 종료</w:t>
            </w:r>
          </w:p>
        </w:tc>
      </w:tr>
      <w:tr>
        <w:tc>
          <w:tcPr>
            <w:tcW w:type="dxa" w:w="4320"/>
          </w:tcPr>
          <w:p>
            <w:pPr/>
            <w:r>
              <w:rPr>
                <w:sz w:val="18"/>
              </w:rPr>
              <w:t>2028년 5월</w:t>
            </w:r>
          </w:p>
        </w:tc>
        <w:tc>
          <w:tcPr>
            <w:tcW w:type="dxa" w:w="4320"/>
          </w:tcPr>
          <w:p>
            <w:pPr/>
            <w:r>
              <w:rPr>
                <w:sz w:val="18"/>
              </w:rPr>
              <w:t>단주 호가잔량 데이터 배포 (면제 승인 시)</w:t>
            </w:r>
          </w:p>
        </w:tc>
      </w:tr>
    </w:tbl>
    <w:p/>
    <w:p>
      <w:pPr>
        <w:pStyle w:val="Heading3"/>
      </w:pPr>
      <w:r>
        <w:t>8.6 기타 주요 규제 동향 (2021-2026)</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연도</w:t>
            </w:r>
          </w:p>
        </w:tc>
        <w:tc>
          <w:tcPr>
            <w:tcW w:type="dxa" w:w="2880"/>
          </w:tcPr>
          <w:p>
            <w:pPr/>
            <w:r>
              <w:rPr>
                <w:b/>
                <w:sz w:val="18"/>
              </w:rPr>
              <w:t>동향</w:t>
            </w:r>
          </w:p>
        </w:tc>
        <w:tc>
          <w:tcPr>
            <w:tcW w:type="dxa" w:w="2880"/>
          </w:tcPr>
          <w:p>
            <w:pPr/>
            <w:r>
              <w:rPr>
                <w:b/>
                <w:sz w:val="18"/>
              </w:rPr>
              <w:t>설명</w:t>
            </w:r>
          </w:p>
        </w:tc>
      </w:tr>
      <w:tr>
        <w:tc>
          <w:tcPr>
            <w:tcW w:type="dxa" w:w="2880"/>
          </w:tcPr>
          <w:p>
            <w:pPr/>
            <w:r>
              <w:rPr>
                <w:sz w:val="18"/>
              </w:rPr>
              <w:t>2021</w:t>
            </w:r>
          </w:p>
        </w:tc>
        <w:tc>
          <w:tcPr>
            <w:tcW w:type="dxa" w:w="2880"/>
          </w:tcPr>
          <w:p>
            <w:pPr/>
            <w:r>
              <w:rPr>
                <w:sz w:val="18"/>
              </w:rPr>
              <w:t>GameStop / 밈주식(Meme Stock) 사건</w:t>
            </w:r>
          </w:p>
        </w:tc>
        <w:tc>
          <w:tcPr>
            <w:tcW w:type="dxa" w:w="2880"/>
          </w:tcPr>
          <w:p>
            <w:pPr/>
            <w:r>
              <w:rPr>
                <w:sz w:val="18"/>
              </w:rPr>
              <w:t>의회 청문회, SEC 시장구조 보고서(2021년 10월), PFOF·공매도 투명성·시장 인프라 개혁 제안으로 이어짐</w:t>
            </w:r>
          </w:p>
        </w:tc>
      </w:tr>
      <w:tr>
        <w:tc>
          <w:tcPr>
            <w:tcW w:type="dxa" w:w="2880"/>
          </w:tcPr>
          <w:p>
            <w:pPr/>
            <w:r>
              <w:rPr>
                <w:sz w:val="18"/>
              </w:rPr>
              <w:t>2022</w:t>
            </w:r>
          </w:p>
        </w:tc>
        <w:tc>
          <w:tcPr>
            <w:tcW w:type="dxa" w:w="2880"/>
          </w:tcPr>
          <w:p>
            <w:pPr/>
            <w:r>
              <w:rPr>
                <w:sz w:val="18"/>
              </w:rPr>
              <w:t>SEC 사모펀드 개혁</w:t>
            </w:r>
          </w:p>
        </w:tc>
        <w:tc>
          <w:tcPr>
            <w:tcW w:type="dxa" w:w="2880"/>
          </w:tcPr>
          <w:p>
            <w:pPr/>
            <w:r>
              <w:rPr>
                <w:sz w:val="18"/>
              </w:rPr>
              <w:t>사모펀드의 보고 및 공시 강화 (주식 자본형성에 영향)</w:t>
            </w:r>
          </w:p>
        </w:tc>
      </w:tr>
      <w:tr>
        <w:tc>
          <w:tcPr>
            <w:tcW w:type="dxa" w:w="2880"/>
          </w:tcPr>
          <w:p>
            <w:pPr/>
            <w:r>
              <w:rPr>
                <w:sz w:val="18"/>
              </w:rPr>
              <w:t>2023</w:t>
            </w:r>
          </w:p>
        </w:tc>
        <w:tc>
          <w:tcPr>
            <w:tcW w:type="dxa" w:w="2880"/>
          </w:tcPr>
          <w:p>
            <w:pPr/>
            <w:r>
              <w:rPr>
                <w:sz w:val="18"/>
              </w:rPr>
              <w:t>Rule 13f-2 / Form SHO 채택</w:t>
            </w:r>
          </w:p>
        </w:tc>
        <w:tc>
          <w:tcPr>
            <w:tcW w:type="dxa" w:w="2880"/>
          </w:tcPr>
          <w:p>
            <w:pPr/>
            <w:r>
              <w:rPr>
                <w:sz w:val="18"/>
              </w:rPr>
              <w:t>기관투자자의 공매도 포지션 보고 (시행 2028년으로 연기)</w:t>
            </w:r>
          </w:p>
        </w:tc>
      </w:tr>
      <w:tr>
        <w:tc>
          <w:tcPr>
            <w:tcW w:type="dxa" w:w="2880"/>
          </w:tcPr>
          <w:p>
            <w:pPr/>
            <w:r>
              <w:rPr>
                <w:sz w:val="18"/>
              </w:rPr>
              <w:t>2023</w:t>
            </w:r>
          </w:p>
        </w:tc>
        <w:tc>
          <w:tcPr>
            <w:tcW w:type="dxa" w:w="2880"/>
          </w:tcPr>
          <w:p>
            <w:pPr/>
            <w:r>
              <w:rPr>
                <w:sz w:val="18"/>
              </w:rPr>
              <w:t>SEC 기후 공시 규칙</w:t>
            </w:r>
          </w:p>
        </w:tc>
        <w:tc>
          <w:tcPr>
            <w:tcW w:type="dxa" w:w="2880"/>
          </w:tcPr>
          <w:p>
            <w:pPr/>
            <w:r>
              <w:rPr>
                <w:sz w:val="18"/>
              </w:rPr>
              <w:t>채택 후 보류; 상장기업의 기후 관련 공시를 요구 (2025년 기준 법원에 의해 정지)</w:t>
            </w:r>
          </w:p>
        </w:tc>
      </w:tr>
      <w:tr>
        <w:tc>
          <w:tcPr>
            <w:tcW w:type="dxa" w:w="2880"/>
          </w:tcPr>
          <w:p>
            <w:pPr/>
            <w:r>
              <w:rPr>
                <w:sz w:val="18"/>
              </w:rPr>
              <w:t>2024</w:t>
            </w:r>
          </w:p>
        </w:tc>
        <w:tc>
          <w:tcPr>
            <w:tcW w:type="dxa" w:w="2880"/>
          </w:tcPr>
          <w:p>
            <w:pPr/>
            <w:r>
              <w:rPr>
                <w:sz w:val="18"/>
              </w:rPr>
              <w:t>T+1 결제주기(Settlement Cycle)</w:t>
            </w:r>
          </w:p>
        </w:tc>
        <w:tc>
          <w:tcPr>
            <w:tcW w:type="dxa" w:w="2880"/>
          </w:tcPr>
          <w:p>
            <w:pPr/>
            <w:r>
              <w:rPr>
                <w:sz w:val="18"/>
              </w:rPr>
              <w:t>표준 결제주기를 T+2에서 T+1로 단축 (2024년 5월 28일 시행)</w:t>
            </w:r>
          </w:p>
        </w:tc>
      </w:tr>
      <w:tr>
        <w:tc>
          <w:tcPr>
            <w:tcW w:type="dxa" w:w="2880"/>
          </w:tcPr>
          <w:p>
            <w:pPr/>
            <w:r>
              <w:rPr>
                <w:sz w:val="18"/>
              </w:rPr>
              <w:t>2024</w:t>
            </w:r>
          </w:p>
        </w:tc>
        <w:tc>
          <w:tcPr>
            <w:tcW w:type="dxa" w:w="2880"/>
          </w:tcPr>
          <w:p>
            <w:pPr/>
            <w:r>
              <w:rPr>
                <w:sz w:val="18"/>
              </w:rPr>
              <w:t>호가단위(최소가격변동폭) / 접근수수료 규칙 채택</w:t>
            </w:r>
          </w:p>
        </w:tc>
        <w:tc>
          <w:tcPr>
            <w:tcW w:type="dxa" w:w="2880"/>
          </w:tcPr>
          <w:p>
            <w:pPr/>
            <w:r>
              <w:rPr>
                <w:sz w:val="18"/>
              </w:rPr>
              <w:t>가변 호가단위와 낮은 접근수수료 상한 (시행 2026년 11월로 연기)</w:t>
            </w:r>
          </w:p>
        </w:tc>
      </w:tr>
      <w:tr>
        <w:tc>
          <w:tcPr>
            <w:tcW w:type="dxa" w:w="2880"/>
          </w:tcPr>
          <w:p>
            <w:pPr/>
            <w:r>
              <w:rPr>
                <w:sz w:val="18"/>
              </w:rPr>
              <w:t>2024</w:t>
            </w:r>
          </w:p>
        </w:tc>
        <w:tc>
          <w:tcPr>
            <w:tcW w:type="dxa" w:w="2880"/>
          </w:tcPr>
          <w:p>
            <w:pPr/>
            <w:r>
              <w:rPr>
                <w:sz w:val="18"/>
              </w:rPr>
              <w:t>Rule 605 개정</w:t>
            </w:r>
          </w:p>
        </w:tc>
        <w:tc>
          <w:tcPr>
            <w:tcW w:type="dxa" w:w="2880"/>
          </w:tcPr>
          <w:p>
            <w:pPr/>
            <w:r>
              <w:rPr>
                <w:sz w:val="18"/>
              </w:rPr>
              <w:t>강화된 체결 품질 공시 요건</w:t>
            </w:r>
          </w:p>
        </w:tc>
      </w:tr>
      <w:tr>
        <w:tc>
          <w:tcPr>
            <w:tcW w:type="dxa" w:w="2880"/>
          </w:tcPr>
          <w:p>
            <w:pPr/>
            <w:r>
              <w:rPr>
                <w:sz w:val="18"/>
              </w:rPr>
              <w:t>2024</w:t>
            </w:r>
          </w:p>
        </w:tc>
        <w:tc>
          <w:tcPr>
            <w:tcW w:type="dxa" w:w="2880"/>
          </w:tcPr>
          <w:p>
            <w:pPr/>
            <w:r>
              <w:rPr>
                <w:sz w:val="18"/>
              </w:rPr>
              <w:t>CT Plan 승인</w:t>
            </w:r>
          </w:p>
        </w:tc>
        <w:tc>
          <w:tcPr>
            <w:tcW w:type="dxa" w:w="2880"/>
          </w:tcPr>
          <w:p>
            <w:pPr/>
            <w:r>
              <w:rPr>
                <w:sz w:val="18"/>
              </w:rPr>
              <w:t>CTA/CQ 및 UTP 계획을 대체하는 단일 통합테이프 계획</w:t>
            </w:r>
          </w:p>
        </w:tc>
      </w:tr>
      <w:tr>
        <w:tc>
          <w:tcPr>
            <w:tcW w:type="dxa" w:w="2880"/>
          </w:tcPr>
          <w:p>
            <w:pPr/>
            <w:r>
              <w:rPr>
                <w:sz w:val="18"/>
              </w:rPr>
              <w:t>2025</w:t>
            </w:r>
          </w:p>
        </w:tc>
        <w:tc>
          <w:tcPr>
            <w:tcW w:type="dxa" w:w="2880"/>
          </w:tcPr>
          <w:p>
            <w:pPr/>
            <w:r>
              <w:rPr>
                <w:sz w:val="18"/>
              </w:rPr>
              <w:t>SEC 지도부 교체</w:t>
            </w:r>
          </w:p>
        </w:tc>
        <w:tc>
          <w:tcPr>
            <w:tcW w:type="dxa" w:w="2880"/>
          </w:tcPr>
          <w:p>
            <w:pPr/>
            <w:r>
              <w:rPr>
                <w:sz w:val="18"/>
              </w:rPr>
              <w:t>Paul Atkins, SEC 위원장 취임 (2025년 4월); 규제완화 기조로 전환</w:t>
            </w:r>
          </w:p>
        </w:tc>
      </w:tr>
      <w:tr>
        <w:tc>
          <w:tcPr>
            <w:tcW w:type="dxa" w:w="2880"/>
          </w:tcPr>
          <w:p>
            <w:pPr/>
            <w:r>
              <w:rPr>
                <w:sz w:val="18"/>
              </w:rPr>
              <w:t>2025</w:t>
            </w:r>
          </w:p>
        </w:tc>
        <w:tc>
          <w:tcPr>
            <w:tcW w:type="dxa" w:w="2880"/>
          </w:tcPr>
          <w:p>
            <w:pPr/>
            <w:r>
              <w:rPr>
                <w:sz w:val="18"/>
              </w:rPr>
              <w:t>14건의 규칙 제안 철회</w:t>
            </w:r>
          </w:p>
        </w:tc>
        <w:tc>
          <w:tcPr>
            <w:tcW w:type="dxa" w:w="2880"/>
          </w:tcPr>
          <w:p>
            <w:pPr/>
            <w:r>
              <w:rPr>
                <w:sz w:val="18"/>
              </w:rPr>
              <w:t>Regulation Best Execution (최선집행의무 규정) 및 Order Competition Rule 포함</w:t>
            </w:r>
          </w:p>
        </w:tc>
      </w:tr>
      <w:tr>
        <w:tc>
          <w:tcPr>
            <w:tcW w:type="dxa" w:w="2880"/>
          </w:tcPr>
          <w:p>
            <w:pPr/>
            <w:r>
              <w:rPr>
                <w:sz w:val="18"/>
              </w:rPr>
              <w:t>2025</w:t>
            </w:r>
          </w:p>
        </w:tc>
        <w:tc>
          <w:tcPr>
            <w:tcW w:type="dxa" w:w="2880"/>
          </w:tcPr>
          <w:p>
            <w:pPr/>
            <w:r>
              <w:rPr>
                <w:sz w:val="18"/>
              </w:rPr>
              <w:t>CAT 자금 분쟁</w:t>
            </w:r>
          </w:p>
        </w:tc>
        <w:tc>
          <w:tcPr>
            <w:tcW w:type="dxa" w:w="2880"/>
          </w:tcPr>
          <w:p>
            <w:pPr/>
            <w:r>
              <w:rPr>
                <w:sz w:val="18"/>
              </w:rPr>
              <w:t>제11순회법원이 SEC의 CAT 자금 조달 명령 무효화; Citadel Securities 소송</w:t>
            </w:r>
          </w:p>
        </w:tc>
      </w:tr>
      <w:tr>
        <w:tc>
          <w:tcPr>
            <w:tcW w:type="dxa" w:w="2880"/>
          </w:tcPr>
          <w:p>
            <w:pPr/>
            <w:r>
              <w:rPr>
                <w:sz w:val="18"/>
              </w:rPr>
              <w:t>2025</w:t>
            </w:r>
          </w:p>
        </w:tc>
        <w:tc>
          <w:tcPr>
            <w:tcW w:type="dxa" w:w="2880"/>
          </w:tcPr>
          <w:p>
            <w:pPr/>
            <w:r>
              <w:rPr>
                <w:sz w:val="18"/>
              </w:rPr>
              <w:t>FPI 개념공개</w:t>
            </w:r>
          </w:p>
        </w:tc>
        <w:tc>
          <w:tcPr>
            <w:tcW w:type="dxa" w:w="2880"/>
          </w:tcPr>
          <w:p>
            <w:pPr/>
            <w:r>
              <w:rPr>
                <w:sz w:val="18"/>
              </w:rPr>
              <w:t>SEC가 외국민간발행인 정의의 잠재적 변경에 대한 의견 수렴</w:t>
            </w:r>
          </w:p>
        </w:tc>
      </w:tr>
      <w:tr>
        <w:tc>
          <w:tcPr>
            <w:tcW w:type="dxa" w:w="2880"/>
          </w:tcPr>
          <w:p>
            <w:pPr/>
            <w:r>
              <w:rPr>
                <w:sz w:val="18"/>
              </w:rPr>
              <w:t>2025</w:t>
            </w:r>
          </w:p>
        </w:tc>
        <w:tc>
          <w:tcPr>
            <w:tcW w:type="dxa" w:w="2880"/>
          </w:tcPr>
          <w:p>
            <w:pPr/>
            <w:r>
              <w:rPr>
                <w:sz w:val="18"/>
              </w:rPr>
              <w:t>FINRA 합헌성 유지</w:t>
            </w:r>
          </w:p>
        </w:tc>
        <w:tc>
          <w:tcPr>
            <w:tcW w:type="dxa" w:w="2880"/>
          </w:tcPr>
          <w:p>
            <w:pPr/>
            <w:r>
              <w:rPr>
                <w:sz w:val="18"/>
              </w:rPr>
              <w:t>연방대법원이 FINRA의 규제 권한에 대한 이의제기 심리 거부</w:t>
            </w:r>
          </w:p>
        </w:tc>
      </w:tr>
      <w:tr>
        <w:tc>
          <w:tcPr>
            <w:tcW w:type="dxa" w:w="2880"/>
          </w:tcPr>
          <w:p>
            <w:pPr/>
            <w:r>
              <w:rPr>
                <w:sz w:val="18"/>
              </w:rPr>
              <w:t>2025</w:t>
            </w:r>
          </w:p>
        </w:tc>
        <w:tc>
          <w:tcPr>
            <w:tcW w:type="dxa" w:w="2880"/>
          </w:tcPr>
          <w:p>
            <w:pPr/>
            <w:r>
              <w:rPr>
                <w:sz w:val="18"/>
              </w:rPr>
              <w:t>NYSE Texas 출범</w:t>
            </w:r>
          </w:p>
        </w:tc>
        <w:tc>
          <w:tcPr>
            <w:tcW w:type="dxa" w:w="2880"/>
          </w:tcPr>
          <w:p>
            <w:pPr/>
            <w:r>
              <w:rPr>
                <w:sz w:val="18"/>
              </w:rPr>
              <w:t>NYSE Chicago가 Dallas로 이전하고 브랜드 변경 (2025년 3월)</w:t>
            </w:r>
          </w:p>
        </w:tc>
      </w:tr>
      <w:tr>
        <w:tc>
          <w:tcPr>
            <w:tcW w:type="dxa" w:w="2880"/>
          </w:tcPr>
          <w:p>
            <w:pPr/>
            <w:r>
              <w:rPr>
                <w:sz w:val="18"/>
              </w:rPr>
              <w:t>2025</w:t>
            </w:r>
          </w:p>
        </w:tc>
        <w:tc>
          <w:tcPr>
            <w:tcW w:type="dxa" w:w="2880"/>
          </w:tcPr>
          <w:p>
            <w:pPr/>
            <w:r>
              <w:rPr>
                <w:sz w:val="18"/>
              </w:rPr>
              <w:t>NYSE 22시간 매매</w:t>
            </w:r>
          </w:p>
        </w:tc>
        <w:tc>
          <w:tcPr>
            <w:tcW w:type="dxa" w:w="2880"/>
          </w:tcPr>
          <w:p>
            <w:pPr/>
            <w:r>
              <w:rPr>
                <w:sz w:val="18"/>
              </w:rPr>
              <w:t>NYSE Arca가 1일 22시간(1:30 AM - 11:30 PM ET) 매매 계획 발표 [미확인 — 시행 상태 불확실]</w:t>
            </w:r>
          </w:p>
        </w:tc>
      </w:tr>
    </w:tbl>
    <w:p/>
    <w:p>
      <w:r>
        <w:t>────────────────────────────────────────────────────────────</w:t>
      </w:r>
    </w:p>
    <w:p>
      <w:pPr>
        <w:pStyle w:val="Heading2"/>
      </w:pPr>
      <w:r>
        <w:t>9. 한국 프레임워크와의 비교 (Comparison with Korean Framework)</w:t>
      </w:r>
    </w:p>
    <w:p>
      <w:pPr>
        <w:pStyle w:val="Heading3"/>
      </w:pPr>
      <w:r>
        <w:t>9.1 규제 구조 비교 (Regulatory Structure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측면</w:t>
            </w:r>
          </w:p>
        </w:tc>
        <w:tc>
          <w:tcPr>
            <w:tcW w:type="dxa" w:w="2880"/>
          </w:tcPr>
          <w:p>
            <w:pPr/>
            <w:r>
              <w:rPr>
                <w:b/>
                <w:sz w:val="18"/>
              </w:rPr>
              <w:t>미국</w:t>
            </w:r>
          </w:p>
        </w:tc>
        <w:tc>
          <w:tcPr>
            <w:tcW w:type="dxa" w:w="2880"/>
          </w:tcPr>
          <w:p>
            <w:pPr/>
            <w:r>
              <w:rPr>
                <w:b/>
                <w:sz w:val="18"/>
              </w:rPr>
              <w:t>한국</w:t>
            </w:r>
          </w:p>
        </w:tc>
      </w:tr>
      <w:tr>
        <w:tc>
          <w:tcPr>
            <w:tcW w:type="dxa" w:w="2880"/>
          </w:tcPr>
          <w:p>
            <w:pPr/>
            <w:r>
              <w:rPr>
                <w:sz w:val="18"/>
              </w:rPr>
              <w:t>**주요 규제기관**</w:t>
            </w:r>
          </w:p>
        </w:tc>
        <w:tc>
          <w:tcPr>
            <w:tcW w:type="dxa" w:w="2880"/>
          </w:tcPr>
          <w:p>
            <w:pPr/>
            <w:r>
              <w:rPr>
                <w:sz w:val="18"/>
              </w:rPr>
              <w:t>SEC (독립 연방기관)</w:t>
            </w:r>
          </w:p>
        </w:tc>
        <w:tc>
          <w:tcPr>
            <w:tcW w:type="dxa" w:w="2880"/>
          </w:tcPr>
          <w:p>
            <w:pPr/>
            <w:r>
              <w:rPr>
                <w:sz w:val="18"/>
              </w:rPr>
              <w:t>FSC (금융위원회) — 국무총리 소속 정부기관</w:t>
            </w:r>
          </w:p>
        </w:tc>
      </w:tr>
      <w:tr>
        <w:tc>
          <w:tcPr>
            <w:tcW w:type="dxa" w:w="2880"/>
          </w:tcPr>
          <w:p>
            <w:pPr/>
            <w:r>
              <w:rPr>
                <w:sz w:val="18"/>
              </w:rPr>
              <w:t>**감독/검사 기구**</w:t>
            </w:r>
          </w:p>
        </w:tc>
        <w:tc>
          <w:tcPr>
            <w:tcW w:type="dxa" w:w="2880"/>
          </w:tcPr>
          <w:p>
            <w:pPr/>
            <w:r>
              <w:rPr>
                <w:sz w:val="18"/>
              </w:rPr>
              <w:t>SEC (OCIE) + FINRA (브로커-딜러)</w:t>
            </w:r>
          </w:p>
        </w:tc>
        <w:tc>
          <w:tcPr>
            <w:tcW w:type="dxa" w:w="2880"/>
          </w:tcPr>
          <w:p>
            <w:pPr/>
            <w:r>
              <w:rPr>
                <w:sz w:val="18"/>
              </w:rPr>
              <w:t>FSS (금융감독원) — FSC의 집행기관</w:t>
            </w:r>
          </w:p>
        </w:tc>
      </w:tr>
      <w:tr>
        <w:tc>
          <w:tcPr>
            <w:tcW w:type="dxa" w:w="2880"/>
          </w:tcPr>
          <w:p>
            <w:pPr/>
            <w:r>
              <w:rPr>
                <w:sz w:val="18"/>
              </w:rPr>
              <w:t>**브로커-딜러 SRO**</w:t>
            </w:r>
          </w:p>
        </w:tc>
        <w:tc>
          <w:tcPr>
            <w:tcW w:type="dxa" w:w="2880"/>
          </w:tcPr>
          <w:p>
            <w:pPr/>
            <w:r>
              <w:rPr>
                <w:sz w:val="18"/>
              </w:rPr>
              <w:t>FINRA (민간 비영리 SRO)</w:t>
            </w:r>
          </w:p>
        </w:tc>
        <w:tc>
          <w:tcPr>
            <w:tcW w:type="dxa" w:w="2880"/>
          </w:tcPr>
          <w:p>
            <w:pPr/>
            <w:r>
              <w:rPr>
                <w:sz w:val="18"/>
              </w:rPr>
              <w:t>동등한 SRO 없음; FSS가 증권사를 직접 감독</w:t>
            </w:r>
          </w:p>
        </w:tc>
      </w:tr>
      <w:tr>
        <w:tc>
          <w:tcPr>
            <w:tcW w:type="dxa" w:w="2880"/>
          </w:tcPr>
          <w:p>
            <w:pPr/>
            <w:r>
              <w:rPr>
                <w:sz w:val="18"/>
              </w:rPr>
              <w:t>**거래소 운영자**</w:t>
            </w:r>
          </w:p>
        </w:tc>
        <w:tc>
          <w:tcPr>
            <w:tcW w:type="dxa" w:w="2880"/>
          </w:tcPr>
          <w:p>
            <w:pPr/>
            <w:r>
              <w:rPr>
                <w:sz w:val="18"/>
              </w:rPr>
              <w:t>다수의 경쟁 거래소 (NYSE, Nasdaq, Cboe, IEX, MEMX 등) — 각각 별도의 SRO</w:t>
            </w:r>
          </w:p>
        </w:tc>
        <w:tc>
          <w:tcPr>
            <w:tcW w:type="dxa" w:w="2880"/>
          </w:tcPr>
          <w:p>
            <w:pPr/>
            <w:r>
              <w:rPr>
                <w:sz w:val="18"/>
              </w:rPr>
              <w:t>**KRX (한국거래소)** — KOSPI, KOSDAQ, KONEX 시장을 운영하는 단일·통합 거래소</w:t>
            </w:r>
          </w:p>
        </w:tc>
      </w:tr>
      <w:tr>
        <w:tc>
          <w:tcPr>
            <w:tcW w:type="dxa" w:w="2880"/>
          </w:tcPr>
          <w:p>
            <w:pPr/>
            <w:r>
              <w:rPr>
                <w:sz w:val="18"/>
              </w:rPr>
              <w:t>**거래소 SRO 지위**</w:t>
            </w:r>
          </w:p>
        </w:tc>
        <w:tc>
          <w:tcPr>
            <w:tcW w:type="dxa" w:w="2880"/>
          </w:tcPr>
          <w:p>
            <w:pPr/>
            <w:r>
              <w:rPr>
                <w:sz w:val="18"/>
              </w:rPr>
              <w:t>각 거래소가 규제 의무를 가진 SRO</w:t>
            </w:r>
          </w:p>
        </w:tc>
        <w:tc>
          <w:tcPr>
            <w:tcW w:type="dxa" w:w="2880"/>
          </w:tcPr>
          <w:p>
            <w:pPr/>
            <w:r>
              <w:rPr>
                <w:sz w:val="18"/>
              </w:rPr>
              <w:t>KRX가 시장감시 및 상장사 관리 기능을 수행하나 미국 의미의 완전한 SRO는 아님</w:t>
            </w:r>
          </w:p>
        </w:tc>
      </w:tr>
      <w:tr>
        <w:tc>
          <w:tcPr>
            <w:tcW w:type="dxa" w:w="2880"/>
          </w:tcPr>
          <w:p>
            <w:pPr/>
            <w:r>
              <w:rPr>
                <w:sz w:val="18"/>
              </w:rPr>
              <w:t>**집행**</w:t>
            </w:r>
          </w:p>
        </w:tc>
        <w:tc>
          <w:tcPr>
            <w:tcW w:type="dxa" w:w="2880"/>
          </w:tcPr>
          <w:p>
            <w:pPr/>
            <w:r>
              <w:rPr>
                <w:sz w:val="18"/>
              </w:rPr>
              <w:t>SEC 집행부 (민사/행정); 법무부(DOJ) (형사)</w:t>
            </w:r>
          </w:p>
        </w:tc>
        <w:tc>
          <w:tcPr>
            <w:tcW w:type="dxa" w:w="2880"/>
          </w:tcPr>
          <w:p>
            <w:pPr/>
            <w:r>
              <w:rPr>
                <w:sz w:val="18"/>
              </w:rPr>
              <w:t>FSC/FSS 조사 → 검찰 기소 회부; FSC, FSS, KRX에 분산</w:t>
            </w:r>
          </w:p>
        </w:tc>
      </w:tr>
      <w:tr>
        <w:tc>
          <w:tcPr>
            <w:tcW w:type="dxa" w:w="2880"/>
          </w:tcPr>
          <w:p>
            <w:pPr/>
            <w:r>
              <w:rPr>
                <w:sz w:val="18"/>
              </w:rPr>
              <w:t>**분쟁해결**</w:t>
            </w:r>
          </w:p>
        </w:tc>
        <w:tc>
          <w:tcPr>
            <w:tcW w:type="dxa" w:w="2880"/>
          </w:tcPr>
          <w:p>
            <w:pPr/>
            <w:r>
              <w:rPr>
                <w:sz w:val="18"/>
              </w:rPr>
              <w:t>FINRA 중재/조정</w:t>
            </w:r>
          </w:p>
        </w:tc>
        <w:tc>
          <w:tcPr>
            <w:tcW w:type="dxa" w:w="2880"/>
          </w:tcPr>
          <w:p>
            <w:pPr/>
            <w:r>
              <w:rPr>
                <w:sz w:val="18"/>
              </w:rPr>
              <w:t>FSS 산하 금융분쟁조정위원회; 법원</w:t>
            </w:r>
          </w:p>
        </w:tc>
      </w:tr>
    </w:tbl>
    <w:p/>
    <w:p>
      <w:r>
        <w:t>[Source: FSC, "Introduction", fsc.go.kr, accessed 2026-04-06]</w:t>
      </w:r>
    </w:p>
    <w:p>
      <w:r>
        <w:t>[Source: Korea Herald, "Korea weighs SEC-style agency to tackle unfair trading", 2025, accessed 2026-04-06]</w:t>
      </w:r>
    </w:p>
    <w:p>
      <w:pPr>
        <w:pStyle w:val="Heading3"/>
      </w:pPr>
      <w:r>
        <w:t>9.2 시장구조 비교 (Market Structure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측면</w:t>
            </w:r>
          </w:p>
        </w:tc>
        <w:tc>
          <w:tcPr>
            <w:tcW w:type="dxa" w:w="2880"/>
          </w:tcPr>
          <w:p>
            <w:pPr/>
            <w:r>
              <w:rPr>
                <w:b/>
                <w:sz w:val="18"/>
              </w:rPr>
              <w:t>미국</w:t>
            </w:r>
          </w:p>
        </w:tc>
        <w:tc>
          <w:tcPr>
            <w:tcW w:type="dxa" w:w="2880"/>
          </w:tcPr>
          <w:p>
            <w:pPr/>
            <w:r>
              <w:rPr>
                <w:b/>
                <w:sz w:val="18"/>
              </w:rPr>
              <w:t>한국</w:t>
            </w:r>
          </w:p>
        </w:tc>
      </w:tr>
      <w:tr>
        <w:tc>
          <w:tcPr>
            <w:tcW w:type="dxa" w:w="2880"/>
          </w:tcPr>
          <w:p>
            <w:pPr/>
            <w:r>
              <w:rPr>
                <w:sz w:val="18"/>
              </w:rPr>
              <w:t>**거래소 수**</w:t>
            </w:r>
          </w:p>
        </w:tc>
        <w:tc>
          <w:tcPr>
            <w:tcW w:type="dxa" w:w="2880"/>
          </w:tcPr>
          <w:p>
            <w:pPr/>
            <w:r>
              <w:rPr>
                <w:sz w:val="18"/>
              </w:rPr>
              <w:t>16개 등록 국가증권거래소</w:t>
            </w:r>
          </w:p>
        </w:tc>
        <w:tc>
          <w:tcPr>
            <w:tcW w:type="dxa" w:w="2880"/>
          </w:tcPr>
          <w:p>
            <w:pPr/>
            <w:r>
              <w:rPr>
                <w:sz w:val="18"/>
              </w:rPr>
              <w:t>1개 (KRX — KOSPI, KOSDAQ, KONEX 운영)</w:t>
            </w:r>
          </w:p>
        </w:tc>
      </w:tr>
      <w:tr>
        <w:tc>
          <w:tcPr>
            <w:tcW w:type="dxa" w:w="2880"/>
          </w:tcPr>
          <w:p>
            <w:pPr/>
            <w:r>
              <w:rPr>
                <w:sz w:val="18"/>
              </w:rPr>
              <w:t>**시장 분산**</w:t>
            </w:r>
          </w:p>
        </w:tc>
        <w:tc>
          <w:tcPr>
            <w:tcW w:type="dxa" w:w="2880"/>
          </w:tcPr>
          <w:p>
            <w:pPr/>
            <w:r>
              <w:rPr>
                <w:sz w:val="18"/>
              </w:rPr>
              <w:t>고도로 분산: ~60% 거래소 거래, ~40% 장외 (ATS, 도매업자, OTC) [추정]</w:t>
            </w:r>
          </w:p>
        </w:tc>
        <w:tc>
          <w:tcPr>
            <w:tcW w:type="dxa" w:w="2880"/>
          </w:tcPr>
          <w:p>
            <w:pPr/>
            <w:r>
              <w:rPr>
                <w:sz w:val="18"/>
              </w:rPr>
              <w:t>집중: 사실상 모든 거래소 매매가 KRX에서 이루어짐; 제한적 장외시장 (K-OTC)</w:t>
            </w:r>
          </w:p>
        </w:tc>
      </w:tr>
      <w:tr>
        <w:tc>
          <w:tcPr>
            <w:tcW w:type="dxa" w:w="2880"/>
          </w:tcPr>
          <w:p>
            <w:pPr/>
            <w:r>
              <w:rPr>
                <w:sz w:val="18"/>
              </w:rPr>
              <w:t>**다크풀 / ATS**</w:t>
            </w:r>
          </w:p>
        </w:tc>
        <w:tc>
          <w:tcPr>
            <w:tcW w:type="dxa" w:w="2880"/>
          </w:tcPr>
          <w:p>
            <w:pPr/>
            <w:r>
              <w:rPr>
                <w:sz w:val="18"/>
              </w:rPr>
              <w:t>30-40개 이상의 활성 NMS 주식 ATS [추정]</w:t>
            </w:r>
          </w:p>
        </w:tc>
        <w:tc>
          <w:tcPr>
            <w:tcW w:type="dxa" w:w="2880"/>
          </w:tcPr>
          <w:p>
            <w:pPr/>
            <w:r>
              <w:rPr>
                <w:sz w:val="18"/>
              </w:rPr>
              <w:t>동등한 다크풀 시장 없음</w:t>
            </w:r>
          </w:p>
        </w:tc>
      </w:tr>
      <w:tr>
        <w:tc>
          <w:tcPr>
            <w:tcW w:type="dxa" w:w="2880"/>
          </w:tcPr>
          <w:p>
            <w:pPr/>
            <w:r>
              <w:rPr>
                <w:sz w:val="18"/>
              </w:rPr>
              <w:t>**주문 라우팅**</w:t>
            </w:r>
          </w:p>
        </w:tc>
        <w:tc>
          <w:tcPr>
            <w:tcW w:type="dxa" w:w="2880"/>
          </w:tcPr>
          <w:p>
            <w:pPr/>
            <w:r>
              <w:rPr>
                <w:sz w:val="18"/>
              </w:rPr>
              <w:t>최선집행의무(Best Execution)를 위해 스마트 주문 라우팅(SOR)이 필요한 복잡한 다수 장소 라우팅</w:t>
            </w:r>
          </w:p>
        </w:tc>
        <w:tc>
          <w:tcPr>
            <w:tcW w:type="dxa" w:w="2880"/>
          </w:tcPr>
          <w:p>
            <w:pPr/>
            <w:r>
              <w:rPr>
                <w:sz w:val="18"/>
              </w:rPr>
              <w:t>KRX로의 단일 장소 라우팅</w:t>
            </w:r>
          </w:p>
        </w:tc>
      </w:tr>
      <w:tr>
        <w:tc>
          <w:tcPr>
            <w:tcW w:type="dxa" w:w="2880"/>
          </w:tcPr>
          <w:p>
            <w:pPr/>
            <w:r>
              <w:rPr>
                <w:sz w:val="18"/>
              </w:rPr>
              <w:t>**통합테이프**</w:t>
            </w:r>
          </w:p>
        </w:tc>
        <w:tc>
          <w:tcPr>
            <w:tcW w:type="dxa" w:w="2880"/>
          </w:tcPr>
          <w:p>
            <w:pPr/>
            <w:r>
              <w:rPr>
                <w:sz w:val="18"/>
              </w:rPr>
              <w:t>SIP 시스템 (CTS/CQS, UTDF/UQDF)이 모든 장소의 데이터 집계</w:t>
            </w:r>
          </w:p>
        </w:tc>
        <w:tc>
          <w:tcPr>
            <w:tcW w:type="dxa" w:w="2880"/>
          </w:tcPr>
          <w:p>
            <w:pPr/>
            <w:r>
              <w:rPr>
                <w:sz w:val="18"/>
              </w:rPr>
              <w:t>KRX가 단일 통합 피드 제공 (별도 테이프 불필요)</w:t>
            </w:r>
          </w:p>
        </w:tc>
      </w:tr>
      <w:tr>
        <w:tc>
          <w:tcPr>
            <w:tcW w:type="dxa" w:w="2880"/>
          </w:tcPr>
          <w:p>
            <w:pPr/>
            <w:r>
              <w:rPr>
                <w:sz w:val="18"/>
              </w:rPr>
              <w:t>**거래시간**</w:t>
            </w:r>
          </w:p>
        </w:tc>
        <w:tc>
          <w:tcPr>
            <w:tcW w:type="dxa" w:w="2880"/>
          </w:tcPr>
          <w:p>
            <w:pPr/>
            <w:r>
              <w:rPr>
                <w:sz w:val="18"/>
              </w:rPr>
              <w:t>9:30 AM - 4:00 PM ET (일부 연장시간 / 22시간 제안)</w:t>
            </w:r>
          </w:p>
        </w:tc>
        <w:tc>
          <w:tcPr>
            <w:tcW w:type="dxa" w:w="2880"/>
          </w:tcPr>
          <w:p>
            <w:pPr/>
            <w:r>
              <w:rPr>
                <w:sz w:val="18"/>
              </w:rPr>
              <w:t>9:00 AM - 3:30 PM KST (프리마켓 8:00-9:00, 포스트마켓 3:40-4:00)</w:t>
            </w:r>
          </w:p>
        </w:tc>
      </w:tr>
      <w:tr>
        <w:tc>
          <w:tcPr>
            <w:tcW w:type="dxa" w:w="2880"/>
          </w:tcPr>
          <w:p>
            <w:pPr/>
            <w:r>
              <w:rPr>
                <w:sz w:val="18"/>
              </w:rPr>
              <w:t>**결제주기**</w:t>
            </w:r>
          </w:p>
        </w:tc>
        <w:tc>
          <w:tcPr>
            <w:tcW w:type="dxa" w:w="2880"/>
          </w:tcPr>
          <w:p>
            <w:pPr/>
            <w:r>
              <w:rPr>
                <w:sz w:val="18"/>
              </w:rPr>
              <w:t>T+1 (2024년 5월부터)</w:t>
            </w:r>
          </w:p>
        </w:tc>
        <w:tc>
          <w:tcPr>
            <w:tcW w:type="dxa" w:w="2880"/>
          </w:tcPr>
          <w:p>
            <w:pPr/>
            <w:r>
              <w:rPr>
                <w:sz w:val="18"/>
              </w:rPr>
              <w:t>T+2</w:t>
            </w:r>
          </w:p>
        </w:tc>
      </w:tr>
      <w:tr>
        <w:tc>
          <w:tcPr>
            <w:tcW w:type="dxa" w:w="2880"/>
          </w:tcPr>
          <w:p>
            <w:pPr/>
            <w:r>
              <w:rPr>
                <w:sz w:val="18"/>
              </w:rPr>
              <w:t>**시장조성자 제도**</w:t>
            </w:r>
          </w:p>
        </w:tc>
        <w:tc>
          <w:tcPr>
            <w:tcW w:type="dxa" w:w="2880"/>
          </w:tcPr>
          <w:p>
            <w:pPr/>
            <w:r>
              <w:rPr>
                <w:sz w:val="18"/>
              </w:rPr>
              <w:t>경쟁적 시장조성 (NYSE의 DMM; Nasdaq의 다수 시장조성자(마켓메이커))</w:t>
            </w:r>
          </w:p>
        </w:tc>
        <w:tc>
          <w:tcPr>
            <w:tcW w:type="dxa" w:w="2880"/>
          </w:tcPr>
          <w:p>
            <w:pPr/>
            <w:r>
              <w:rPr>
                <w:sz w:val="18"/>
              </w:rPr>
              <w:t>KOSDAQ의 제한적 시장조성자(마켓메이커) 제도; KOSPI의 경쟁적 경매 모델</w:t>
            </w:r>
          </w:p>
        </w:tc>
      </w:tr>
    </w:tbl>
    <w:p/>
    <w:p>
      <w:pPr>
        <w:pStyle w:val="Heading3"/>
      </w:pPr>
      <w:r>
        <w:t>9.3 서킷브레이커(매매거래중단) / 변동성 메커니즘 비교</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메커니즘</w:t>
            </w:r>
          </w:p>
        </w:tc>
        <w:tc>
          <w:tcPr>
            <w:tcW w:type="dxa" w:w="2880"/>
          </w:tcPr>
          <w:p>
            <w:pPr/>
            <w:r>
              <w:rPr>
                <w:b/>
                <w:sz w:val="18"/>
              </w:rPr>
              <w:t>미국</w:t>
            </w:r>
          </w:p>
        </w:tc>
        <w:tc>
          <w:tcPr>
            <w:tcW w:type="dxa" w:w="2880"/>
          </w:tcPr>
          <w:p>
            <w:pPr/>
            <w:r>
              <w:rPr>
                <w:b/>
                <w:sz w:val="18"/>
              </w:rPr>
              <w:t>한국 (KRX)</w:t>
            </w:r>
          </w:p>
        </w:tc>
      </w:tr>
      <w:tr>
        <w:tc>
          <w:tcPr>
            <w:tcW w:type="dxa" w:w="2880"/>
          </w:tcPr>
          <w:p>
            <w:pPr/>
            <w:r>
              <w:rPr>
                <w:sz w:val="18"/>
              </w:rPr>
              <w:t>**시장 전체 서킷브레이커(매매거래중단)**</w:t>
            </w:r>
          </w:p>
        </w:tc>
        <w:tc>
          <w:tcPr>
            <w:tcW w:type="dxa" w:w="2880"/>
          </w:tcPr>
          <w:p>
            <w:pPr/>
            <w:r>
              <w:rPr>
                <w:sz w:val="18"/>
              </w:rPr>
              <w:t>3단계: S&amp;P 500 7% / 13% / 20% 하락</w:t>
            </w:r>
          </w:p>
        </w:tc>
        <w:tc>
          <w:tcPr>
            <w:tcW w:type="dxa" w:w="2880"/>
          </w:tcPr>
          <w:p>
            <w:pPr/>
            <w:r>
              <w:rPr>
                <w:sz w:val="18"/>
              </w:rPr>
              <w:t>3단계: KOSPI 또는 KOSDAQ 지수 8% / 15% / 20% 하락</w:t>
            </w:r>
          </w:p>
        </w:tc>
      </w:tr>
      <w:tr>
        <w:tc>
          <w:tcPr>
            <w:tcW w:type="dxa" w:w="2880"/>
          </w:tcPr>
          <w:p>
            <w:pPr/>
            <w:r>
              <w:rPr>
                <w:sz w:val="18"/>
              </w:rPr>
              <w:t>**MWCB 중단 시간**</w:t>
            </w:r>
          </w:p>
        </w:tc>
        <w:tc>
          <w:tcPr>
            <w:tcW w:type="dxa" w:w="2880"/>
          </w:tcPr>
          <w:p>
            <w:pPr/>
            <w:r>
              <w:rPr>
                <w:sz w:val="18"/>
              </w:rPr>
              <w:t>Level 1 &amp; 2: 15분 (오후 3:25 이전); Level 3: 잔여 시간</w:t>
            </w:r>
          </w:p>
        </w:tc>
        <w:tc>
          <w:tcPr>
            <w:tcW w:type="dxa" w:w="2880"/>
          </w:tcPr>
          <w:p>
            <w:pPr/>
            <w:r>
              <w:rPr>
                <w:sz w:val="18"/>
              </w:rPr>
              <w:t>1단계: 20분 (주문접수 중단); 2단계: 20분; 3단계: 당일 폐장</w:t>
            </w:r>
          </w:p>
        </w:tc>
      </w:tr>
      <w:tr>
        <w:tc>
          <w:tcPr>
            <w:tcW w:type="dxa" w:w="2880"/>
          </w:tcPr>
          <w:p>
            <w:pPr/>
            <w:r>
              <w:rPr>
                <w:sz w:val="18"/>
              </w:rPr>
              <w:t>**MWCB 기준**</w:t>
            </w:r>
          </w:p>
        </w:tc>
        <w:tc>
          <w:tcPr>
            <w:tcW w:type="dxa" w:w="2880"/>
          </w:tcPr>
          <w:p>
            <w:pPr/>
            <w:r>
              <w:rPr>
                <w:sz w:val="18"/>
              </w:rPr>
              <w:t>전일 S&amp;P 500 종가</w:t>
            </w:r>
          </w:p>
        </w:tc>
        <w:tc>
          <w:tcPr>
            <w:tcW w:type="dxa" w:w="2880"/>
          </w:tcPr>
          <w:p>
            <w:pPr/>
            <w:r>
              <w:rPr>
                <w:sz w:val="18"/>
              </w:rPr>
              <w:t>전일 KOSPI/KOSDAQ 종가</w:t>
            </w:r>
          </w:p>
        </w:tc>
      </w:tr>
      <w:tr>
        <w:tc>
          <w:tcPr>
            <w:tcW w:type="dxa" w:w="2880"/>
          </w:tcPr>
          <w:p>
            <w:pPr/>
            <w:r>
              <w:rPr>
                <w:sz w:val="18"/>
              </w:rPr>
              <w:t>**개별종목 메커니즘**</w:t>
            </w:r>
          </w:p>
        </w:tc>
        <w:tc>
          <w:tcPr>
            <w:tcW w:type="dxa" w:w="2880"/>
          </w:tcPr>
          <w:p>
            <w:pPr/>
            <w:r>
              <w:rPr>
                <w:sz w:val="18"/>
              </w:rPr>
              <w:t>LULD (분류 및 시간에 따라 5%/10%/20% 범위)</w:t>
            </w:r>
          </w:p>
        </w:tc>
        <w:tc>
          <w:tcPr>
            <w:tcW w:type="dxa" w:w="2880"/>
          </w:tcPr>
          <w:p>
            <w:pPr/>
            <w:r>
              <w:rPr>
                <w:sz w:val="18"/>
              </w:rPr>
              <w:t>**변동성 완화장치 (VI)**: 정적 VI (전일종가 대비 10%)와 동적 VI (최근 체결 대비 급격한 가격변동); 2분간 냉각기간 + 단일가매매</w:t>
            </w:r>
          </w:p>
        </w:tc>
      </w:tr>
      <w:tr>
        <w:tc>
          <w:tcPr>
            <w:tcW w:type="dxa" w:w="2880"/>
          </w:tcPr>
          <w:p>
            <w:pPr/>
            <w:r>
              <w:rPr>
                <w:sz w:val="18"/>
              </w:rPr>
              <w:t>**프로그램매매 통제**</w:t>
            </w:r>
          </w:p>
        </w:tc>
        <w:tc>
          <w:tcPr>
            <w:tcW w:type="dxa" w:w="2880"/>
          </w:tcPr>
          <w:p>
            <w:pPr/>
            <w:r>
              <w:rPr>
                <w:sz w:val="18"/>
              </w:rPr>
              <w:t>미국에 동등한 메커니즘 없음</w:t>
            </w:r>
          </w:p>
        </w:tc>
        <w:tc>
          <w:tcPr>
            <w:tcW w:type="dxa" w:w="2880"/>
          </w:tcPr>
          <w:p>
            <w:pPr/>
            <w:r>
              <w:rPr>
                <w:sz w:val="18"/>
              </w:rPr>
              <w:t>**사이드카(Sidecar)**: KOSPI 200 선물이 5% 이상 변동 시 프로그램매매 주문을 5분간 정지</w:t>
            </w:r>
          </w:p>
        </w:tc>
      </w:tr>
      <w:tr>
        <w:tc>
          <w:tcPr>
            <w:tcW w:type="dxa" w:w="2880"/>
          </w:tcPr>
          <w:p>
            <w:pPr/>
            <w:r>
              <w:rPr>
                <w:sz w:val="18"/>
              </w:rPr>
              <w:t>**일일가격제한**</w:t>
            </w:r>
          </w:p>
        </w:tc>
        <w:tc>
          <w:tcPr>
            <w:tcW w:type="dxa" w:w="2880"/>
          </w:tcPr>
          <w:p>
            <w:pPr/>
            <w:r>
              <w:rPr>
                <w:sz w:val="18"/>
              </w:rPr>
              <w:t>없음 (미국은 LULD와 MWCB에 의존)</w:t>
            </w:r>
          </w:p>
        </w:tc>
        <w:tc>
          <w:tcPr>
            <w:tcW w:type="dxa" w:w="2880"/>
          </w:tcPr>
          <w:p>
            <w:pPr/>
            <w:r>
              <w:rPr>
                <w:sz w:val="18"/>
              </w:rPr>
              <w:t>전일종가 대비 **+/- 30%** 일일가격제한 (KOSPI 및 KOSDAQ)</w:t>
            </w:r>
          </w:p>
        </w:tc>
      </w:tr>
    </w:tbl>
    <w:p/>
    <w:p>
      <w:r>
        <w:t>[Source: Korea Times, "KRX issues circuit breaker on KOSPI trading", March 2026, accessed 2026-04-06]</w:t>
      </w:r>
    </w:p>
    <w:p>
      <w:pPr>
        <w:pStyle w:val="Heading3"/>
      </w:pPr>
      <w:r>
        <w:t>9.4 규제 절차 비교 (Regulatory Process Comparison)</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측면</w:t>
            </w:r>
          </w:p>
        </w:tc>
        <w:tc>
          <w:tcPr>
            <w:tcW w:type="dxa" w:w="2880"/>
          </w:tcPr>
          <w:p>
            <w:pPr/>
            <w:r>
              <w:rPr>
                <w:b/>
                <w:sz w:val="18"/>
              </w:rPr>
              <w:t>미국</w:t>
            </w:r>
          </w:p>
        </w:tc>
        <w:tc>
          <w:tcPr>
            <w:tcW w:type="dxa" w:w="2880"/>
          </w:tcPr>
          <w:p>
            <w:pPr/>
            <w:r>
              <w:rPr>
                <w:b/>
                <w:sz w:val="18"/>
              </w:rPr>
              <w:t>한국</w:t>
            </w:r>
          </w:p>
        </w:tc>
      </w:tr>
      <w:tr>
        <w:tc>
          <w:tcPr>
            <w:tcW w:type="dxa" w:w="2880"/>
          </w:tcPr>
          <w:p>
            <w:pPr/>
            <w:r>
              <w:rPr>
                <w:sz w:val="18"/>
              </w:rPr>
              <w:t>**규칙 제정**</w:t>
            </w:r>
          </w:p>
        </w:tc>
        <w:tc>
          <w:tcPr>
            <w:tcW w:type="dxa" w:w="2880"/>
          </w:tcPr>
          <w:p>
            <w:pPr/>
            <w:r>
              <w:rPr>
                <w:sz w:val="18"/>
              </w:rPr>
              <w:t>통지-의견수렴 절차 (규칙안 → 공개 의견 → 최종 규칙); SRO 규칙은 SEC 승인 필요</w:t>
            </w:r>
          </w:p>
        </w:tc>
        <w:tc>
          <w:tcPr>
            <w:tcW w:type="dxa" w:w="2880"/>
          </w:tcPr>
          <w:p>
            <w:pPr/>
            <w:r>
              <w:rPr>
                <w:sz w:val="18"/>
              </w:rPr>
              <w:t>FSC/FSS 규제 지시; KRX 규칙은 FSC 승인 필요</w:t>
            </w:r>
          </w:p>
        </w:tc>
      </w:tr>
      <w:tr>
        <w:tc>
          <w:tcPr>
            <w:tcW w:type="dxa" w:w="2880"/>
          </w:tcPr>
          <w:p>
            <w:pPr/>
            <w:r>
              <w:rPr>
                <w:sz w:val="18"/>
              </w:rPr>
              <w:t>**집행 속도**</w:t>
            </w:r>
          </w:p>
        </w:tc>
        <w:tc>
          <w:tcPr>
            <w:tcW w:type="dxa" w:w="2880"/>
          </w:tcPr>
          <w:p>
            <w:pPr/>
            <w:r>
              <w:rPr>
                <w:sz w:val="18"/>
              </w:rPr>
              <w:t>SEC가 비교적 신속하게 민사소송 가능; 평균 조사 기간 ~2-3년 [추정]</w:t>
            </w:r>
          </w:p>
        </w:tc>
        <w:tc>
          <w:tcPr>
            <w:tcW w:type="dxa" w:w="2880"/>
          </w:tcPr>
          <w:p>
            <w:pPr/>
            <w:r>
              <w:rPr>
                <w:sz w:val="18"/>
              </w:rPr>
              <w:t>FSC/FSS/KRX에 걸친 분산된 조사로 제재까지 ~1년, 법원 판결까지 최대 3년</w:t>
            </w:r>
          </w:p>
        </w:tc>
      </w:tr>
      <w:tr>
        <w:tc>
          <w:tcPr>
            <w:tcW w:type="dxa" w:w="2880"/>
          </w:tcPr>
          <w:p>
            <w:pPr/>
            <w:r>
              <w:rPr>
                <w:sz w:val="18"/>
              </w:rPr>
              <w:t>**시장감시**</w:t>
            </w:r>
          </w:p>
        </w:tc>
        <w:tc>
          <w:tcPr>
            <w:tcW w:type="dxa" w:w="2880"/>
          </w:tcPr>
          <w:p>
            <w:pPr/>
            <w:r>
              <w:rPr>
                <w:sz w:val="18"/>
              </w:rPr>
              <w:t>FINRA 교차시장 감시 + CAT</w:t>
            </w:r>
          </w:p>
        </w:tc>
        <w:tc>
          <w:tcPr>
            <w:tcW w:type="dxa" w:w="2880"/>
          </w:tcPr>
          <w:p>
            <w:pPr/>
            <w:r>
              <w:rPr>
                <w:sz w:val="18"/>
              </w:rPr>
              <w:t>KRX 시장감시부 + FSS 조사</w:t>
            </w:r>
          </w:p>
        </w:tc>
      </w:tr>
      <w:tr>
        <w:tc>
          <w:tcPr>
            <w:tcW w:type="dxa" w:w="2880"/>
          </w:tcPr>
          <w:p>
            <w:pPr/>
            <w:r>
              <w:rPr>
                <w:sz w:val="18"/>
              </w:rPr>
              <w:t>**감사추적**</w:t>
            </w:r>
          </w:p>
        </w:tc>
        <w:tc>
          <w:tcPr>
            <w:tcW w:type="dxa" w:w="2880"/>
          </w:tcPr>
          <w:p>
            <w:pPr/>
            <w:r>
              <w:rPr>
                <w:sz w:val="18"/>
              </w:rPr>
              <w:t>CAT (통합감사추적) — 포괄적, 모든 장소 포함</w:t>
            </w:r>
          </w:p>
        </w:tc>
        <w:tc>
          <w:tcPr>
            <w:tcW w:type="dxa" w:w="2880"/>
          </w:tcPr>
          <w:p>
            <w:pPr/>
            <w:r>
              <w:rPr>
                <w:sz w:val="18"/>
              </w:rPr>
              <w:t>KRX가 자체 플랫폼의 모든 주문에 대한 내부 감사추적 유지</w:t>
            </w:r>
          </w:p>
        </w:tc>
      </w:tr>
      <w:tr>
        <w:tc>
          <w:tcPr>
            <w:tcW w:type="dxa" w:w="2880"/>
          </w:tcPr>
          <w:p>
            <w:pPr/>
            <w:r>
              <w:rPr>
                <w:sz w:val="18"/>
              </w:rPr>
              <w:t>**투자자보호**</w:t>
            </w:r>
          </w:p>
        </w:tc>
        <w:tc>
          <w:tcPr>
            <w:tcW w:type="dxa" w:w="2880"/>
          </w:tcPr>
          <w:p>
            <w:pPr/>
            <w:r>
              <w:rPr>
                <w:sz w:val="18"/>
              </w:rPr>
              <w:t>SIPC (Securities Investor Protection Corporation) — 고객당 최대 $500,000</w:t>
            </w:r>
          </w:p>
        </w:tc>
        <w:tc>
          <w:tcPr>
            <w:tcW w:type="dxa" w:w="2880"/>
          </w:tcPr>
          <w:p>
            <w:pPr/>
            <w:r>
              <w:rPr>
                <w:sz w:val="18"/>
              </w:rPr>
              <w:t>투자자보호기금</w:t>
            </w:r>
          </w:p>
        </w:tc>
      </w:tr>
    </w:tbl>
    <w:p/>
    <w:p>
      <w:pPr>
        <w:pStyle w:val="Heading3"/>
      </w:pPr>
      <w:r>
        <w:t>9.5 한국의 진행 중인 개혁 논의 (Korea's Ongoing Reform Discussions)</w:t>
      </w:r>
    </w:p>
    <w:p>
      <w:r>
        <w:t>2025-2026년 현재, 한국은 금융규제 프레임워크의 재구성을 적극적으로 논의하고 있다:</w:t>
      </w:r>
    </w:p>
    <w:p>
      <w:pPr>
        <w:pStyle w:val="ListBullet"/>
      </w:pPr>
      <w:r>
        <w:t>SEC형 통합기관: 현행 FSC, FSS, KRX에 걸친 분산된 구조를 대체하여 불공정 금융거래에 대한 조사권과 기소권을 모두 가진 단일 기관(SEC와 유사)의 창설 제안</w:t>
      </w:r>
    </w:p>
    <w:p>
      <w:pPr>
        <w:pStyle w:val="ListBullet"/>
      </w:pPr>
      <w:r>
        <w:t>근거: SEC 모델의 "원스톱 시스템"은 주가조작 및 내부자거래에 대한 신속한 대응을 가능하게 함; 한국의 현행 절차는 여러 기관 간의 업무 이관으로 인한 절차적 지연이 발생</w:t>
      </w:r>
    </w:p>
    <w:p>
      <w:pPr>
        <w:pStyle w:val="ListBullet"/>
      </w:pPr>
      <w:r>
        <w:t>기업가치 제고 프로그램(Corporate Value-Up Program): "코리아 디스카운트" 해소를 위해 2024년에 출범 — 기업의 지배구조, 주주환원, 공시 개선을 장려 (일본의 유사 이니셔티브에서 영향)</w:t>
      </w:r>
    </w:p>
    <w:p>
      <w:r>
        <w:t>[Source: Korea Herald, "Korea weighs SEC-style agency to tackle unfair trading", 2025, accessed 2026-04-06]</w:t>
      </w:r>
    </w:p>
    <w:p>
      <w:r>
        <w:t>────────────────────────────────────────────────────────────</w:t>
      </w:r>
    </w:p>
    <w:p>
      <w:pPr>
        <w:pStyle w:val="Heading2"/>
      </w:pPr>
      <w:r>
        <w:t>부록 A: 주요 규제 참조 (Appendix A: Key Regulatory References)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규정 / 규칙</w:t>
            </w:r>
          </w:p>
        </w:tc>
        <w:tc>
          <w:tcPr>
            <w:tcW w:type="dxa" w:w="2880"/>
          </w:tcPr>
          <w:p>
            <w:pPr/>
            <w:r>
              <w:rPr>
                <w:b/>
                <w:sz w:val="18"/>
              </w:rPr>
              <w:t>인용</w:t>
            </w:r>
          </w:p>
        </w:tc>
        <w:tc>
          <w:tcPr>
            <w:tcW w:type="dxa" w:w="2880"/>
          </w:tcPr>
          <w:p>
            <w:pPr/>
            <w:r>
              <w:rPr>
                <w:b/>
                <w:sz w:val="18"/>
              </w:rPr>
              <w:t>연도</w:t>
            </w:r>
          </w:p>
        </w:tc>
      </w:tr>
      <w:tr>
        <w:tc>
          <w:tcPr>
            <w:tcW w:type="dxa" w:w="2880"/>
          </w:tcPr>
          <w:p>
            <w:pPr/>
            <w:r>
              <w:rPr>
                <w:sz w:val="18"/>
              </w:rPr>
              <w:t>Securities Act of 1933</w:t>
            </w:r>
          </w:p>
        </w:tc>
        <w:tc>
          <w:tcPr>
            <w:tcW w:type="dxa" w:w="2880"/>
          </w:tcPr>
          <w:p>
            <w:pPr/>
            <w:r>
              <w:rPr>
                <w:sz w:val="18"/>
              </w:rPr>
              <w:t>15 U.S.C. 77a et seq.</w:t>
            </w:r>
          </w:p>
        </w:tc>
        <w:tc>
          <w:tcPr>
            <w:tcW w:type="dxa" w:w="2880"/>
          </w:tcPr>
          <w:p>
            <w:pPr/>
            <w:r>
              <w:rPr>
                <w:sz w:val="18"/>
              </w:rPr>
              <w:t>1933</w:t>
            </w:r>
          </w:p>
        </w:tc>
      </w:tr>
      <w:tr>
        <w:tc>
          <w:tcPr>
            <w:tcW w:type="dxa" w:w="2880"/>
          </w:tcPr>
          <w:p>
            <w:pPr/>
            <w:r>
              <w:rPr>
                <w:sz w:val="18"/>
              </w:rPr>
              <w:t>Securities Exchange Act of 1934</w:t>
            </w:r>
          </w:p>
        </w:tc>
        <w:tc>
          <w:tcPr>
            <w:tcW w:type="dxa" w:w="2880"/>
          </w:tcPr>
          <w:p>
            <w:pPr/>
            <w:r>
              <w:rPr>
                <w:sz w:val="18"/>
              </w:rPr>
              <w:t>15 U.S.C. 78a et seq.</w:t>
            </w:r>
          </w:p>
        </w:tc>
        <w:tc>
          <w:tcPr>
            <w:tcW w:type="dxa" w:w="2880"/>
          </w:tcPr>
          <w:p>
            <w:pPr/>
            <w:r>
              <w:rPr>
                <w:sz w:val="18"/>
              </w:rPr>
              <w:t>1934</w:t>
            </w:r>
          </w:p>
        </w:tc>
      </w:tr>
      <w:tr>
        <w:tc>
          <w:tcPr>
            <w:tcW w:type="dxa" w:w="2880"/>
          </w:tcPr>
          <w:p>
            <w:pPr/>
            <w:r>
              <w:rPr>
                <w:sz w:val="18"/>
              </w:rPr>
              <w:t>Regulation NMS (전미시장제도규정)</w:t>
            </w:r>
          </w:p>
        </w:tc>
        <w:tc>
          <w:tcPr>
            <w:tcW w:type="dxa" w:w="2880"/>
          </w:tcPr>
          <w:p>
            <w:pPr/>
            <w:r>
              <w:rPr>
                <w:sz w:val="18"/>
              </w:rPr>
              <w:t>17 CFR 242.600-612</w:t>
            </w:r>
          </w:p>
        </w:tc>
        <w:tc>
          <w:tcPr>
            <w:tcW w:type="dxa" w:w="2880"/>
          </w:tcPr>
          <w:p>
            <w:pPr/>
            <w:r>
              <w:rPr>
                <w:sz w:val="18"/>
              </w:rPr>
              <w:t>2005 (2024년 개정)</w:t>
            </w:r>
          </w:p>
        </w:tc>
      </w:tr>
      <w:tr>
        <w:tc>
          <w:tcPr>
            <w:tcW w:type="dxa" w:w="2880"/>
          </w:tcPr>
          <w:p>
            <w:pPr/>
            <w:r>
              <w:rPr>
                <w:sz w:val="18"/>
              </w:rPr>
              <w:t>Regulation SHO</w:t>
            </w:r>
          </w:p>
        </w:tc>
        <w:tc>
          <w:tcPr>
            <w:tcW w:type="dxa" w:w="2880"/>
          </w:tcPr>
          <w:p>
            <w:pPr/>
            <w:r>
              <w:rPr>
                <w:sz w:val="18"/>
              </w:rPr>
              <w:t>17 CFR 242.200-204</w:t>
            </w:r>
          </w:p>
        </w:tc>
        <w:tc>
          <w:tcPr>
            <w:tcW w:type="dxa" w:w="2880"/>
          </w:tcPr>
          <w:p>
            <w:pPr/>
            <w:r>
              <w:rPr>
                <w:sz w:val="18"/>
              </w:rPr>
              <w:t>2004 (2010년 개정)</w:t>
            </w:r>
          </w:p>
        </w:tc>
      </w:tr>
      <w:tr>
        <w:tc>
          <w:tcPr>
            <w:tcW w:type="dxa" w:w="2880"/>
          </w:tcPr>
          <w:p>
            <w:pPr/>
            <w:r>
              <w:rPr>
                <w:sz w:val="18"/>
              </w:rPr>
              <w:t>Regulation ATS</w:t>
            </w:r>
          </w:p>
        </w:tc>
        <w:tc>
          <w:tcPr>
            <w:tcW w:type="dxa" w:w="2880"/>
          </w:tcPr>
          <w:p>
            <w:pPr/>
            <w:r>
              <w:rPr>
                <w:sz w:val="18"/>
              </w:rPr>
              <w:t>17 CFR 242.300-304</w:t>
            </w:r>
          </w:p>
        </w:tc>
        <w:tc>
          <w:tcPr>
            <w:tcW w:type="dxa" w:w="2880"/>
          </w:tcPr>
          <w:p>
            <w:pPr/>
            <w:r>
              <w:rPr>
                <w:sz w:val="18"/>
              </w:rPr>
              <w:t>1998 (2018년 개정)</w:t>
            </w:r>
          </w:p>
        </w:tc>
      </w:tr>
      <w:tr>
        <w:tc>
          <w:tcPr>
            <w:tcW w:type="dxa" w:w="2880"/>
          </w:tcPr>
          <w:p>
            <w:pPr/>
            <w:r>
              <w:rPr>
                <w:sz w:val="18"/>
              </w:rPr>
              <w:t>Dodd-Frank Act</w:t>
            </w:r>
          </w:p>
        </w:tc>
        <w:tc>
          <w:tcPr>
            <w:tcW w:type="dxa" w:w="2880"/>
          </w:tcPr>
          <w:p>
            <w:pPr/>
            <w:r>
              <w:rPr>
                <w:sz w:val="18"/>
              </w:rPr>
              <w:t>Pub. L. 111-203</w:t>
            </w:r>
          </w:p>
        </w:tc>
        <w:tc>
          <w:tcPr>
            <w:tcW w:type="dxa" w:w="2880"/>
          </w:tcPr>
          <w:p>
            <w:pPr/>
            <w:r>
              <w:rPr>
                <w:sz w:val="18"/>
              </w:rPr>
              <w:t>2010</w:t>
            </w:r>
          </w:p>
        </w:tc>
      </w:tr>
      <w:tr>
        <w:tc>
          <w:tcPr>
            <w:tcW w:type="dxa" w:w="2880"/>
          </w:tcPr>
          <w:p>
            <w:pPr/>
            <w:r>
              <w:rPr>
                <w:sz w:val="18"/>
              </w:rPr>
              <w:t>SEC Rule 613 (CAT)</w:t>
            </w:r>
          </w:p>
        </w:tc>
        <w:tc>
          <w:tcPr>
            <w:tcW w:type="dxa" w:w="2880"/>
          </w:tcPr>
          <w:p>
            <w:pPr/>
            <w:r>
              <w:rPr>
                <w:sz w:val="18"/>
              </w:rPr>
              <w:t>17 CFR 242.613</w:t>
            </w:r>
          </w:p>
        </w:tc>
        <w:tc>
          <w:tcPr>
            <w:tcW w:type="dxa" w:w="2880"/>
          </w:tcPr>
          <w:p>
            <w:pPr/>
            <w:r>
              <w:rPr>
                <w:sz w:val="18"/>
              </w:rPr>
              <w:t>2012</w:t>
            </w:r>
          </w:p>
        </w:tc>
      </w:tr>
      <w:tr>
        <w:tc>
          <w:tcPr>
            <w:tcW w:type="dxa" w:w="2880"/>
          </w:tcPr>
          <w:p>
            <w:pPr/>
            <w:r>
              <w:rPr>
                <w:sz w:val="18"/>
              </w:rPr>
              <w:t>LULD Plan</w:t>
            </w:r>
          </w:p>
        </w:tc>
        <w:tc>
          <w:tcPr>
            <w:tcW w:type="dxa" w:w="2880"/>
          </w:tcPr>
          <w:p>
            <w:pPr/>
            <w:r>
              <w:rPr>
                <w:sz w:val="18"/>
              </w:rPr>
              <w:t>NMS Plan (SEC 승인)</w:t>
            </w:r>
          </w:p>
        </w:tc>
        <w:tc>
          <w:tcPr>
            <w:tcW w:type="dxa" w:w="2880"/>
          </w:tcPr>
          <w:p>
            <w:pPr/>
            <w:r>
              <w:rPr>
                <w:sz w:val="18"/>
              </w:rPr>
              <w:t>2012 (2019년 영구화)</w:t>
            </w:r>
          </w:p>
        </w:tc>
      </w:tr>
      <w:tr>
        <w:tc>
          <w:tcPr>
            <w:tcW w:type="dxa" w:w="2880"/>
          </w:tcPr>
          <w:p>
            <w:pPr/>
            <w:r>
              <w:rPr>
                <w:sz w:val="18"/>
              </w:rPr>
              <w:t>Market Data Infrastructure Rule</w:t>
            </w:r>
          </w:p>
        </w:tc>
        <w:tc>
          <w:tcPr>
            <w:tcW w:type="dxa" w:w="2880"/>
          </w:tcPr>
          <w:p>
            <w:pPr/>
            <w:r>
              <w:rPr>
                <w:sz w:val="18"/>
              </w:rPr>
              <w:t>17 CFR 242.600 et seq.</w:t>
            </w:r>
          </w:p>
        </w:tc>
        <w:tc>
          <w:tcPr>
            <w:tcW w:type="dxa" w:w="2880"/>
          </w:tcPr>
          <w:p>
            <w:pPr/>
            <w:r>
              <w:rPr>
                <w:sz w:val="18"/>
              </w:rPr>
              <w:t>2020</w:t>
            </w:r>
          </w:p>
        </w:tc>
      </w:tr>
      <w:tr>
        <w:tc>
          <w:tcPr>
            <w:tcW w:type="dxa" w:w="2880"/>
          </w:tcPr>
          <w:p>
            <w:pPr/>
            <w:r>
              <w:rPr>
                <w:sz w:val="18"/>
              </w:rPr>
              <w:t>T+1 결제주기 규칙</w:t>
            </w:r>
          </w:p>
        </w:tc>
        <w:tc>
          <w:tcPr>
            <w:tcW w:type="dxa" w:w="2880"/>
          </w:tcPr>
          <w:p>
            <w:pPr/>
            <w:r>
              <w:rPr>
                <w:sz w:val="18"/>
              </w:rPr>
              <w:t>17 CFR 240.15c6-1</w:t>
            </w:r>
          </w:p>
        </w:tc>
        <w:tc>
          <w:tcPr>
            <w:tcW w:type="dxa" w:w="2880"/>
          </w:tcPr>
          <w:p>
            <w:pPr/>
            <w:r>
              <w:rPr>
                <w:sz w:val="18"/>
              </w:rPr>
              <w:t>2023 (2024년 5월 시행)</w:t>
            </w:r>
          </w:p>
        </w:tc>
      </w:tr>
      <w:tr>
        <w:tc>
          <w:tcPr>
            <w:tcW w:type="dxa" w:w="2880"/>
          </w:tcPr>
          <w:p>
            <w:pPr/>
            <w:r>
              <w:rPr>
                <w:sz w:val="18"/>
              </w:rPr>
              <w:t>Rule 13f-2 / Form SHO</w:t>
            </w:r>
          </w:p>
        </w:tc>
        <w:tc>
          <w:tcPr>
            <w:tcW w:type="dxa" w:w="2880"/>
          </w:tcPr>
          <w:p>
            <w:pPr/>
            <w:r>
              <w:rPr>
                <w:sz w:val="18"/>
              </w:rPr>
              <w:t>17 CFR 240.13f-2</w:t>
            </w:r>
          </w:p>
        </w:tc>
        <w:tc>
          <w:tcPr>
            <w:tcW w:type="dxa" w:w="2880"/>
          </w:tcPr>
          <w:p>
            <w:pPr/>
            <w:r>
              <w:rPr>
                <w:sz w:val="18"/>
              </w:rPr>
              <w:t>2023 (시행 2028년으로 연기)</w:t>
            </w:r>
          </w:p>
        </w:tc>
      </w:tr>
      <w:tr>
        <w:tc>
          <w:tcPr>
            <w:tcW w:type="dxa" w:w="2880"/>
          </w:tcPr>
          <w:p>
            <w:pPr/>
            <w:r>
              <w:rPr>
                <w:sz w:val="18"/>
              </w:rPr>
              <w:t>호가단위 / 접근수수료 개정</w:t>
            </w:r>
          </w:p>
        </w:tc>
        <w:tc>
          <w:tcPr>
            <w:tcW w:type="dxa" w:w="2880"/>
          </w:tcPr>
          <w:p>
            <w:pPr/>
            <w:r>
              <w:rPr>
                <w:sz w:val="18"/>
              </w:rPr>
              <w:t>17 CFR 242.610, 612</w:t>
            </w:r>
          </w:p>
        </w:tc>
        <w:tc>
          <w:tcPr>
            <w:tcW w:type="dxa" w:w="2880"/>
          </w:tcPr>
          <w:p>
            <w:pPr/>
            <w:r>
              <w:rPr>
                <w:sz w:val="18"/>
              </w:rPr>
              <w:t>2024 (시행 2026년 11월)</w:t>
            </w:r>
          </w:p>
        </w:tc>
      </w:tr>
      <w:tr>
        <w:tc>
          <w:tcPr>
            <w:tcW w:type="dxa" w:w="2880"/>
          </w:tcPr>
          <w:p>
            <w:pPr/>
            <w:r>
              <w:rPr>
                <w:sz w:val="18"/>
              </w:rPr>
              <w:t>CT Plan (신규)</w:t>
            </w:r>
          </w:p>
        </w:tc>
        <w:tc>
          <w:tcPr>
            <w:tcW w:type="dxa" w:w="2880"/>
          </w:tcPr>
          <w:p>
            <w:pPr/>
            <w:r>
              <w:rPr>
                <w:sz w:val="18"/>
              </w:rPr>
              <w:t>NMS Plan (SEC 승인)</w:t>
            </w:r>
          </w:p>
        </w:tc>
        <w:tc>
          <w:tcPr>
            <w:tcW w:type="dxa" w:w="2880"/>
          </w:tcPr>
          <w:p>
            <w:pPr/>
            <w:r>
              <w:rPr>
                <w:sz w:val="18"/>
              </w:rPr>
              <w:t>2024 (2027년 4월 시행)</w:t>
            </w:r>
          </w:p>
        </w:tc>
      </w:tr>
    </w:tbl>
    <w:p/>
    <w:p>
      <w:pPr>
        <w:pStyle w:val="Heading2"/>
      </w:pPr>
      <w:r>
        <w:t>부록 B: 주요 용어 해설 (Appendix B: Glossary of Key Terms)</w:t>
      </w:r>
    </w:p>
    <w:tbl>
      <w:tblPr>
        <w:tblStyle w:val="TableGrid"/>
        <w:tblW w:type="auto" w:w="0"/>
        <w:jc w:val="left"/>
        <w:tblLook w:firstColumn="1" w:firstRow="1" w:lastColumn="0" w:lastRow="0" w:noHBand="0" w:noVBand="1" w:val="04A0"/>
      </w:tblPr>
      <w:tblGrid>
        <w:gridCol w:w="4320"/>
        <w:gridCol w:w="4320"/>
      </w:tblGrid>
      <w:tr>
        <w:tc>
          <w:tcPr>
            <w:tcW w:type="dxa" w:w="4320"/>
          </w:tcPr>
          <w:p>
            <w:pPr/>
            <w:r>
              <w:rPr>
                <w:b/>
                <w:sz w:val="18"/>
              </w:rPr>
              <w:t>용어</w:t>
            </w:r>
          </w:p>
        </w:tc>
        <w:tc>
          <w:tcPr>
            <w:tcW w:type="dxa" w:w="4320"/>
          </w:tcPr>
          <w:p>
            <w:pPr/>
            <w:r>
              <w:rPr>
                <w:b/>
                <w:sz w:val="18"/>
              </w:rPr>
              <w:t>정의</w:t>
            </w:r>
          </w:p>
        </w:tc>
      </w:tr>
      <w:tr>
        <w:tc>
          <w:tcPr>
            <w:tcW w:type="dxa" w:w="4320"/>
          </w:tcPr>
          <w:p>
            <w:pPr/>
            <w:r>
              <w:rPr>
                <w:sz w:val="18"/>
              </w:rPr>
              <w:t>**ATS**</w:t>
            </w:r>
          </w:p>
        </w:tc>
        <w:tc>
          <w:tcPr>
            <w:tcW w:type="dxa" w:w="4320"/>
          </w:tcPr>
          <w:p>
            <w:pPr/>
            <w:r>
              <w:rPr>
                <w:sz w:val="18"/>
              </w:rPr>
              <w:t>대체거래시스템 — 브로커-딜러로 등록된 비거래소 거래장소</w:t>
            </w:r>
          </w:p>
        </w:tc>
      </w:tr>
      <w:tr>
        <w:tc>
          <w:tcPr>
            <w:tcW w:type="dxa" w:w="4320"/>
          </w:tcPr>
          <w:p>
            <w:pPr/>
            <w:r>
              <w:rPr>
                <w:sz w:val="18"/>
              </w:rPr>
              <w:t>**CAT**</w:t>
            </w:r>
          </w:p>
        </w:tc>
        <w:tc>
          <w:tcPr>
            <w:tcW w:type="dxa" w:w="4320"/>
          </w:tcPr>
          <w:p>
            <w:pPr/>
            <w:r>
              <w:rPr>
                <w:sz w:val="18"/>
              </w:rPr>
              <w:t>통합감사추적 — 모든 NMS 증권 활동을 추적하는 포괄적 저장소</w:t>
            </w:r>
          </w:p>
        </w:tc>
      </w:tr>
      <w:tr>
        <w:tc>
          <w:tcPr>
            <w:tcW w:type="dxa" w:w="4320"/>
          </w:tcPr>
          <w:p>
            <w:pPr/>
            <w:r>
              <w:rPr>
                <w:sz w:val="18"/>
              </w:rPr>
              <w:t>**CQS**</w:t>
            </w:r>
          </w:p>
        </w:tc>
        <w:tc>
          <w:tcPr>
            <w:tcW w:type="dxa" w:w="4320"/>
          </w:tcPr>
          <w:p>
            <w:pPr/>
            <w:r>
              <w:rPr>
                <w:sz w:val="18"/>
              </w:rPr>
              <w:t>통합호가시스템 — Tape A 및 B 증권의 호가 데이터를 배포</w:t>
            </w:r>
          </w:p>
        </w:tc>
      </w:tr>
      <w:tr>
        <w:tc>
          <w:tcPr>
            <w:tcW w:type="dxa" w:w="4320"/>
          </w:tcPr>
          <w:p>
            <w:pPr/>
            <w:r>
              <w:rPr>
                <w:sz w:val="18"/>
              </w:rPr>
              <w:t>**CTS**</w:t>
            </w:r>
          </w:p>
        </w:tc>
        <w:tc>
          <w:tcPr>
            <w:tcW w:type="dxa" w:w="4320"/>
          </w:tcPr>
          <w:p>
            <w:pPr/>
            <w:r>
              <w:rPr>
                <w:sz w:val="18"/>
              </w:rPr>
              <w:t>통합테이프시스템 — Tape A 및 B 증권의 최종체결 데이터를 배포</w:t>
            </w:r>
          </w:p>
        </w:tc>
      </w:tr>
      <w:tr>
        <w:tc>
          <w:tcPr>
            <w:tcW w:type="dxa" w:w="4320"/>
          </w:tcPr>
          <w:p>
            <w:pPr/>
            <w:r>
              <w:rPr>
                <w:sz w:val="18"/>
              </w:rPr>
              <w:t>**DMM**</w:t>
            </w:r>
          </w:p>
        </w:tc>
        <w:tc>
          <w:tcPr>
            <w:tcW w:type="dxa" w:w="4320"/>
          </w:tcPr>
          <w:p>
            <w:pPr/>
            <w:r>
              <w:rPr>
                <w:sz w:val="18"/>
              </w:rPr>
              <w:t>지정시장조성자(Designated Market Maker) — NYSE의 배정 증권에 대한 주요 시장조성자(마켓메이커)</w:t>
            </w:r>
          </w:p>
        </w:tc>
      </w:tr>
      <w:tr>
        <w:tc>
          <w:tcPr>
            <w:tcW w:type="dxa" w:w="4320"/>
          </w:tcPr>
          <w:p>
            <w:pPr/>
            <w:r>
              <w:rPr>
                <w:sz w:val="18"/>
              </w:rPr>
              <w:t>**FPI**</w:t>
            </w:r>
          </w:p>
        </w:tc>
        <w:tc>
          <w:tcPr>
            <w:tcW w:type="dxa" w:w="4320"/>
          </w:tcPr>
          <w:p>
            <w:pPr/>
            <w:r>
              <w:rPr>
                <w:sz w:val="18"/>
              </w:rPr>
              <w:t>외국민간발행인 — 완화된 SEC 보고 체제 자격이 있는 비미국 기업</w:t>
            </w:r>
          </w:p>
        </w:tc>
      </w:tr>
      <w:tr>
        <w:tc>
          <w:tcPr>
            <w:tcW w:type="dxa" w:w="4320"/>
          </w:tcPr>
          <w:p>
            <w:pPr/>
            <w:r>
              <w:rPr>
                <w:sz w:val="18"/>
              </w:rPr>
              <w:t>**ISG**</w:t>
            </w:r>
          </w:p>
        </w:tc>
        <w:tc>
          <w:tcPr>
            <w:tcW w:type="dxa" w:w="4320"/>
          </w:tcPr>
          <w:p>
            <w:pPr/>
            <w:r>
              <w:rPr>
                <w:sz w:val="18"/>
              </w:rPr>
              <w:t>시장간감시그룹 — 감시 정보를 공유하는 협력 조직</w:t>
            </w:r>
          </w:p>
        </w:tc>
      </w:tr>
      <w:tr>
        <w:tc>
          <w:tcPr>
            <w:tcW w:type="dxa" w:w="4320"/>
          </w:tcPr>
          <w:p>
            <w:pPr/>
            <w:r>
              <w:rPr>
                <w:sz w:val="18"/>
              </w:rPr>
              <w:t>**LULD**</w:t>
            </w:r>
          </w:p>
        </w:tc>
        <w:tc>
          <w:tcPr>
            <w:tcW w:type="dxa" w:w="4320"/>
          </w:tcPr>
          <w:p>
            <w:pPr/>
            <w:r>
              <w:rPr>
                <w:sz w:val="18"/>
              </w:rPr>
              <w:t>Limit Up-Limit Down — 지정된 가격범위 밖의 거래를 방지하는 메커니즘</w:t>
            </w:r>
          </w:p>
        </w:tc>
      </w:tr>
      <w:tr>
        <w:tc>
          <w:tcPr>
            <w:tcW w:type="dxa" w:w="4320"/>
          </w:tcPr>
          <w:p>
            <w:pPr/>
            <w:r>
              <w:rPr>
                <w:sz w:val="18"/>
              </w:rPr>
              <w:t>**MDI**</w:t>
            </w:r>
          </w:p>
        </w:tc>
        <w:tc>
          <w:tcPr>
            <w:tcW w:type="dxa" w:w="4320"/>
          </w:tcPr>
          <w:p>
            <w:pPr/>
            <w:r>
              <w:rPr>
                <w:sz w:val="18"/>
              </w:rPr>
              <w:t>시장데이터인프라 — 핵심 시장데이터의 정의를 확장하는 SEC 규칙</w:t>
            </w:r>
          </w:p>
        </w:tc>
      </w:tr>
      <w:tr>
        <w:tc>
          <w:tcPr>
            <w:tcW w:type="dxa" w:w="4320"/>
          </w:tcPr>
          <w:p>
            <w:pPr/>
            <w:r>
              <w:rPr>
                <w:sz w:val="18"/>
              </w:rPr>
              <w:t>**MWCB**</w:t>
            </w:r>
          </w:p>
        </w:tc>
        <w:tc>
          <w:tcPr>
            <w:tcW w:type="dxa" w:w="4320"/>
          </w:tcPr>
          <w:p>
            <w:pPr/>
            <w:r>
              <w:rPr>
                <w:sz w:val="18"/>
              </w:rPr>
              <w:t>시장 전체 서킷브레이커(매매거래중단) — S&amp;P 500이 7%/13%/20% 하락 시 모든 매매를 중단</w:t>
            </w:r>
          </w:p>
        </w:tc>
      </w:tr>
      <w:tr>
        <w:tc>
          <w:tcPr>
            <w:tcW w:type="dxa" w:w="4320"/>
          </w:tcPr>
          <w:p>
            <w:pPr/>
            <w:r>
              <w:rPr>
                <w:sz w:val="18"/>
              </w:rPr>
              <w:t>**NBBO**</w:t>
            </w:r>
          </w:p>
        </w:tc>
        <w:tc>
          <w:tcPr>
            <w:tcW w:type="dxa" w:w="4320"/>
          </w:tcPr>
          <w:p>
            <w:pPr/>
            <w:r>
              <w:rPr>
                <w:sz w:val="18"/>
              </w:rPr>
              <w:t>전미최우선매수·매도호가 — 모든 거래소에 걸친 이용 가능한 최선 매수·매도 가격</w:t>
            </w:r>
          </w:p>
        </w:tc>
      </w:tr>
      <w:tr>
        <w:tc>
          <w:tcPr>
            <w:tcW w:type="dxa" w:w="4320"/>
          </w:tcPr>
          <w:p>
            <w:pPr/>
            <w:r>
              <w:rPr>
                <w:sz w:val="18"/>
              </w:rPr>
              <w:t>**NMS**</w:t>
            </w:r>
          </w:p>
        </w:tc>
        <w:tc>
          <w:tcPr>
            <w:tcW w:type="dxa" w:w="4320"/>
          </w:tcPr>
          <w:p>
            <w:pPr/>
            <w:r>
              <w:rPr>
                <w:sz w:val="18"/>
              </w:rPr>
              <w:t>전미시장제도 — 상호연결된 미국 주식시장을 위한 규제 프레임워크</w:t>
            </w:r>
          </w:p>
        </w:tc>
      </w:tr>
      <w:tr>
        <w:tc>
          <w:tcPr>
            <w:tcW w:type="dxa" w:w="4320"/>
          </w:tcPr>
          <w:p>
            <w:pPr/>
            <w:r>
              <w:rPr>
                <w:sz w:val="18"/>
              </w:rPr>
              <w:t>**ORF**</w:t>
            </w:r>
          </w:p>
        </w:tc>
        <w:tc>
          <w:tcPr>
            <w:tcW w:type="dxa" w:w="4320"/>
          </w:tcPr>
          <w:p>
            <w:pPr/>
            <w:r>
              <w:rPr>
                <w:sz w:val="18"/>
              </w:rPr>
              <w:t>OTC 보고시설 — OTC 주식거래 보고를 위한 FINRA 시설</w:t>
            </w:r>
          </w:p>
        </w:tc>
      </w:tr>
      <w:tr>
        <w:tc>
          <w:tcPr>
            <w:tcW w:type="dxa" w:w="4320"/>
          </w:tcPr>
          <w:p>
            <w:pPr/>
            <w:r>
              <w:rPr>
                <w:sz w:val="18"/>
              </w:rPr>
              <w:t>**PFOF**</w:t>
            </w:r>
          </w:p>
        </w:tc>
        <w:tc>
          <w:tcPr>
            <w:tcW w:type="dxa" w:w="4320"/>
          </w:tcPr>
          <w:p>
            <w:pPr/>
            <w:r>
              <w:rPr>
                <w:sz w:val="18"/>
              </w:rPr>
              <w:t>주문흐름대가(Payment for Order Flow) — 소매 주문을 유도하기 위해 도매업자가 브로커에게 지불하는 보상</w:t>
            </w:r>
          </w:p>
        </w:tc>
      </w:tr>
      <w:tr>
        <w:tc>
          <w:tcPr>
            <w:tcW w:type="dxa" w:w="4320"/>
          </w:tcPr>
          <w:p>
            <w:pPr/>
            <w:r>
              <w:rPr>
                <w:sz w:val="18"/>
              </w:rPr>
              <w:t>**RSA**</w:t>
            </w:r>
          </w:p>
        </w:tc>
        <w:tc>
          <w:tcPr>
            <w:tcW w:type="dxa" w:w="4320"/>
          </w:tcPr>
          <w:p>
            <w:pPr/>
            <w:r>
              <w:rPr>
                <w:sz w:val="18"/>
              </w:rPr>
              <w:t>규제 서비스 협약 — 거래소 감시 기능을 FINRA에 위임하는 계약</w:t>
            </w:r>
          </w:p>
        </w:tc>
      </w:tr>
      <w:tr>
        <w:tc>
          <w:tcPr>
            <w:tcW w:type="dxa" w:w="4320"/>
          </w:tcPr>
          <w:p>
            <w:pPr/>
            <w:r>
              <w:rPr>
                <w:sz w:val="18"/>
              </w:rPr>
              <w:t>**SIP**</w:t>
            </w:r>
          </w:p>
        </w:tc>
        <w:tc>
          <w:tcPr>
            <w:tcW w:type="dxa" w:w="4320"/>
          </w:tcPr>
          <w:p>
            <w:pPr/>
            <w:r>
              <w:rPr>
                <w:sz w:val="18"/>
              </w:rPr>
              <w:t>증권정보처리기관 — 시장데이터를 통합·배포하는 기관</w:t>
            </w:r>
          </w:p>
        </w:tc>
      </w:tr>
      <w:tr>
        <w:tc>
          <w:tcPr>
            <w:tcW w:type="dxa" w:w="4320"/>
          </w:tcPr>
          <w:p>
            <w:pPr/>
            <w:r>
              <w:rPr>
                <w:sz w:val="18"/>
              </w:rPr>
              <w:t>**SRO**</w:t>
            </w:r>
          </w:p>
        </w:tc>
        <w:tc>
          <w:tcPr>
            <w:tcW w:type="dxa" w:w="4320"/>
          </w:tcPr>
          <w:p>
            <w:pPr/>
            <w:r>
              <w:rPr>
                <w:sz w:val="18"/>
              </w:rPr>
              <w:t>자율규제기구 — 회원을 규제할 권한이 있는 기관 (거래소, FINRA)</w:t>
            </w:r>
          </w:p>
        </w:tc>
      </w:tr>
      <w:tr>
        <w:tc>
          <w:tcPr>
            <w:tcW w:type="dxa" w:w="4320"/>
          </w:tcPr>
          <w:p>
            <w:pPr/>
            <w:r>
              <w:rPr>
                <w:sz w:val="18"/>
              </w:rPr>
              <w:t>**TRF**</w:t>
            </w:r>
          </w:p>
        </w:tc>
        <w:tc>
          <w:tcPr>
            <w:tcW w:type="dxa" w:w="4320"/>
          </w:tcPr>
          <w:p>
            <w:pPr/>
            <w:r>
              <w:rPr>
                <w:sz w:val="18"/>
              </w:rPr>
              <w:t>거래보고시설 — 상장증권의 장외 거래를 보고하는 FINRA 시설</w:t>
            </w:r>
          </w:p>
        </w:tc>
      </w:tr>
      <w:tr>
        <w:tc>
          <w:tcPr>
            <w:tcW w:type="dxa" w:w="4320"/>
          </w:tcPr>
          <w:p>
            <w:pPr/>
            <w:r>
              <w:rPr>
                <w:sz w:val="18"/>
              </w:rPr>
              <w:t>**TWAQS**</w:t>
            </w:r>
          </w:p>
        </w:tc>
        <w:tc>
          <w:tcPr>
            <w:tcW w:type="dxa" w:w="4320"/>
          </w:tcPr>
          <w:p>
            <w:pPr/>
            <w:r>
              <w:rPr>
                <w:sz w:val="18"/>
              </w:rPr>
              <w:t>시간가중평균호가스프레드 — 호가단위(최소가격변동폭) 배정에 사용되는 지표</w:t>
            </w:r>
          </w:p>
        </w:tc>
      </w:tr>
      <w:tr>
        <w:tc>
          <w:tcPr>
            <w:tcW w:type="dxa" w:w="4320"/>
          </w:tcPr>
          <w:p>
            <w:pPr/>
            <w:r>
              <w:rPr>
                <w:sz w:val="18"/>
              </w:rPr>
              <w:t>**UTP**</w:t>
            </w:r>
          </w:p>
        </w:tc>
        <w:tc>
          <w:tcPr>
            <w:tcW w:type="dxa" w:w="4320"/>
          </w:tcPr>
          <w:p>
            <w:pPr/>
            <w:r>
              <w:rPr>
                <w:sz w:val="18"/>
              </w:rPr>
              <w:t>비상장매매특권 — Nasdaq 상장 증권의 데이터 배포를 규율하는 계획</w:t>
            </w:r>
          </w:p>
        </w:tc>
      </w:tr>
    </w:tbl>
    <w:p/>
    <w:p>
      <w:r>
        <w:t>────────────────────────────────────────────────────────────</w:t>
      </w:r>
    </w:p>
    <w:p>
      <w:r>
        <w:rPr>
          <w:i/>
          <w:sz w:val="18"/>
        </w:rPr>
        <w:t>**참고:** 이 문서는 2026년 4월 기준 공개된 정보를 바탕으로 작성되었다. 규제 프레임워크는 변경될 수 있다. [미확인] 또는 [추정]으로 표시된 정보는 공식 출처를 통해 확인 후 인용해야 한다. 2025년 SEC 지도부 전환 이후 여러 주요 정책 변화가 진행 중이므로 규제 환경은 특히 동적이다.</w:t>
      </w:r>
    </w:p>
    <w:p>
      <w:r>
        <w:rPr>
          <w:i/>
          <w:sz w:val="18"/>
        </w:rPr>
        <w:t>**작성 대상:** KRX 거래소 연구 프로젝트 — 주식 분야</w:t>
      </w:r>
    </w:p>
    <w:p>
      <w:r>
        <w:rPr>
          <w:i/>
          <w:sz w:val="18"/>
        </w:rPr>
        <w:t>**연구 등급:** Tier 1 (심층 연구)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