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 Financial Futures Exchange (CFFEX)</w:t>
      </w:r>
    </w:p>
    <w:p>
      <w:r>
        <w:rPr>
          <w:i/>
          <w:sz w:val="18"/>
        </w:rPr>
        <w:t>**Last Updated:** 2026-04-07</w:t>
      </w:r>
    </w:p>
    <w:p>
      <w:r>
        <w:rPr>
          <w:i/>
          <w:sz w:val="18"/>
        </w:rPr>
        <w:t>**Research Tier:** Tier 3</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China Financial Futures Exchange (中国金融期货交易所)</w:t>
            </w:r>
          </w:p>
        </w:tc>
      </w:tr>
      <w:tr>
        <w:tc>
          <w:tcPr>
            <w:tcW w:type="dxa" w:w="4320"/>
          </w:tcPr>
          <w:p>
            <w:pPr/>
            <w:r>
              <w:rPr>
                <w:sz w:val="18"/>
              </w:rPr>
              <w:t>Abbreviation</w:t>
            </w:r>
          </w:p>
        </w:tc>
        <w:tc>
          <w:tcPr>
            <w:tcW w:type="dxa" w:w="4320"/>
          </w:tcPr>
          <w:p>
            <w:pPr/>
            <w:r>
              <w:rPr>
                <w:sz w:val="18"/>
              </w:rPr>
              <w:t>CFFEX</w:t>
            </w:r>
          </w:p>
        </w:tc>
      </w:tr>
      <w:tr>
        <w:tc>
          <w:tcPr>
            <w:tcW w:type="dxa" w:w="4320"/>
          </w:tcPr>
          <w:p>
            <w:pPr/>
            <w:r>
              <w:rPr>
                <w:sz w:val="18"/>
              </w:rPr>
              <w:t>Website</w:t>
            </w:r>
          </w:p>
        </w:tc>
        <w:tc>
          <w:tcPr>
            <w:tcW w:type="dxa" w:w="4320"/>
          </w:tcPr>
          <w:p>
            <w:pPr/>
            <w:r>
              <w:rPr>
                <w:sz w:val="18"/>
              </w:rPr>
              <w:t>http://www.cffex.com.cn</w:t>
            </w:r>
          </w:p>
        </w:tc>
      </w:tr>
      <w:tr>
        <w:tc>
          <w:tcPr>
            <w:tcW w:type="dxa" w:w="4320"/>
          </w:tcPr>
          <w:p>
            <w:pPr/>
            <w:r>
              <w:rPr>
                <w:sz w:val="18"/>
              </w:rPr>
              <w:t>Year Established</w:t>
            </w:r>
          </w:p>
        </w:tc>
        <w:tc>
          <w:tcPr>
            <w:tcW w:type="dxa" w:w="4320"/>
          </w:tcPr>
          <w:p>
            <w:pPr/>
            <w:r>
              <w:rPr>
                <w:sz w:val="18"/>
              </w:rPr>
              <w:t>September 8, 2006</w:t>
            </w:r>
          </w:p>
        </w:tc>
      </w:tr>
      <w:tr>
        <w:tc>
          <w:tcPr>
            <w:tcW w:type="dxa" w:w="4320"/>
          </w:tcPr>
          <w:p>
            <w:pPr/>
            <w:r>
              <w:rPr>
                <w:sz w:val="18"/>
              </w:rPr>
              <w:t>Country / City</w:t>
            </w:r>
          </w:p>
        </w:tc>
        <w:tc>
          <w:tcPr>
            <w:tcW w:type="dxa" w:w="4320"/>
          </w:tcPr>
          <w:p>
            <w:pPr/>
            <w:r>
              <w:rPr>
                <w:sz w:val="18"/>
              </w:rPr>
              <w:t>China / Shanghai</w:t>
            </w:r>
          </w:p>
        </w:tc>
      </w:tr>
      <w:tr>
        <w:tc>
          <w:tcPr>
            <w:tcW w:type="dxa" w:w="4320"/>
          </w:tcPr>
          <w:p>
            <w:pPr/>
            <w:r>
              <w:rPr>
                <w:sz w:val="18"/>
              </w:rPr>
              <w:t>Ownership Structure</w:t>
            </w:r>
          </w:p>
        </w:tc>
        <w:tc>
          <w:tcPr>
            <w:tcW w:type="dxa" w:w="4320"/>
          </w:tcPr>
          <w:p>
            <w:pPr/>
            <w:r>
              <w:rPr>
                <w:sz w:val="18"/>
              </w:rPr>
              <w:t>Joint venture equally held (20% each) by Shanghai Stock Exchange, Shenzhen Stock Exchange, Shanghai Futures Exchange, Dalian Commodity Exchange, and Zhengzhou Commodity Exchange</w:t>
            </w:r>
          </w:p>
        </w:tc>
      </w:tr>
      <w:tr>
        <w:tc>
          <w:tcPr>
            <w:tcW w:type="dxa" w:w="4320"/>
          </w:tcPr>
          <w:p>
            <w:pPr/>
            <w:r>
              <w:rPr>
                <w:sz w:val="18"/>
              </w:rPr>
              <w:t>Regulatory Authority</w:t>
            </w:r>
          </w:p>
        </w:tc>
        <w:tc>
          <w:tcPr>
            <w:tcW w:type="dxa" w:w="4320"/>
          </w:tcPr>
          <w:p>
            <w:pPr/>
            <w:r>
              <w:rPr>
                <w:sz w:val="18"/>
              </w:rPr>
              <w:t>China Securities Regulatory Commission (CSRC)</w:t>
            </w:r>
          </w:p>
        </w:tc>
      </w:tr>
      <w:tr>
        <w:tc>
          <w:tcPr>
            <w:tcW w:type="dxa" w:w="4320"/>
          </w:tcPr>
          <w:p>
            <w:pPr/>
            <w:r>
              <w:rPr>
                <w:sz w:val="18"/>
              </w:rPr>
              <w:t>Chairman</w:t>
            </w:r>
          </w:p>
        </w:tc>
        <w:tc>
          <w:tcPr>
            <w:tcW w:type="dxa" w:w="4320"/>
          </w:tcPr>
          <w:p>
            <w:pPr/>
            <w:r>
              <w:rPr>
                <w:sz w:val="18"/>
              </w:rPr>
              <w:t>He Qingwen (as of 2025)</w:t>
            </w:r>
          </w:p>
        </w:tc>
      </w:tr>
      <w:tr>
        <w:tc>
          <w:tcPr>
            <w:tcW w:type="dxa" w:w="4320"/>
          </w:tcPr>
          <w:p>
            <w:pPr/>
            <w:r>
              <w:rPr>
                <w:sz w:val="18"/>
              </w:rPr>
              <w:t>Products Listed</w:t>
            </w:r>
          </w:p>
        </w:tc>
        <w:tc>
          <w:tcPr>
            <w:tcW w:type="dxa" w:w="4320"/>
          </w:tcPr>
          <w:p>
            <w:pPr/>
            <w:r>
              <w:rPr>
                <w:sz w:val="18"/>
              </w:rPr>
              <w:t>4 stock index futures, 4 government bond (CGB) futures, 3 stock index options (11 total)</w:t>
            </w:r>
          </w:p>
        </w:tc>
      </w:tr>
      <w:tr>
        <w:tc>
          <w:tcPr>
            <w:tcW w:type="dxa" w:w="4320"/>
          </w:tcPr>
          <w:p>
            <w:pPr/>
            <w:r>
              <w:rPr>
                <w:sz w:val="18"/>
              </w:rPr>
              <w:t>Trading Model</w:t>
            </w:r>
          </w:p>
        </w:tc>
        <w:tc>
          <w:tcPr>
            <w:tcW w:type="dxa" w:w="4320"/>
          </w:tcPr>
          <w:p>
            <w:pPr/>
            <w:r>
              <w:rPr>
                <w:sz w:val="18"/>
              </w:rPr>
              <w:t>Fully electronic; no floor trading</w:t>
            </w:r>
          </w:p>
        </w:tc>
      </w:tr>
      <w:tr>
        <w:tc>
          <w:tcPr>
            <w:tcW w:type="dxa" w:w="4320"/>
          </w:tcPr>
          <w:p>
            <w:pPr/>
            <w:r>
              <w:rPr>
                <w:sz w:val="18"/>
              </w:rPr>
              <w:t>Clearing Model</w:t>
            </w:r>
          </w:p>
        </w:tc>
        <w:tc>
          <w:tcPr>
            <w:tcW w:type="dxa" w:w="4320"/>
          </w:tcPr>
          <w:p>
            <w:pPr/>
            <w:r>
              <w:rPr>
                <w:sz w:val="18"/>
              </w:rPr>
              <w:t>Multi-tiered clearing member system (trading members, trading &amp; clearing members, general clearing members, special clearing members)</w:t>
            </w:r>
          </w:p>
        </w:tc>
      </w:tr>
      <w:tr>
        <w:tc>
          <w:tcPr>
            <w:tcW w:type="dxa" w:w="4320"/>
          </w:tcPr>
          <w:p>
            <w:pPr/>
            <w:r>
              <w:rPr>
                <w:sz w:val="18"/>
              </w:rPr>
              <w:t>Member of</w:t>
            </w:r>
          </w:p>
        </w:tc>
        <w:tc>
          <w:tcPr>
            <w:tcW w:type="dxa" w:w="4320"/>
          </w:tcPr>
          <w:p>
            <w:pPr/>
            <w:r>
              <w:rPr>
                <w:sz w:val="18"/>
              </w:rPr>
              <w:t>China Futures Association</w:t>
            </w:r>
          </w:p>
        </w:tc>
      </w:tr>
    </w:tbl>
    <w:p/>
    <w:p>
      <w:r>
        <w:t>[Source: CFFEX, "Overview", http://www.cffex.com.cn/en_new/OverviewNew.html, accessed 2026-04-07]</w:t>
      </w:r>
    </w:p>
    <w:p>
      <w:r>
        <w:t>[Source: Wikipedia, "China Financial Futures Exchange", https://en.wikipedia.org/wiki/China_Financial_Futures_Exchange, accessed 2026-04-07]</w:t>
      </w:r>
    </w:p>
    <w:p>
      <w:r>
        <w:t>[Source: MarketsWiki, "China Financial Futures Exchange", https://www.marketswiki.com/wiki/China_Financial_Futures_Exchange, accessed 2026-04-07]</w:t>
      </w:r>
    </w:p>
    <w:p>
      <w:pPr>
        <w:pStyle w:val="Heading3"/>
      </w:pPr>
      <w:r>
        <w:t>Key Historical Milestones</w:t>
      </w:r>
    </w:p>
    <w:p>
      <w:pPr>
        <w:pStyle w:val="ListBullet"/>
      </w:pPr>
      <w:r>
        <w:t>2006-09-08: CFFEX established in Shanghai with RMB 500 million capital, approved by the State Council and authorized by CSRC</w:t>
      </w:r>
    </w:p>
    <w:p>
      <w:pPr>
        <w:pStyle w:val="ListBullet"/>
      </w:pPr>
      <w:r>
        <w:t>2010-04-16: China's first stock index futures (CSI 300 Index Futures, IF) launched; initially restricted to institutions and high-net-worth individuals</w:t>
      </w:r>
    </w:p>
    <w:p>
      <w:pPr>
        <w:pStyle w:val="ListBullet"/>
      </w:pPr>
      <w:r>
        <w:t>2013-09-06: 5-year China Government Bond (CGB) Futures (TF) launched, marking the return of treasury bond futures after the 1995 suspension</w:t>
      </w:r>
    </w:p>
    <w:p>
      <w:pPr>
        <w:pStyle w:val="ListBullet"/>
      </w:pPr>
      <w:r>
        <w:t>2015-03-20: 10-year CGB Futures (T) launched</w:t>
      </w:r>
    </w:p>
    <w:p>
      <w:pPr>
        <w:pStyle w:val="ListBullet"/>
      </w:pPr>
      <w:r>
        <w:t>2015-04-16: SSE 50 Index Futures (IH) and CSI 500 Index Futures (IC) launched</w:t>
      </w:r>
    </w:p>
    <w:p>
      <w:pPr>
        <w:pStyle w:val="ListBullet"/>
      </w:pPr>
      <w:r>
        <w:t>2015-08/09: In response to the stock market crash, CFFEX imposed severe trading restrictions: margins raised to 40%, position limits cut to 10 contracts/day, intraday fees raised 100-fold to 23 bps</w:t>
      </w:r>
    </w:p>
    <w:p>
      <w:pPr>
        <w:pStyle w:val="ListBullet"/>
      </w:pPr>
      <w:r>
        <w:t>2017-02: First round of post-crisis relaxation: daily trading limit raised to 20 lots, margins for IF/IH reduced to 20%</w:t>
      </w:r>
    </w:p>
    <w:p>
      <w:pPr>
        <w:pStyle w:val="ListBullet"/>
      </w:pPr>
      <w:r>
        <w:t>2017-09: Second relaxation: margins further reduced to 15%, fees lowered to 0.069%</w:t>
      </w:r>
    </w:p>
    <w:p>
      <w:pPr>
        <w:pStyle w:val="ListBullet"/>
      </w:pPr>
      <w:r>
        <w:t>2018-12: Third relaxation: margins for IF/IH reduced to 10%, IC to 15%, daily limit raised to 50 lots, fees reduced to 0.046%</w:t>
      </w:r>
    </w:p>
    <w:p>
      <w:pPr>
        <w:pStyle w:val="ListBullet"/>
      </w:pPr>
      <w:r>
        <w:t>2018-08: 2-year CGB Futures (TS) launched</w:t>
      </w:r>
    </w:p>
    <w:p>
      <w:pPr>
        <w:pStyle w:val="ListBullet"/>
      </w:pPr>
      <w:r>
        <w:t>2019: Further relaxation of position limits and margin requirements</w:t>
      </w:r>
    </w:p>
    <w:p>
      <w:pPr>
        <w:pStyle w:val="ListBullet"/>
      </w:pPr>
      <w:r>
        <w:t>2019-12-23: CSI 300 Index Options (IO) launched -- CFFEX's first options product</w:t>
      </w:r>
    </w:p>
    <w:p>
      <w:pPr>
        <w:pStyle w:val="ListBullet"/>
      </w:pPr>
      <w:r>
        <w:t>2022-07-22: CSI 1000 Index Futures (IM) and CSI 1000 Index Options (MO) launched</w:t>
      </w:r>
    </w:p>
    <w:p>
      <w:pPr>
        <w:pStyle w:val="ListBullet"/>
      </w:pPr>
      <w:r>
        <w:t>2022-12-19: SSE 50 Index Options (HO) launched</w:t>
      </w:r>
    </w:p>
    <w:p>
      <w:pPr>
        <w:pStyle w:val="ListBullet"/>
      </w:pPr>
      <w:r>
        <w:t>2023-04-21: 30-year CGB Futures (TL) launched</w:t>
      </w:r>
    </w:p>
    <w:p>
      <w:pPr>
        <w:pStyle w:val="ListBullet"/>
      </w:pPr>
      <w:r>
        <w:t>2024: Tightened scrutiny of quantitative trading; banned Shanghai Weiwan Fund Management from opening positions for 12 months</w:t>
      </w:r>
    </w:p>
    <w:p>
      <w:r>
        <w:t>[Source: Wikipedia, "China Financial Futures Exchange", accessed 2026-04-07]</w:t>
      </w:r>
    </w:p>
    <w:p>
      <w:r>
        <w:t>[Source: FIA, "2019 shaping up to be a big year for Chinese equity index futures", https://www.fia.org/marketvoice/articles/2019-shaping-be-big-year-chinese-equity-index-futures, accessed 2026-04-07]</w:t>
      </w:r>
    </w:p>
    <w:p>
      <w:r>
        <w:t>[Source: China Daily, "China eases restrictions on stock index futures trading", http://www.chinadaily.com.cn/business/2017-02/17/content_28233637.htm, accessed 2026-04-07]</w:t>
      </w:r>
    </w:p>
    <w:p>
      <w:r>
        <w:t>[Source: Xinhua, "China eases curbs on stock-index futures trading", http://www.xinhuanet.com/english/2018-12/02/c_137646361.htm, accessed 2026-04-07]</w:t>
      </w:r>
    </w:p>
    <w:p>
      <w:r>
        <w:t>[Source: CFFEX, "Notice on Releasing CSI 1000 Index Futures and Index Options", http://www.cffex.com.cn/en_new/Notices/20220718/28862.html, accessed 2026-04-07]</w:t>
      </w:r>
    </w:p>
    <w:p>
      <w:r>
        <w:t>[Source: Mondovisione, "CFFEX Releases SSE 50 Index Options Contract Specifications", https://mondovisione.com/media-and-resources/news/cffex-releases-sse-50-index-options-contract-specifications-and-relevant-rules/, accessed 2026-04-07]</w:t>
      </w:r>
    </w:p>
    <w:p>
      <w:r>
        <w:t>[Source: CFFEX, "30-Year CGB Futures Listing Notice", http://www.cffex.com.cn/en_new/NewsReleases/20230414/32100.html, accessed 2026-04-07]</w:t>
      </w:r>
    </w:p>
    <w:p>
      <w:pPr>
        <w:pStyle w:val="Heading3"/>
      </w:pPr>
      <w:r>
        <w:t>International Partnerships</w:t>
      </w:r>
    </w:p>
    <w:p>
      <w:r>
        <w:t>In 2017, a joint venture was created with the Shanghai Stock Exchange (40%), Deutsche Boerse (40%), and CFFEX (20%) aimed at offering CFFEX products internationally.</w:t>
      </w:r>
    </w:p>
    <w:p>
      <w:r>
        <w:t>[Source: Wikipedia, "China Financial Futures Exchange", accessed 2026-04-07]</w:t>
      </w:r>
    </w:p>
    <w:p>
      <w:r>
        <w:t>────────────────────────────────────────────────────────────</w:t>
      </w:r>
    </w:p>
    <w:p>
      <w:pPr>
        <w:pStyle w:val="Heading2"/>
      </w:pPr>
      <w:r>
        <w:t>2. Market Structure</w:t>
      </w:r>
    </w:p>
    <w:p>
      <w:pPr>
        <w:pStyle w:val="Heading3"/>
      </w:pPr>
      <w:r>
        <w:t>2.1 Products Overview</w:t>
      </w:r>
    </w:p>
    <w:p>
      <w:r>
        <w:t>CFFEX is China's sole exchange for financial futures and options. It lists three categories of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Category</w:t>
            </w:r>
          </w:p>
        </w:tc>
        <w:tc>
          <w:tcPr>
            <w:tcW w:type="dxa" w:w="2880"/>
          </w:tcPr>
          <w:p>
            <w:pPr/>
            <w:r>
              <w:rPr>
                <w:b/>
                <w:sz w:val="18"/>
              </w:rPr>
              <w:t>Products</w:t>
            </w:r>
          </w:p>
        </w:tc>
        <w:tc>
          <w:tcPr>
            <w:tcW w:type="dxa" w:w="2880"/>
          </w:tcPr>
          <w:p>
            <w:pPr/>
            <w:r>
              <w:rPr>
                <w:b/>
                <w:sz w:val="18"/>
              </w:rPr>
              <w:t>Count</w:t>
            </w:r>
          </w:p>
        </w:tc>
      </w:tr>
      <w:tr>
        <w:tc>
          <w:tcPr>
            <w:tcW w:type="dxa" w:w="2880"/>
          </w:tcPr>
          <w:p>
            <w:pPr/>
            <w:r>
              <w:rPr>
                <w:sz w:val="18"/>
              </w:rPr>
              <w:t>**Stock Index Futures**</w:t>
            </w:r>
          </w:p>
        </w:tc>
        <w:tc>
          <w:tcPr>
            <w:tcW w:type="dxa" w:w="2880"/>
          </w:tcPr>
          <w:p>
            <w:pPr/>
            <w:r>
              <w:rPr>
                <w:sz w:val="18"/>
              </w:rPr>
              <w:t>CSI 300 (IF), SSE 50 (IH), CSI 500 (IC), CSI 1000 (IM)</w:t>
            </w:r>
          </w:p>
        </w:tc>
        <w:tc>
          <w:tcPr>
            <w:tcW w:type="dxa" w:w="2880"/>
          </w:tcPr>
          <w:p>
            <w:pPr/>
            <w:r>
              <w:rPr>
                <w:sz w:val="18"/>
              </w:rPr>
              <w:t>4</w:t>
            </w:r>
          </w:p>
        </w:tc>
      </w:tr>
      <w:tr>
        <w:tc>
          <w:tcPr>
            <w:tcW w:type="dxa" w:w="2880"/>
          </w:tcPr>
          <w:p>
            <w:pPr/>
            <w:r>
              <w:rPr>
                <w:sz w:val="18"/>
              </w:rPr>
              <w:t>**Government Bond Futures**</w:t>
            </w:r>
          </w:p>
        </w:tc>
        <w:tc>
          <w:tcPr>
            <w:tcW w:type="dxa" w:w="2880"/>
          </w:tcPr>
          <w:p>
            <w:pPr/>
            <w:r>
              <w:rPr>
                <w:sz w:val="18"/>
              </w:rPr>
              <w:t>2-year CGB (TS), 5-year CGB (TF), 10-year CGB (T), 30-year CGB (TL)</w:t>
            </w:r>
          </w:p>
        </w:tc>
        <w:tc>
          <w:tcPr>
            <w:tcW w:type="dxa" w:w="2880"/>
          </w:tcPr>
          <w:p>
            <w:pPr/>
            <w:r>
              <w:rPr>
                <w:sz w:val="18"/>
              </w:rPr>
              <w:t>4</w:t>
            </w:r>
          </w:p>
        </w:tc>
      </w:tr>
      <w:tr>
        <w:tc>
          <w:tcPr>
            <w:tcW w:type="dxa" w:w="2880"/>
          </w:tcPr>
          <w:p>
            <w:pPr/>
            <w:r>
              <w:rPr>
                <w:sz w:val="18"/>
              </w:rPr>
              <w:t>**Stock Index Options**</w:t>
            </w:r>
          </w:p>
        </w:tc>
        <w:tc>
          <w:tcPr>
            <w:tcW w:type="dxa" w:w="2880"/>
          </w:tcPr>
          <w:p>
            <w:pPr/>
            <w:r>
              <w:rPr>
                <w:sz w:val="18"/>
              </w:rPr>
              <w:t>CSI 300 Options (IO), CSI 1000 Options (MO), SSE 50 Options (HO)</w:t>
            </w:r>
          </w:p>
        </w:tc>
        <w:tc>
          <w:tcPr>
            <w:tcW w:type="dxa" w:w="2880"/>
          </w:tcPr>
          <w:p>
            <w:pPr/>
            <w:r>
              <w:rPr>
                <w:sz w:val="18"/>
              </w:rPr>
              <w:t>3</w:t>
            </w:r>
          </w:p>
        </w:tc>
      </w:tr>
    </w:tbl>
    <w:p/>
    <w:p>
      <w:r>
        <w:t>[Source: CFFEX, http://www.cffex.com.cn/en_new/, accessed 2026-04-07]</w:t>
      </w:r>
    </w:p>
    <w:p>
      <w:pPr>
        <w:pStyle w:val="Heading3"/>
      </w:pPr>
      <w:r>
        <w:t>2.2 Trading Sessions / Hours</w:t>
      </w:r>
    </w:p>
    <w:p>
      <w:r>
        <w:t>All times are in China Standard Time (CST, UTC+8). CFFEX does not offer after-hours trading.</w:t>
      </w:r>
    </w:p>
    <w:p>
      <w:pPr>
        <w:pStyle w:val="Heading4"/>
      </w:pPr>
      <w:r>
        <w:t>Stock Index Futures &amp; Options (IF, IH, IC, IM, IO, MO, HO)</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Session</w:t>
            </w:r>
          </w:p>
        </w:tc>
        <w:tc>
          <w:tcPr>
            <w:tcW w:type="dxa" w:w="2880"/>
          </w:tcPr>
          <w:p>
            <w:pPr/>
            <w:r>
              <w:rPr>
                <w:b/>
                <w:sz w:val="18"/>
              </w:rPr>
              <w:t>Time (CST)</w:t>
            </w:r>
          </w:p>
        </w:tc>
        <w:tc>
          <w:tcPr>
            <w:tcW w:type="dxa" w:w="2880"/>
          </w:tcPr>
          <w:p>
            <w:pPr/>
            <w:r>
              <w:rPr>
                <w:b/>
                <w:sz w:val="18"/>
              </w:rPr>
              <w:t>Time (UTC)</w:t>
            </w:r>
          </w:p>
        </w:tc>
      </w:tr>
      <w:tr>
        <w:tc>
          <w:tcPr>
            <w:tcW w:type="dxa" w:w="2880"/>
          </w:tcPr>
          <w:p>
            <w:pPr/>
            <w:r>
              <w:rPr>
                <w:sz w:val="18"/>
              </w:rPr>
              <w:t>Morning Session</w:t>
            </w:r>
          </w:p>
        </w:tc>
        <w:tc>
          <w:tcPr>
            <w:tcW w:type="dxa" w:w="2880"/>
          </w:tcPr>
          <w:p>
            <w:pPr/>
            <w:r>
              <w:rPr>
                <w:sz w:val="18"/>
              </w:rPr>
              <w:t>9:30 AM -- 11:30 AM</w:t>
            </w:r>
          </w:p>
        </w:tc>
        <w:tc>
          <w:tcPr>
            <w:tcW w:type="dxa" w:w="2880"/>
          </w:tcPr>
          <w:p>
            <w:pPr/>
            <w:r>
              <w:rPr>
                <w:sz w:val="18"/>
              </w:rPr>
              <w:t>01:30 -- 03:30</w:t>
            </w:r>
          </w:p>
        </w:tc>
      </w:tr>
      <w:tr>
        <w:tc>
          <w:tcPr>
            <w:tcW w:type="dxa" w:w="2880"/>
          </w:tcPr>
          <w:p>
            <w:pPr/>
            <w:r>
              <w:rPr>
                <w:sz w:val="18"/>
              </w:rPr>
              <w:t>Lunch Break</w:t>
            </w:r>
          </w:p>
        </w:tc>
        <w:tc>
          <w:tcPr>
            <w:tcW w:type="dxa" w:w="2880"/>
          </w:tcPr>
          <w:p>
            <w:pPr/>
            <w:r>
              <w:rPr>
                <w:sz w:val="18"/>
              </w:rPr>
              <w:t>11:30 AM -- 1:00 PM</w:t>
            </w:r>
          </w:p>
        </w:tc>
        <w:tc>
          <w:tcPr>
            <w:tcW w:type="dxa" w:w="2880"/>
          </w:tcPr>
          <w:p>
            <w:pPr/>
            <w:r>
              <w:rPr>
                <w:sz w:val="18"/>
              </w:rPr>
              <w:t>03:30 -- 05:00</w:t>
            </w:r>
          </w:p>
        </w:tc>
      </w:tr>
      <w:tr>
        <w:tc>
          <w:tcPr>
            <w:tcW w:type="dxa" w:w="2880"/>
          </w:tcPr>
          <w:p>
            <w:pPr/>
            <w:r>
              <w:rPr>
                <w:sz w:val="18"/>
              </w:rPr>
              <w:t>Afternoon Session</w:t>
            </w:r>
          </w:p>
        </w:tc>
        <w:tc>
          <w:tcPr>
            <w:tcW w:type="dxa" w:w="2880"/>
          </w:tcPr>
          <w:p>
            <w:pPr/>
            <w:r>
              <w:rPr>
                <w:sz w:val="18"/>
              </w:rPr>
              <w:t>1:00 PM -- 3:00 PM</w:t>
            </w:r>
          </w:p>
        </w:tc>
        <w:tc>
          <w:tcPr>
            <w:tcW w:type="dxa" w:w="2880"/>
          </w:tcPr>
          <w:p>
            <w:pPr/>
            <w:r>
              <w:rPr>
                <w:sz w:val="18"/>
              </w:rPr>
              <w:t>05:00 -- 07:00</w:t>
            </w:r>
          </w:p>
        </w:tc>
      </w:tr>
    </w:tbl>
    <w:p/>
    <w:p>
      <w:pPr>
        <w:pStyle w:val="Heading4"/>
      </w:pPr>
      <w:r>
        <w:t>Government Bond Futures (TS, TF, T, TL)</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Session</w:t>
            </w:r>
          </w:p>
        </w:tc>
        <w:tc>
          <w:tcPr>
            <w:tcW w:type="dxa" w:w="2880"/>
          </w:tcPr>
          <w:p>
            <w:pPr/>
            <w:r>
              <w:rPr>
                <w:b/>
                <w:sz w:val="18"/>
              </w:rPr>
              <w:t>Time (CST)</w:t>
            </w:r>
          </w:p>
        </w:tc>
        <w:tc>
          <w:tcPr>
            <w:tcW w:type="dxa" w:w="2880"/>
          </w:tcPr>
          <w:p>
            <w:pPr/>
            <w:r>
              <w:rPr>
                <w:b/>
                <w:sz w:val="18"/>
              </w:rPr>
              <w:t>Time (UTC)</w:t>
            </w:r>
          </w:p>
        </w:tc>
      </w:tr>
      <w:tr>
        <w:tc>
          <w:tcPr>
            <w:tcW w:type="dxa" w:w="2880"/>
          </w:tcPr>
          <w:p>
            <w:pPr/>
            <w:r>
              <w:rPr>
                <w:sz w:val="18"/>
              </w:rPr>
              <w:t>Morning Session</w:t>
            </w:r>
          </w:p>
        </w:tc>
        <w:tc>
          <w:tcPr>
            <w:tcW w:type="dxa" w:w="2880"/>
          </w:tcPr>
          <w:p>
            <w:pPr/>
            <w:r>
              <w:rPr>
                <w:sz w:val="18"/>
              </w:rPr>
              <w:t>9:30 AM -- 11:30 AM</w:t>
            </w:r>
          </w:p>
        </w:tc>
        <w:tc>
          <w:tcPr>
            <w:tcW w:type="dxa" w:w="2880"/>
          </w:tcPr>
          <w:p>
            <w:pPr/>
            <w:r>
              <w:rPr>
                <w:sz w:val="18"/>
              </w:rPr>
              <w:t>01:30 -- 03:30</w:t>
            </w:r>
          </w:p>
        </w:tc>
      </w:tr>
      <w:tr>
        <w:tc>
          <w:tcPr>
            <w:tcW w:type="dxa" w:w="2880"/>
          </w:tcPr>
          <w:p>
            <w:pPr/>
            <w:r>
              <w:rPr>
                <w:sz w:val="18"/>
              </w:rPr>
              <w:t>Lunch Break</w:t>
            </w:r>
          </w:p>
        </w:tc>
        <w:tc>
          <w:tcPr>
            <w:tcW w:type="dxa" w:w="2880"/>
          </w:tcPr>
          <w:p>
            <w:pPr/>
            <w:r>
              <w:rPr>
                <w:sz w:val="18"/>
              </w:rPr>
              <w:t>11:30 AM -- 1:00 PM</w:t>
            </w:r>
          </w:p>
        </w:tc>
        <w:tc>
          <w:tcPr>
            <w:tcW w:type="dxa" w:w="2880"/>
          </w:tcPr>
          <w:p>
            <w:pPr/>
            <w:r>
              <w:rPr>
                <w:sz w:val="18"/>
              </w:rPr>
              <w:t>03:30 -- 05:00</w:t>
            </w:r>
          </w:p>
        </w:tc>
      </w:tr>
      <w:tr>
        <w:tc>
          <w:tcPr>
            <w:tcW w:type="dxa" w:w="2880"/>
          </w:tcPr>
          <w:p>
            <w:pPr/>
            <w:r>
              <w:rPr>
                <w:sz w:val="18"/>
              </w:rPr>
              <w:t>Afternoon Session</w:t>
            </w:r>
          </w:p>
        </w:tc>
        <w:tc>
          <w:tcPr>
            <w:tcW w:type="dxa" w:w="2880"/>
          </w:tcPr>
          <w:p>
            <w:pPr/>
            <w:r>
              <w:rPr>
                <w:sz w:val="18"/>
              </w:rPr>
              <w:t>1:00 PM -- 3:15 PM</w:t>
            </w:r>
          </w:p>
        </w:tc>
        <w:tc>
          <w:tcPr>
            <w:tcW w:type="dxa" w:w="2880"/>
          </w:tcPr>
          <w:p>
            <w:pPr/>
            <w:r>
              <w:rPr>
                <w:sz w:val="18"/>
              </w:rPr>
              <w:t>05:00 -- 07:15</w:t>
            </w:r>
          </w:p>
        </w:tc>
      </w:tr>
    </w:tbl>
    <w:p/>
    <w:p>
      <w:r>
        <w:t>Note: CGB futures close 15 minutes later than index futures/options to align with the interbank bond market.</w:t>
      </w:r>
    </w:p>
    <w:p>
      <w:r>
        <w:t>[Source: TradingHours.com, "CCFX Market Hours", https://www.tradinghours.com/markets/ccfx, accessed 2026-04-07]</w:t>
      </w:r>
    </w:p>
    <w:p>
      <w:r>
        <w:t>[Source: CFFEX official website, accessed 2026-04-07]</w:t>
      </w:r>
    </w:p>
    <w:p>
      <w:pPr>
        <w:pStyle w:val="Heading3"/>
      </w:pPr>
      <w:r>
        <w:t>2.3 Membership Structure</w:t>
      </w:r>
    </w:p>
    <w:p>
      <w:r>
        <w:t>CFFEX employs a multi-tiered clearing system: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Member Type</w:t>
            </w:r>
          </w:p>
        </w:tc>
        <w:tc>
          <w:tcPr>
            <w:tcW w:type="dxa" w:w="4320"/>
          </w:tcPr>
          <w:p>
            <w:pPr/>
            <w:r>
              <w:rPr>
                <w:b/>
                <w:sz w:val="18"/>
              </w:rPr>
              <w:t>Description</w:t>
            </w:r>
          </w:p>
        </w:tc>
      </w:tr>
      <w:tr>
        <w:tc>
          <w:tcPr>
            <w:tcW w:type="dxa" w:w="4320"/>
          </w:tcPr>
          <w:p>
            <w:pPr/>
            <w:r>
              <w:rPr>
                <w:sz w:val="18"/>
              </w:rPr>
              <w:t>**Trading Member**</w:t>
            </w:r>
          </w:p>
        </w:tc>
        <w:tc>
          <w:tcPr>
            <w:tcW w:type="dxa" w:w="4320"/>
          </w:tcPr>
          <w:p>
            <w:pPr/>
            <w:r>
              <w:rPr>
                <w:sz w:val="18"/>
              </w:rPr>
              <w:t>Can only trade; must clear through a clearing member</w:t>
            </w:r>
          </w:p>
        </w:tc>
      </w:tr>
      <w:tr>
        <w:tc>
          <w:tcPr>
            <w:tcW w:type="dxa" w:w="4320"/>
          </w:tcPr>
          <w:p>
            <w:pPr/>
            <w:r>
              <w:rPr>
                <w:sz w:val="18"/>
              </w:rPr>
              <w:t>**Trading &amp; Clearing Member**</w:t>
            </w:r>
          </w:p>
        </w:tc>
        <w:tc>
          <w:tcPr>
            <w:tcW w:type="dxa" w:w="4320"/>
          </w:tcPr>
          <w:p>
            <w:pPr/>
            <w:r>
              <w:rPr>
                <w:sz w:val="18"/>
              </w:rPr>
              <w:t>Can trade and clear its own trades</w:t>
            </w:r>
          </w:p>
        </w:tc>
      </w:tr>
      <w:tr>
        <w:tc>
          <w:tcPr>
            <w:tcW w:type="dxa" w:w="4320"/>
          </w:tcPr>
          <w:p>
            <w:pPr/>
            <w:r>
              <w:rPr>
                <w:sz w:val="18"/>
              </w:rPr>
              <w:t>**General Clearing Member**</w:t>
            </w:r>
          </w:p>
        </w:tc>
        <w:tc>
          <w:tcPr>
            <w:tcW w:type="dxa" w:w="4320"/>
          </w:tcPr>
          <w:p>
            <w:pPr/>
            <w:r>
              <w:rPr>
                <w:sz w:val="18"/>
              </w:rPr>
              <w:t>Can trade, clear its own trades, and clear for trading members</w:t>
            </w:r>
          </w:p>
        </w:tc>
      </w:tr>
      <w:tr>
        <w:tc>
          <w:tcPr>
            <w:tcW w:type="dxa" w:w="4320"/>
          </w:tcPr>
          <w:p>
            <w:pPr/>
            <w:r>
              <w:rPr>
                <w:sz w:val="18"/>
              </w:rPr>
              <w:t>**Special Clearing Member**</w:t>
            </w:r>
          </w:p>
        </w:tc>
        <w:tc>
          <w:tcPr>
            <w:tcW w:type="dxa" w:w="4320"/>
          </w:tcPr>
          <w:p>
            <w:pPr/>
            <w:r>
              <w:rPr>
                <w:sz w:val="18"/>
              </w:rPr>
              <w:t>Banks or other financial institutions that do not trade but provide clearing services for trading members</w:t>
            </w:r>
          </w:p>
        </w:tc>
      </w:tr>
    </w:tbl>
    <w:p/>
    <w:p>
      <w:r>
        <w:t>[Source: CFFEX, "System", http://www.cffex.com.cn/en_new/System/, accessed 2026-04-07]</w:t>
      </w:r>
    </w:p>
    <w:p>
      <w:r>
        <w:t>────────────────────────────────────────────────────────────</w:t>
      </w:r>
    </w:p>
    <w:p>
      <w:pPr>
        <w:pStyle w:val="Heading2"/>
      </w:pPr>
      <w:r>
        <w:t>3. Trading Mechanism</w:t>
      </w:r>
    </w:p>
    <w:p>
      <w:pPr>
        <w:pStyle w:val="Heading3"/>
      </w:pPr>
      <w:r>
        <w:t>3.1 Order Matching</w:t>
      </w:r>
    </w:p>
    <w:p>
      <w:pPr>
        <w:pStyle w:val="ListBullet"/>
      </w:pPr>
      <w:r>
        <w:t>Matching algorithm: Price priority, time priority</w:t>
      </w:r>
    </w:p>
    <w:p>
      <w:pPr>
        <w:pStyle w:val="ListBullet"/>
      </w:pPr>
      <w:r>
        <w:t>All trades are conducted via CFFEX's electronic trading system and are automatically matched</w:t>
      </w:r>
    </w:p>
    <w:p>
      <w:pPr>
        <w:pStyle w:val="ListBullet"/>
      </w:pPr>
      <w:r>
        <w:t>No floor trading or open outcry</w:t>
      </w:r>
    </w:p>
    <w:p>
      <w:pPr>
        <w:pStyle w:val="Heading3"/>
      </w:pPr>
      <w:r>
        <w:t>3.2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Specifies a maximum buy or minimum sell price</w:t>
            </w:r>
          </w:p>
        </w:tc>
      </w:tr>
      <w:tr>
        <w:tc>
          <w:tcPr>
            <w:tcW w:type="dxa" w:w="4320"/>
          </w:tcPr>
          <w:p>
            <w:pPr/>
            <w:r>
              <w:rPr>
                <w:sz w:val="18"/>
              </w:rPr>
              <w:t>**Market Order**</w:t>
            </w:r>
          </w:p>
        </w:tc>
        <w:tc>
          <w:tcPr>
            <w:tcW w:type="dxa" w:w="4320"/>
          </w:tcPr>
          <w:p>
            <w:pPr/>
            <w:r>
              <w:rPr>
                <w:sz w:val="18"/>
              </w:rPr>
              <w:t>Executes at best available price; converted to limit order if not immediately filled</w:t>
            </w:r>
          </w:p>
        </w:tc>
      </w:tr>
    </w:tbl>
    <w:p/>
    <w:p>
      <w:pPr>
        <w:pStyle w:val="Heading3"/>
      </w:pPr>
      <w:r>
        <w:t>3.3 Settlement</w:t>
      </w:r>
    </w:p>
    <w:p>
      <w:pPr>
        <w:pStyle w:val="ListBullet"/>
      </w:pPr>
      <w:r>
        <w:t>Daily mark-to-market: CFFEX performs daily settlement using the daily settlement price to clear all contracts for profits/losses, trading margin, fees, and taxes</w:t>
      </w:r>
    </w:p>
    <w:p>
      <w:pPr>
        <w:pStyle w:val="ListBullet"/>
      </w:pPr>
      <w:r>
        <w:t>Index Futures: Cash settled at the arithmetic average of the underlying index during the last two hours of trading on the last trading day</w:t>
      </w:r>
    </w:p>
    <w:p>
      <w:pPr>
        <w:pStyle w:val="ListBullet"/>
      </w:pPr>
      <w:r>
        <w:t>CGB Futures: Physical delivery of eligible government bonds</w:t>
      </w:r>
    </w:p>
    <w:p>
      <w:pPr>
        <w:pStyle w:val="Heading3"/>
      </w:pPr>
      <w:r>
        <w:t>3.4 Last Trading Day</w:t>
      </w:r>
    </w:p>
    <w:p>
      <w:pPr>
        <w:pStyle w:val="ListBullet"/>
      </w:pPr>
      <w:r>
        <w:t>Stock Index Futures/Options: Third Friday of the expiry month (postponed to next business day if on a public holiday)</w:t>
      </w:r>
    </w:p>
    <w:p>
      <w:pPr>
        <w:pStyle w:val="ListBullet"/>
      </w:pPr>
      <w:r>
        <w:t>CGB Futures: Second Friday of the delivery month</w:t>
      </w:r>
    </w:p>
    <w:p>
      <w:pPr>
        <w:pStyle w:val="Heading3"/>
      </w:pPr>
      <w:r>
        <w:t>3.5 Contract Months</w:t>
      </w:r>
    </w:p>
    <w:p>
      <w:pPr>
        <w:pStyle w:val="ListBullet"/>
      </w:pPr>
      <w:r>
        <w:t>Stock Index Futures: Current month, next month, and next two quarterly months (4 contracts listed at a time)</w:t>
      </w:r>
    </w:p>
    <w:p>
      <w:pPr>
        <w:pStyle w:val="ListBullet"/>
      </w:pPr>
      <w:r>
        <w:t>CGB Futures: Three consecutive quarterly months (March, June, September, December cycle)</w:t>
      </w:r>
    </w:p>
    <w:p>
      <w:r>
        <w:t>[Source: CFFEX, "CSI 300 Index Futures", http://www.cffex.com.cn/en_new/CSI300IndexFutures.html, accessed 2026-04-07]</w:t>
      </w:r>
    </w:p>
    <w:p>
      <w:r>
        <w:t>[Source: CFFEX, "System", http://www.cffex.com.cn/en_new/System/, accessed 2026-04-07]</w:t>
      </w:r>
    </w:p>
    <w:p>
      <w:r>
        <w:t>────────────────────────────────────────────────────────────</w:t>
      </w:r>
    </w:p>
    <w:p>
      <w:pPr>
        <w:pStyle w:val="Heading2"/>
      </w:pPr>
      <w:r>
        <w:t>5. Trading System</w:t>
      </w:r>
    </w:p>
    <w:p>
      <w:pPr>
        <w:pStyle w:val="Heading3"/>
      </w:pPr>
      <w:r>
        <w:t>5.1 Platform Overview</w:t>
      </w:r>
    </w:p>
    <w:p>
      <w:r>
        <w:t>CFFEX operates a fully electronic trading platform with no floor trading. Key characteristics:</w:t>
      </w:r>
    </w:p>
    <w:p>
      <w:pPr>
        <w:pStyle w:val="ListBullet"/>
      </w:pPr>
      <w:r>
        <w:t>Order matching: Automatic matching based on price priority and time priority</w:t>
      </w:r>
    </w:p>
    <w:p>
      <w:pPr>
        <w:pStyle w:val="ListBullet"/>
      </w:pPr>
      <w:r>
        <w:t>Architecture: Centralized matching engine processing all orders sequentially</w:t>
      </w:r>
    </w:p>
    <w:p>
      <w:pPr>
        <w:pStyle w:val="ListBullet"/>
      </w:pPr>
      <w:r>
        <w:t>Data dissemination: Real-time market data distribution to members and authorized data vendors</w:t>
      </w:r>
    </w:p>
    <w:p>
      <w:pPr>
        <w:pStyle w:val="ListBullet"/>
      </w:pPr>
      <w:r>
        <w:t>System reliability: Designed for high availability with disaster recovery capabilities</w:t>
      </w:r>
    </w:p>
    <w:p>
      <w:pPr>
        <w:pStyle w:val="Heading3"/>
      </w:pPr>
      <w:r>
        <w:t>5.2 Clearing &amp; Settlement System</w:t>
      </w:r>
    </w:p>
    <w:p>
      <w:pPr>
        <w:pStyle w:val="ListBullet"/>
      </w:pPr>
      <w:r>
        <w:t>Central Counterparty (CCP): CFFEX itself acts as the central counterparty for all trades</w:t>
      </w:r>
    </w:p>
    <w:p>
      <w:pPr>
        <w:pStyle w:val="ListBullet"/>
      </w:pPr>
      <w:r>
        <w:t>Multi-tiered clearing: Risk is distributed through the tiered membership structure (trading members, trading &amp; clearing members, general clearing members, special clearing members)</w:t>
      </w:r>
    </w:p>
    <w:p>
      <w:pPr>
        <w:pStyle w:val="ListBullet"/>
      </w:pPr>
      <w:r>
        <w:t>Daily settlement: Mark-to-market performed at each day's close using the daily settlement price</w:t>
      </w:r>
    </w:p>
    <w:p>
      <w:pPr>
        <w:pStyle w:val="ListBullet"/>
      </w:pPr>
      <w:r>
        <w:t>Margin management: Real-time monitoring of margin levels; margin calls issued when accounts fall below maintenance levels</w:t>
      </w:r>
    </w:p>
    <w:p>
      <w:pPr>
        <w:pStyle w:val="ListBullet"/>
      </w:pPr>
      <w:r>
        <w:t>Settlement banks: Major Chinese commercial banks serve as designated settlement banks</w:t>
      </w:r>
    </w:p>
    <w:p>
      <w:pPr>
        <w:pStyle w:val="Heading3"/>
      </w:pPr>
      <w:r>
        <w:t>5.3 PFMI Compliance</w:t>
      </w:r>
    </w:p>
    <w:p>
      <w:r>
        <w:t>CFFEX has published its compliance with the Principles for Financial Market Infrastructures (PFMI) issued by CPMI-IOSCO.</w:t>
      </w:r>
    </w:p>
    <w:p>
      <w:r>
        <w:t>[Source: CFFEX, "Principles for Financial Market Infrastructures", http://www.cffex.com.cn/u/cms/www/202305/311459055ti6.pdf, accessed 2026-04-07]</w:t>
      </w:r>
    </w:p>
    <w:p>
      <w:r>
        <w:t>[Source: CFFEX, "System", http://www.cffex.com.cn/en_new/System/, accessed 2026-04-07]</w:t>
      </w:r>
    </w:p>
    <w:p>
      <w:r>
        <w:t>────────────────────────────────────────────────────────────</w:t>
      </w:r>
    </w:p>
    <w:p>
      <w:pPr>
        <w:pStyle w:val="Heading2"/>
      </w:pPr>
      <w:r>
        <w:t>8. Risk Controls</w:t>
      </w:r>
    </w:p>
    <w:p>
      <w:pPr>
        <w:pStyle w:val="Heading3"/>
      </w:pPr>
      <w:r>
        <w:t>8.1 Daily Price Limits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Daily Price Limit</w:t>
            </w:r>
          </w:p>
        </w:tc>
      </w:tr>
      <w:tr>
        <w:tc>
          <w:tcPr>
            <w:tcW w:type="dxa" w:w="4320"/>
          </w:tcPr>
          <w:p>
            <w:pPr/>
            <w:r>
              <w:rPr>
                <w:sz w:val="18"/>
              </w:rPr>
              <w:t>Stock Index Futures (IF, IH, IC, IM)</w:t>
            </w:r>
          </w:p>
        </w:tc>
        <w:tc>
          <w:tcPr>
            <w:tcW w:type="dxa" w:w="4320"/>
          </w:tcPr>
          <w:p>
            <w:pPr/>
            <w:r>
              <w:rPr>
                <w:sz w:val="18"/>
              </w:rPr>
              <w:t>±10% of previous settlement price</w:t>
            </w:r>
          </w:p>
        </w:tc>
      </w:tr>
      <w:tr>
        <w:tc>
          <w:tcPr>
            <w:tcW w:type="dxa" w:w="4320"/>
          </w:tcPr>
          <w:p>
            <w:pPr/>
            <w:r>
              <w:rPr>
                <w:sz w:val="18"/>
              </w:rPr>
              <w:t>CGB Futures (TS -- 2Y)</w:t>
            </w:r>
          </w:p>
        </w:tc>
        <w:tc>
          <w:tcPr>
            <w:tcW w:type="dxa" w:w="4320"/>
          </w:tcPr>
          <w:p>
            <w:pPr/>
            <w:r>
              <w:rPr>
                <w:sz w:val="18"/>
              </w:rPr>
              <w:t>±0.5% of previous settlement price</w:t>
            </w:r>
          </w:p>
        </w:tc>
      </w:tr>
      <w:tr>
        <w:tc>
          <w:tcPr>
            <w:tcW w:type="dxa" w:w="4320"/>
          </w:tcPr>
          <w:p>
            <w:pPr/>
            <w:r>
              <w:rPr>
                <w:sz w:val="18"/>
              </w:rPr>
              <w:t>CGB Futures (TF -- 5Y)</w:t>
            </w:r>
          </w:p>
        </w:tc>
        <w:tc>
          <w:tcPr>
            <w:tcW w:type="dxa" w:w="4320"/>
          </w:tcPr>
          <w:p>
            <w:pPr/>
            <w:r>
              <w:rPr>
                <w:sz w:val="18"/>
              </w:rPr>
              <w:t>±1.2% of previous settlement price</w:t>
            </w:r>
          </w:p>
        </w:tc>
      </w:tr>
      <w:tr>
        <w:tc>
          <w:tcPr>
            <w:tcW w:type="dxa" w:w="4320"/>
          </w:tcPr>
          <w:p>
            <w:pPr/>
            <w:r>
              <w:rPr>
                <w:sz w:val="18"/>
              </w:rPr>
              <w:t>CGB Futures (T -- 10Y)</w:t>
            </w:r>
          </w:p>
        </w:tc>
        <w:tc>
          <w:tcPr>
            <w:tcW w:type="dxa" w:w="4320"/>
          </w:tcPr>
          <w:p>
            <w:pPr/>
            <w:r>
              <w:rPr>
                <w:sz w:val="18"/>
              </w:rPr>
              <w:t>±2% of previous settlement price</w:t>
            </w:r>
          </w:p>
        </w:tc>
      </w:tr>
      <w:tr>
        <w:tc>
          <w:tcPr>
            <w:tcW w:type="dxa" w:w="4320"/>
          </w:tcPr>
          <w:p>
            <w:pPr/>
            <w:r>
              <w:rPr>
                <w:sz w:val="18"/>
              </w:rPr>
              <w:t>CGB Futures (TL -- 30Y)</w:t>
            </w:r>
          </w:p>
        </w:tc>
        <w:tc>
          <w:tcPr>
            <w:tcW w:type="dxa" w:w="4320"/>
          </w:tcPr>
          <w:p>
            <w:pPr/>
            <w:r>
              <w:rPr>
                <w:sz w:val="18"/>
              </w:rPr>
              <w:t>±3.5% of previous settlement price</w:t>
            </w:r>
          </w:p>
        </w:tc>
      </w:tr>
      <w:tr>
        <w:tc>
          <w:tcPr>
            <w:tcW w:type="dxa" w:w="4320"/>
          </w:tcPr>
          <w:p>
            <w:pPr/>
            <w:r>
              <w:rPr>
                <w:sz w:val="18"/>
              </w:rPr>
              <w:t>Stock Index Options (IO, MO, HO)</w:t>
            </w:r>
          </w:p>
        </w:tc>
        <w:tc>
          <w:tcPr>
            <w:tcW w:type="dxa" w:w="4320"/>
          </w:tcPr>
          <w:p>
            <w:pPr/>
            <w:r>
              <w:rPr>
                <w:sz w:val="18"/>
              </w:rPr>
              <w:t>Based on underlying index futures price limits</w:t>
            </w:r>
          </w:p>
        </w:tc>
      </w:tr>
    </w:tbl>
    <w:p/>
    <w:p>
      <w:r>
        <w:t>Note: CGB futures price limits are narrower than equity index futures, reflecting lower volatility in the bond market. The price limits widen for longer-duration contracts.</w:t>
      </w:r>
    </w:p>
    <w:p>
      <w:r>
        <w:t>[Source: CFFEX, contract specifications pages, accessed 2026-04-07]</w:t>
      </w:r>
    </w:p>
    <w:p>
      <w:r>
        <w:t>[Source: CFFEX, "30-Year CGB Futures Contract Specifications", http://www.cffex.com.cn/en_new/30yearCGBFutures.html, accessed 2026-04-07]</w:t>
      </w:r>
    </w:p>
    <w:p>
      <w:pPr>
        <w:pStyle w:val="Heading3"/>
      </w:pPr>
      <w:r>
        <w:t>8.2 Position Limits</w:t>
      </w:r>
    </w:p>
    <w:p>
      <w:r>
        <w:t>CFFEX enforces strict position limits, particularly for stock index futures. These limits were dramatically tightened during the 2015 crisis and have been gradually relaxed since.</w:t>
      </w:r>
    </w:p>
    <w:p>
      <w:pPr>
        <w:pStyle w:val="Heading4"/>
      </w:pPr>
      <w:r>
        <w:t>Current Position Limits (Post-Relaxation)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Client Position Limit (Single Contract)</w:t>
            </w:r>
          </w:p>
        </w:tc>
        <w:tc>
          <w:tcPr>
            <w:tcW w:type="dxa" w:w="2880"/>
          </w:tcPr>
          <w:p>
            <w:pPr/>
            <w:r>
              <w:rPr>
                <w:b/>
                <w:sz w:val="18"/>
              </w:rPr>
              <w:t>Daily Opening Limit (Non-Hedging)</w:t>
            </w:r>
          </w:p>
        </w:tc>
      </w:tr>
      <w:tr>
        <w:tc>
          <w:tcPr>
            <w:tcW w:type="dxa" w:w="2880"/>
          </w:tcPr>
          <w:p>
            <w:pPr/>
            <w:r>
              <w:rPr>
                <w:sz w:val="18"/>
              </w:rPr>
              <w:t>CSI 300 Futures (IF)</w:t>
            </w:r>
          </w:p>
        </w:tc>
        <w:tc>
          <w:tcPr>
            <w:tcW w:type="dxa" w:w="2880"/>
          </w:tcPr>
          <w:p>
            <w:pPr/>
            <w:r>
              <w:rPr>
                <w:sz w:val="18"/>
              </w:rPr>
              <w:t>5,000 lots (unilateral)</w:t>
            </w:r>
          </w:p>
        </w:tc>
        <w:tc>
          <w:tcPr>
            <w:tcW w:type="dxa" w:w="2880"/>
          </w:tcPr>
          <w:p>
            <w:pPr/>
            <w:r>
              <w:rPr>
                <w:sz w:val="18"/>
              </w:rPr>
              <w:t>500 lots/day [unverified -- subject to periodic adjustment]</w:t>
            </w:r>
          </w:p>
        </w:tc>
      </w:tr>
      <w:tr>
        <w:tc>
          <w:tcPr>
            <w:tcW w:type="dxa" w:w="2880"/>
          </w:tcPr>
          <w:p>
            <w:pPr/>
            <w:r>
              <w:rPr>
                <w:sz w:val="18"/>
              </w:rPr>
              <w:t>SSE 50 Futures (IH)</w:t>
            </w:r>
          </w:p>
        </w:tc>
        <w:tc>
          <w:tcPr>
            <w:tcW w:type="dxa" w:w="2880"/>
          </w:tcPr>
          <w:p>
            <w:pPr/>
            <w:r>
              <w:rPr>
                <w:sz w:val="18"/>
              </w:rPr>
              <w:t>5,000 lots (unilateral)</w:t>
            </w:r>
          </w:p>
        </w:tc>
        <w:tc>
          <w:tcPr>
            <w:tcW w:type="dxa" w:w="2880"/>
          </w:tcPr>
          <w:p>
            <w:pPr/>
            <w:r>
              <w:rPr>
                <w:sz w:val="18"/>
              </w:rPr>
              <w:t>500 lots/day [unverified]</w:t>
            </w:r>
          </w:p>
        </w:tc>
      </w:tr>
      <w:tr>
        <w:tc>
          <w:tcPr>
            <w:tcW w:type="dxa" w:w="2880"/>
          </w:tcPr>
          <w:p>
            <w:pPr/>
            <w:r>
              <w:rPr>
                <w:sz w:val="18"/>
              </w:rPr>
              <w:t>CSI 500 Futures (IC)</w:t>
            </w:r>
          </w:p>
        </w:tc>
        <w:tc>
          <w:tcPr>
            <w:tcW w:type="dxa" w:w="2880"/>
          </w:tcPr>
          <w:p>
            <w:pPr/>
            <w:r>
              <w:rPr>
                <w:sz w:val="18"/>
              </w:rPr>
              <w:t>5,000 lots (unilateral)</w:t>
            </w:r>
          </w:p>
        </w:tc>
        <w:tc>
          <w:tcPr>
            <w:tcW w:type="dxa" w:w="2880"/>
          </w:tcPr>
          <w:p>
            <w:pPr/>
            <w:r>
              <w:rPr>
                <w:sz w:val="18"/>
              </w:rPr>
              <w:t>500 lots/day [unverified]</w:t>
            </w:r>
          </w:p>
        </w:tc>
      </w:tr>
      <w:tr>
        <w:tc>
          <w:tcPr>
            <w:tcW w:type="dxa" w:w="2880"/>
          </w:tcPr>
          <w:p>
            <w:pPr/>
            <w:r>
              <w:rPr>
                <w:sz w:val="18"/>
              </w:rPr>
              <w:t>CSI 1000 Futures (IM)</w:t>
            </w:r>
          </w:p>
        </w:tc>
        <w:tc>
          <w:tcPr>
            <w:tcW w:type="dxa" w:w="2880"/>
          </w:tcPr>
          <w:p>
            <w:pPr/>
            <w:r>
              <w:rPr>
                <w:sz w:val="18"/>
              </w:rPr>
              <w:t>1,200 lots (unilateral)</w:t>
            </w:r>
          </w:p>
        </w:tc>
        <w:tc>
          <w:tcPr>
            <w:tcW w:type="dxa" w:w="2880"/>
          </w:tcPr>
          <w:p>
            <w:pPr/>
            <w:r>
              <w:rPr>
                <w:sz w:val="18"/>
              </w:rPr>
              <w:t>500 lots/day [unverified]</w:t>
            </w:r>
          </w:p>
        </w:tc>
      </w:tr>
      <w:tr>
        <w:tc>
          <w:tcPr>
            <w:tcW w:type="dxa" w:w="2880"/>
          </w:tcPr>
          <w:p>
            <w:pPr/>
            <w:r>
              <w:rPr>
                <w:sz w:val="18"/>
              </w:rPr>
              <w:t>CGB Futures (each)</w:t>
            </w:r>
          </w:p>
        </w:tc>
        <w:tc>
          <w:tcPr>
            <w:tcW w:type="dxa" w:w="2880"/>
          </w:tcPr>
          <w:p>
            <w:pPr/>
            <w:r>
              <w:rPr>
                <w:sz w:val="18"/>
              </w:rPr>
              <w:t>6,000 lots (all contracts combined)</w:t>
            </w:r>
          </w:p>
        </w:tc>
        <w:tc>
          <w:tcPr>
            <w:tcW w:type="dxa" w:w="2880"/>
          </w:tcPr>
          <w:p>
            <w:pPr/>
            <w:r>
              <w:rPr>
                <w:sz w:val="18"/>
              </w:rPr>
              <w:t>Varies by contract</w:t>
            </w:r>
          </w:p>
        </w:tc>
      </w:tr>
    </w:tbl>
    <w:p/>
    <w:p>
      <w:r>
        <w:t>Hedging exemptions: Members or clients requiring stock index futures for hedging purposes may apply to CFFEX for exemption from position limits. CFFEX decides whether to approve based on supporting documentation and market conditions.</w:t>
      </w:r>
    </w:p>
    <w:p>
      <w:pPr>
        <w:pStyle w:val="Heading4"/>
      </w:pPr>
      <w:r>
        <w:t>2015 Crisis Restrictions vs. Gradual Normalization</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Measure</w:t>
            </w:r>
          </w:p>
        </w:tc>
        <w:tc>
          <w:tcPr>
            <w:tcW w:type="dxa" w:w="1234"/>
          </w:tcPr>
          <w:p>
            <w:pPr/>
            <w:r>
              <w:rPr>
                <w:b/>
                <w:sz w:val="18"/>
              </w:rPr>
              <w:t>Pre-Crisis (before Aug 2015)</w:t>
            </w:r>
          </w:p>
        </w:tc>
        <w:tc>
          <w:tcPr>
            <w:tcW w:type="dxa" w:w="1234"/>
          </w:tcPr>
          <w:p>
            <w:pPr/>
            <w:r>
              <w:rPr>
                <w:b/>
                <w:sz w:val="18"/>
              </w:rPr>
              <w:t>Crisis Peak (Sep 2015)</w:t>
            </w:r>
          </w:p>
        </w:tc>
        <w:tc>
          <w:tcPr>
            <w:tcW w:type="dxa" w:w="1234"/>
          </w:tcPr>
          <w:p>
            <w:pPr/>
            <w:r>
              <w:rPr>
                <w:b/>
                <w:sz w:val="18"/>
              </w:rPr>
              <w:t>Feb 2017</w:t>
            </w:r>
          </w:p>
        </w:tc>
        <w:tc>
          <w:tcPr>
            <w:tcW w:type="dxa" w:w="1234"/>
          </w:tcPr>
          <w:p>
            <w:pPr/>
            <w:r>
              <w:rPr>
                <w:b/>
                <w:sz w:val="18"/>
              </w:rPr>
              <w:t>Sep 2017</w:t>
            </w:r>
          </w:p>
        </w:tc>
        <w:tc>
          <w:tcPr>
            <w:tcW w:type="dxa" w:w="1234"/>
          </w:tcPr>
          <w:p>
            <w:pPr/>
            <w:r>
              <w:rPr>
                <w:b/>
                <w:sz w:val="18"/>
              </w:rPr>
              <w:t>Dec 2018</w:t>
            </w:r>
          </w:p>
        </w:tc>
        <w:tc>
          <w:tcPr>
            <w:tcW w:type="dxa" w:w="1234"/>
          </w:tcPr>
          <w:p>
            <w:pPr/>
            <w:r>
              <w:rPr>
                <w:b/>
                <w:sz w:val="18"/>
              </w:rPr>
              <w:t>Post-2019</w:t>
            </w:r>
          </w:p>
        </w:tc>
      </w:tr>
      <w:tr>
        <w:tc>
          <w:tcPr>
            <w:tcW w:type="dxa" w:w="1234"/>
          </w:tcPr>
          <w:p>
            <w:pPr/>
            <w:r>
              <w:rPr>
                <w:sz w:val="18"/>
              </w:rPr>
              <w:t>Daily opening limit (non-hedging)</w:t>
            </w:r>
          </w:p>
        </w:tc>
        <w:tc>
          <w:tcPr>
            <w:tcW w:type="dxa" w:w="1234"/>
          </w:tcPr>
          <w:p>
            <w:pPr/>
            <w:r>
              <w:rPr>
                <w:sz w:val="18"/>
              </w:rPr>
              <w:t>~600 lots</w:t>
            </w:r>
          </w:p>
        </w:tc>
        <w:tc>
          <w:tcPr>
            <w:tcW w:type="dxa" w:w="1234"/>
          </w:tcPr>
          <w:p>
            <w:pPr/>
            <w:r>
              <w:rPr>
                <w:sz w:val="18"/>
              </w:rPr>
              <w:t>10 lots</w:t>
            </w:r>
          </w:p>
        </w:tc>
        <w:tc>
          <w:tcPr>
            <w:tcW w:type="dxa" w:w="1234"/>
          </w:tcPr>
          <w:p>
            <w:pPr/>
            <w:r>
              <w:rPr>
                <w:sz w:val="18"/>
              </w:rPr>
              <w:t>20 lots</w:t>
            </w:r>
          </w:p>
        </w:tc>
        <w:tc>
          <w:tcPr>
            <w:tcW w:type="dxa" w:w="1234"/>
          </w:tcPr>
          <w:p>
            <w:pPr/>
            <w:r>
              <w:rPr>
                <w:sz w:val="18"/>
              </w:rPr>
              <w:t>20 lots</w:t>
            </w:r>
          </w:p>
        </w:tc>
        <w:tc>
          <w:tcPr>
            <w:tcW w:type="dxa" w:w="1234"/>
          </w:tcPr>
          <w:p>
            <w:pPr/>
            <w:r>
              <w:rPr>
                <w:sz w:val="18"/>
              </w:rPr>
              <w:t>50 lots</w:t>
            </w:r>
          </w:p>
        </w:tc>
        <w:tc>
          <w:tcPr>
            <w:tcW w:type="dxa" w:w="1234"/>
          </w:tcPr>
          <w:p>
            <w:pPr/>
            <w:r>
              <w:rPr>
                <w:sz w:val="18"/>
              </w:rPr>
              <w:t>Gradually increased</w:t>
            </w:r>
          </w:p>
        </w:tc>
      </w:tr>
      <w:tr>
        <w:tc>
          <w:tcPr>
            <w:tcW w:type="dxa" w:w="1234"/>
          </w:tcPr>
          <w:p>
            <w:pPr/>
            <w:r>
              <w:rPr>
                <w:sz w:val="18"/>
              </w:rPr>
              <w:t>Margin (IF/IH, non-hedging)</w:t>
            </w:r>
          </w:p>
        </w:tc>
        <w:tc>
          <w:tcPr>
            <w:tcW w:type="dxa" w:w="1234"/>
          </w:tcPr>
          <w:p>
            <w:pPr/>
            <w:r>
              <w:rPr>
                <w:sz w:val="18"/>
              </w:rPr>
              <w:t>~10%</w:t>
            </w:r>
          </w:p>
        </w:tc>
        <w:tc>
          <w:tcPr>
            <w:tcW w:type="dxa" w:w="1234"/>
          </w:tcPr>
          <w:p>
            <w:pPr/>
            <w:r>
              <w:rPr>
                <w:sz w:val="18"/>
              </w:rPr>
              <w:t>40%</w:t>
            </w:r>
          </w:p>
        </w:tc>
        <w:tc>
          <w:tcPr>
            <w:tcW w:type="dxa" w:w="1234"/>
          </w:tcPr>
          <w:p>
            <w:pPr/>
            <w:r>
              <w:rPr>
                <w:sz w:val="18"/>
              </w:rPr>
              <w:t>20%</w:t>
            </w:r>
          </w:p>
        </w:tc>
        <w:tc>
          <w:tcPr>
            <w:tcW w:type="dxa" w:w="1234"/>
          </w:tcPr>
          <w:p>
            <w:pPr/>
            <w:r>
              <w:rPr>
                <w:sz w:val="18"/>
              </w:rPr>
              <w:t>15%</w:t>
            </w:r>
          </w:p>
        </w:tc>
        <w:tc>
          <w:tcPr>
            <w:tcW w:type="dxa" w:w="1234"/>
          </w:tcPr>
          <w:p>
            <w:pPr/>
            <w:r>
              <w:rPr>
                <w:sz w:val="18"/>
              </w:rPr>
              <w:t>10%</w:t>
            </w:r>
          </w:p>
        </w:tc>
        <w:tc>
          <w:tcPr>
            <w:tcW w:type="dxa" w:w="1234"/>
          </w:tcPr>
          <w:p>
            <w:pPr/>
            <w:r>
              <w:rPr>
                <w:sz w:val="18"/>
              </w:rPr>
              <w:t>~10-12%</w:t>
            </w:r>
          </w:p>
        </w:tc>
      </w:tr>
      <w:tr>
        <w:tc>
          <w:tcPr>
            <w:tcW w:type="dxa" w:w="1234"/>
          </w:tcPr>
          <w:p>
            <w:pPr/>
            <w:r>
              <w:rPr>
                <w:sz w:val="18"/>
              </w:rPr>
              <w:t>Margin (IC, non-hedging)</w:t>
            </w:r>
          </w:p>
        </w:tc>
        <w:tc>
          <w:tcPr>
            <w:tcW w:type="dxa" w:w="1234"/>
          </w:tcPr>
          <w:p>
            <w:pPr/>
            <w:r>
              <w:rPr>
                <w:sz w:val="18"/>
              </w:rPr>
              <w:t>~10%</w:t>
            </w:r>
          </w:p>
        </w:tc>
        <w:tc>
          <w:tcPr>
            <w:tcW w:type="dxa" w:w="1234"/>
          </w:tcPr>
          <w:p>
            <w:pPr/>
            <w:r>
              <w:rPr>
                <w:sz w:val="18"/>
              </w:rPr>
              <w:t>40%</w:t>
            </w:r>
          </w:p>
        </w:tc>
        <w:tc>
          <w:tcPr>
            <w:tcW w:type="dxa" w:w="1234"/>
          </w:tcPr>
          <w:p>
            <w:pPr/>
            <w:r>
              <w:rPr>
                <w:sz w:val="18"/>
              </w:rPr>
              <w:t>~30%</w:t>
            </w:r>
          </w:p>
        </w:tc>
        <w:tc>
          <w:tcPr>
            <w:tcW w:type="dxa" w:w="1234"/>
          </w:tcPr>
          <w:p>
            <w:pPr/>
            <w:r>
              <w:rPr>
                <w:sz w:val="18"/>
              </w:rPr>
              <w:t>~30%</w:t>
            </w:r>
          </w:p>
        </w:tc>
        <w:tc>
          <w:tcPr>
            <w:tcW w:type="dxa" w:w="1234"/>
          </w:tcPr>
          <w:p>
            <w:pPr/>
            <w:r>
              <w:rPr>
                <w:sz w:val="18"/>
              </w:rPr>
              <w:t>15%</w:t>
            </w:r>
          </w:p>
        </w:tc>
        <w:tc>
          <w:tcPr>
            <w:tcW w:type="dxa" w:w="1234"/>
          </w:tcPr>
          <w:p>
            <w:pPr/>
            <w:r>
              <w:rPr>
                <w:sz w:val="18"/>
              </w:rPr>
              <w:t>~12-14%</w:t>
            </w:r>
          </w:p>
        </w:tc>
      </w:tr>
      <w:tr>
        <w:tc>
          <w:tcPr>
            <w:tcW w:type="dxa" w:w="1234"/>
          </w:tcPr>
          <w:p>
            <w:pPr/>
            <w:r>
              <w:rPr>
                <w:sz w:val="18"/>
              </w:rPr>
              <w:t>Intraday closing fee</w:t>
            </w:r>
          </w:p>
        </w:tc>
        <w:tc>
          <w:tcPr>
            <w:tcW w:type="dxa" w:w="1234"/>
          </w:tcPr>
          <w:p>
            <w:pPr/>
            <w:r>
              <w:rPr>
                <w:sz w:val="18"/>
              </w:rPr>
              <w:t>~1.15 bps</w:t>
            </w:r>
          </w:p>
        </w:tc>
        <w:tc>
          <w:tcPr>
            <w:tcW w:type="dxa" w:w="1234"/>
          </w:tcPr>
          <w:p>
            <w:pPr/>
            <w:r>
              <w:rPr>
                <w:sz w:val="18"/>
              </w:rPr>
              <w:t>23 bps</w:t>
            </w:r>
          </w:p>
        </w:tc>
        <w:tc>
          <w:tcPr>
            <w:tcW w:type="dxa" w:w="1234"/>
          </w:tcPr>
          <w:p>
            <w:pPr/>
            <w:r>
              <w:rPr>
                <w:sz w:val="18"/>
              </w:rPr>
              <w:t>~9.2 bps</w:t>
            </w:r>
          </w:p>
        </w:tc>
        <w:tc>
          <w:tcPr>
            <w:tcW w:type="dxa" w:w="1234"/>
          </w:tcPr>
          <w:p>
            <w:pPr/>
            <w:r>
              <w:rPr>
                <w:sz w:val="18"/>
              </w:rPr>
              <w:t>6.9 bps</w:t>
            </w:r>
          </w:p>
        </w:tc>
        <w:tc>
          <w:tcPr>
            <w:tcW w:type="dxa" w:w="1234"/>
          </w:tcPr>
          <w:p>
            <w:pPr/>
            <w:r>
              <w:rPr>
                <w:sz w:val="18"/>
              </w:rPr>
              <w:t>4.6 bps</w:t>
            </w:r>
          </w:p>
        </w:tc>
        <w:tc>
          <w:tcPr>
            <w:tcW w:type="dxa" w:w="1234"/>
          </w:tcPr>
          <w:p>
            <w:pPr/>
            <w:r>
              <w:rPr>
                <w:sz w:val="18"/>
              </w:rPr>
              <w:t>~3.45 bps</w:t>
            </w:r>
          </w:p>
        </w:tc>
      </w:tr>
    </w:tbl>
    <w:p/>
    <w:p>
      <w:r>
        <w:t>[Source: China Daily, "China eases restrictions on stock index futures trading", February 2017]</w:t>
      </w:r>
    </w:p>
    <w:p>
      <w:r>
        <w:t>[Source: Xinhua, "China eases curbs on stock-index futures trading", December 2018]</w:t>
      </w:r>
    </w:p>
    <w:p>
      <w:r>
        <w:t>[Source: FIA, "2019 shaping up to be a big year for Chinese equity index futures", 2019]</w:t>
      </w:r>
    </w:p>
    <w:p>
      <w:r>
        <w:t>[Source: CFFEX, "What Is Position Limit System?", http://www.cffex.com.cn/en_new/fxzs/20101124/15131.html, accessed 2026-04-07]</w:t>
      </w:r>
    </w:p>
    <w:p>
      <w:pPr>
        <w:pStyle w:val="Heading3"/>
      </w:pPr>
      <w:r>
        <w:t>8.3 Large Position Reporting</w:t>
      </w:r>
    </w:p>
    <w:p>
      <w:r>
        <w:t>CFFEX requires members and clients to report large positions when their holdings reach specified thresholds. Large position reporting applies to both stock index futures and CGB futures. CFFEX has issued specific "Implementing Guidance" for large position reporting for each product category.</w:t>
      </w:r>
    </w:p>
    <w:p>
      <w:r>
        <w:t>[Source: CFFEX, "Contract Rules", http://www.cffex.com.cn/en_new/fzhygz/, accessed 2026-04-07]</w:t>
      </w:r>
    </w:p>
    <w:p>
      <w:pPr>
        <w:pStyle w:val="Heading3"/>
      </w:pPr>
      <w:r>
        <w:t>8.4 Margin Framework</w:t>
      </w:r>
    </w:p>
    <w:p>
      <w:r>
        <w:t>CFFEX uses a percentage-of-contract-value margin system (not SPAN).</w:t>
      </w:r>
    </w:p>
    <w:p>
      <w:pPr>
        <w:pStyle w:val="Heading4"/>
      </w:pPr>
      <w:r>
        <w:t>Stock Index Futures -- Current Margin Rates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Minimum Trading Margin</w:t>
            </w:r>
          </w:p>
        </w:tc>
        <w:tc>
          <w:tcPr>
            <w:tcW w:type="dxa" w:w="2880"/>
          </w:tcPr>
          <w:p>
            <w:pPr/>
            <w:r>
              <w:rPr>
                <w:b/>
                <w:sz w:val="18"/>
              </w:rPr>
              <w:t>Typical Broker Margin</w:t>
            </w:r>
          </w:p>
        </w:tc>
      </w:tr>
      <w:tr>
        <w:tc>
          <w:tcPr>
            <w:tcW w:type="dxa" w:w="2880"/>
          </w:tcPr>
          <w:p>
            <w:pPr/>
            <w:r>
              <w:rPr>
                <w:sz w:val="18"/>
              </w:rPr>
              <w:t>CSI 300 Futures (IF)</w:t>
            </w:r>
          </w:p>
        </w:tc>
        <w:tc>
          <w:tcPr>
            <w:tcW w:type="dxa" w:w="2880"/>
          </w:tcPr>
          <w:p>
            <w:pPr/>
            <w:r>
              <w:rPr>
                <w:sz w:val="18"/>
              </w:rPr>
              <w:t>8% of contract value</w:t>
            </w:r>
          </w:p>
        </w:tc>
        <w:tc>
          <w:tcPr>
            <w:tcW w:type="dxa" w:w="2880"/>
          </w:tcPr>
          <w:p>
            <w:pPr/>
            <w:r>
              <w:rPr>
                <w:sz w:val="18"/>
              </w:rPr>
              <w:t>~12%</w:t>
            </w:r>
          </w:p>
        </w:tc>
      </w:tr>
      <w:tr>
        <w:tc>
          <w:tcPr>
            <w:tcW w:type="dxa" w:w="2880"/>
          </w:tcPr>
          <w:p>
            <w:pPr/>
            <w:r>
              <w:rPr>
                <w:sz w:val="18"/>
              </w:rPr>
              <w:t>SSE 50 Futures (IH)</w:t>
            </w:r>
          </w:p>
        </w:tc>
        <w:tc>
          <w:tcPr>
            <w:tcW w:type="dxa" w:w="2880"/>
          </w:tcPr>
          <w:p>
            <w:pPr/>
            <w:r>
              <w:rPr>
                <w:sz w:val="18"/>
              </w:rPr>
              <w:t>8% of contract value</w:t>
            </w:r>
          </w:p>
        </w:tc>
        <w:tc>
          <w:tcPr>
            <w:tcW w:type="dxa" w:w="2880"/>
          </w:tcPr>
          <w:p>
            <w:pPr/>
            <w:r>
              <w:rPr>
                <w:sz w:val="18"/>
              </w:rPr>
              <w:t>~12%</w:t>
            </w:r>
          </w:p>
        </w:tc>
      </w:tr>
      <w:tr>
        <w:tc>
          <w:tcPr>
            <w:tcW w:type="dxa" w:w="2880"/>
          </w:tcPr>
          <w:p>
            <w:pPr/>
            <w:r>
              <w:rPr>
                <w:sz w:val="18"/>
              </w:rPr>
              <w:t>CSI 500 Futures (IC)</w:t>
            </w:r>
          </w:p>
        </w:tc>
        <w:tc>
          <w:tcPr>
            <w:tcW w:type="dxa" w:w="2880"/>
          </w:tcPr>
          <w:p>
            <w:pPr/>
            <w:r>
              <w:rPr>
                <w:sz w:val="18"/>
              </w:rPr>
              <w:t>8% of contract value</w:t>
            </w:r>
          </w:p>
        </w:tc>
        <w:tc>
          <w:tcPr>
            <w:tcW w:type="dxa" w:w="2880"/>
          </w:tcPr>
          <w:p>
            <w:pPr/>
            <w:r>
              <w:rPr>
                <w:sz w:val="18"/>
              </w:rPr>
              <w:t>~14%</w:t>
            </w:r>
          </w:p>
        </w:tc>
      </w:tr>
      <w:tr>
        <w:tc>
          <w:tcPr>
            <w:tcW w:type="dxa" w:w="2880"/>
          </w:tcPr>
          <w:p>
            <w:pPr/>
            <w:r>
              <w:rPr>
                <w:sz w:val="18"/>
              </w:rPr>
              <w:t>CSI 1000 Futures (IM)</w:t>
            </w:r>
          </w:p>
        </w:tc>
        <w:tc>
          <w:tcPr>
            <w:tcW w:type="dxa" w:w="2880"/>
          </w:tcPr>
          <w:p>
            <w:pPr/>
            <w:r>
              <w:rPr>
                <w:sz w:val="18"/>
              </w:rPr>
              <w:t>8% of contract value</w:t>
            </w:r>
          </w:p>
        </w:tc>
        <w:tc>
          <w:tcPr>
            <w:tcW w:type="dxa" w:w="2880"/>
          </w:tcPr>
          <w:p>
            <w:pPr/>
            <w:r>
              <w:rPr>
                <w:sz w:val="18"/>
              </w:rPr>
              <w:t>~14%</w:t>
            </w:r>
          </w:p>
        </w:tc>
      </w:tr>
    </w:tbl>
    <w:p/>
    <w:p>
      <w:pPr>
        <w:pStyle w:val="Heading4"/>
      </w:pPr>
      <w:r>
        <w:t>CGB Futures -- Margin Rates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Trading Margin</w:t>
            </w:r>
          </w:p>
        </w:tc>
        <w:tc>
          <w:tcPr>
            <w:tcW w:type="dxa" w:w="2880"/>
          </w:tcPr>
          <w:p>
            <w:pPr/>
            <w:r>
              <w:rPr>
                <w:b/>
                <w:sz w:val="18"/>
              </w:rPr>
              <w:t>Pre-Delivery Margin</w:t>
            </w:r>
          </w:p>
        </w:tc>
      </w:tr>
      <w:tr>
        <w:tc>
          <w:tcPr>
            <w:tcW w:type="dxa" w:w="2880"/>
          </w:tcPr>
          <w:p>
            <w:pPr/>
            <w:r>
              <w:rPr>
                <w:sz w:val="18"/>
              </w:rPr>
              <w:t>2-year CGB (TS)</w:t>
            </w:r>
          </w:p>
        </w:tc>
        <w:tc>
          <w:tcPr>
            <w:tcW w:type="dxa" w:w="2880"/>
          </w:tcPr>
          <w:p>
            <w:pPr/>
            <w:r>
              <w:rPr>
                <w:sz w:val="18"/>
              </w:rPr>
              <w:t>0.5% of contract value</w:t>
            </w:r>
          </w:p>
        </w:tc>
        <w:tc>
          <w:tcPr>
            <w:tcW w:type="dxa" w:w="2880"/>
          </w:tcPr>
          <w:p>
            <w:pPr/>
            <w:r>
              <w:rPr>
                <w:sz w:val="18"/>
              </w:rPr>
              <w:t>Raised before delivery month</w:t>
            </w:r>
          </w:p>
        </w:tc>
      </w:tr>
      <w:tr>
        <w:tc>
          <w:tcPr>
            <w:tcW w:type="dxa" w:w="2880"/>
          </w:tcPr>
          <w:p>
            <w:pPr/>
            <w:r>
              <w:rPr>
                <w:sz w:val="18"/>
              </w:rPr>
              <w:t>5-year CGB (TF)</w:t>
            </w:r>
          </w:p>
        </w:tc>
        <w:tc>
          <w:tcPr>
            <w:tcW w:type="dxa" w:w="2880"/>
          </w:tcPr>
          <w:p>
            <w:pPr/>
            <w:r>
              <w:rPr>
                <w:sz w:val="18"/>
              </w:rPr>
              <w:t>1.0% of contract value</w:t>
            </w:r>
          </w:p>
        </w:tc>
        <w:tc>
          <w:tcPr>
            <w:tcW w:type="dxa" w:w="2880"/>
          </w:tcPr>
          <w:p>
            <w:pPr/>
            <w:r>
              <w:rPr>
                <w:sz w:val="18"/>
              </w:rPr>
              <w:t>Raised before delivery month</w:t>
            </w:r>
          </w:p>
        </w:tc>
      </w:tr>
      <w:tr>
        <w:tc>
          <w:tcPr>
            <w:tcW w:type="dxa" w:w="2880"/>
          </w:tcPr>
          <w:p>
            <w:pPr/>
            <w:r>
              <w:rPr>
                <w:sz w:val="18"/>
              </w:rPr>
              <w:t>10-year CGB (T)</w:t>
            </w:r>
          </w:p>
        </w:tc>
        <w:tc>
          <w:tcPr>
            <w:tcW w:type="dxa" w:w="2880"/>
          </w:tcPr>
          <w:p>
            <w:pPr/>
            <w:r>
              <w:rPr>
                <w:sz w:val="18"/>
              </w:rPr>
              <w:t>2.0% of contract value</w:t>
            </w:r>
          </w:p>
        </w:tc>
        <w:tc>
          <w:tcPr>
            <w:tcW w:type="dxa" w:w="2880"/>
          </w:tcPr>
          <w:p>
            <w:pPr/>
            <w:r>
              <w:rPr>
                <w:sz w:val="18"/>
              </w:rPr>
              <w:t>Raised before delivery month</w:t>
            </w:r>
          </w:p>
        </w:tc>
      </w:tr>
      <w:tr>
        <w:tc>
          <w:tcPr>
            <w:tcW w:type="dxa" w:w="2880"/>
          </w:tcPr>
          <w:p>
            <w:pPr/>
            <w:r>
              <w:rPr>
                <w:sz w:val="18"/>
              </w:rPr>
              <w:t>30-year CGB (TL)</w:t>
            </w:r>
          </w:p>
        </w:tc>
        <w:tc>
          <w:tcPr>
            <w:tcW w:type="dxa" w:w="2880"/>
          </w:tcPr>
          <w:p>
            <w:pPr/>
            <w:r>
              <w:rPr>
                <w:sz w:val="18"/>
              </w:rPr>
              <w:t>3.5% of contract value</w:t>
            </w:r>
          </w:p>
        </w:tc>
        <w:tc>
          <w:tcPr>
            <w:tcW w:type="dxa" w:w="2880"/>
          </w:tcPr>
          <w:p>
            <w:pPr/>
            <w:r>
              <w:rPr>
                <w:sz w:val="18"/>
              </w:rPr>
              <w:t>5.0% from 2nd trading day before delivery month</w:t>
            </w:r>
          </w:p>
        </w:tc>
      </w:tr>
    </w:tbl>
    <w:p/>
    <w:p>
      <w:r>
        <w:t>Cross-margin netting: For long and short positions under the same client number through the same member, in the same or different CGB futures products, margin is collected only from the side requiring the larger amount.</w:t>
      </w:r>
    </w:p>
    <w:p>
      <w:r>
        <w:t>[Source: CFFEX, "CSI 300 Index Futures", accessed 2026-04-07]</w:t>
      </w:r>
    </w:p>
    <w:p>
      <w:r>
        <w:t>[Source: CFFEX, "30-Year CGB Futures Listing Notice", http://www.cffex.com.cn/en_new/Notices/20230414/32103.html, accessed 2026-04-07]</w:t>
      </w:r>
    </w:p>
    <w:p>
      <w:r>
        <w:t>[Source: Orient Futures Singapore, "CFFEX Stock Index Futures (QFI)", https://www.orientfutures.com.sg/post-detail/CFFEX-Stock-Index-Futures-(QFI), accessed 2026-04-07]</w:t>
      </w:r>
    </w:p>
    <w:p>
      <w:pPr>
        <w:pStyle w:val="Heading3"/>
      </w:pPr>
      <w:r>
        <w:t>8.5 Other Risk Measures</w:t>
      </w:r>
    </w:p>
    <w:p>
      <w:pPr>
        <w:pStyle w:val="ListBullet"/>
      </w:pPr>
      <w:r>
        <w:t>Forced liquidation: CFFEX may force liquidation of positions when a member's margin falls below required levels</w:t>
      </w:r>
    </w:p>
    <w:p>
      <w:pPr>
        <w:pStyle w:val="ListBullet"/>
      </w:pPr>
      <w:r>
        <w:t>Self-regulatory enforcement: CFFEX regularly publishes circulars on disciplinary actions against members and clients violating trading rules (e.g., exceeding position limits, abnormal trading behavior)</w:t>
      </w:r>
    </w:p>
    <w:p>
      <w:pPr>
        <w:pStyle w:val="ListBullet"/>
      </w:pPr>
      <w:r>
        <w:t>Circuit breakers: While CFFEX uses daily price limits, China's broader market experimented with circuit breakers in January 2016 (triggered twice in one week) before suspending the mechanism</w:t>
      </w:r>
    </w:p>
    <w:p>
      <w:r>
        <w:t>[Source: CFFEX, "Circulars", http://www.cffex.com.cn/en_new/Circulars/20251212/46400.html, accessed 2026-04-07]</w:t>
      </w:r>
    </w:p>
    <w:p>
      <w:r>
        <w:t>[Source: Mondovisione, "Circular On Self-Regulatory Measures Taken By CFFEX", various months 2025]</w:t>
      </w:r>
    </w:p>
    <w:p>
      <w:r>
        <w:t>────────────────────────────────────────────────────────────</w:t>
      </w:r>
    </w:p>
    <w:p>
      <w:pPr>
        <w:pStyle w:val="Heading2"/>
      </w:pPr>
      <w:r>
        <w:t>9. Regulatory Framework</w:t>
      </w:r>
    </w:p>
    <w:p>
      <w:pPr>
        <w:pStyle w:val="Heading3"/>
      </w:pPr>
      <w:r>
        <w:t>9.1 Primary Regulator</w:t>
      </w:r>
    </w:p>
    <w:p>
      <w:r>
        <w:t>China Securities Regulatory Commission (CSRC) is the primary regulatory authority overseeing CFFEX. CFFEX was established with State Council approval and CSRC authorization.</w:t>
      </w:r>
    </w:p>
    <w:p>
      <w:pPr>
        <w:pStyle w:val="Heading3"/>
      </w:pPr>
      <w:r>
        <w:t>9.2 Legal Framework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**Regulations on the Administration of Futures Trading**</w:t>
            </w:r>
          </w:p>
        </w:tc>
        <w:tc>
          <w:tcPr>
            <w:tcW w:type="dxa" w:w="4320"/>
          </w:tcPr>
          <w:p>
            <w:pPr/>
            <w:r>
              <w:rPr>
                <w:sz w:val="18"/>
              </w:rPr>
              <w:t>State Council regulation providing the overarching legal basis for futures trading in China</w:t>
            </w:r>
          </w:p>
        </w:tc>
      </w:tr>
      <w:tr>
        <w:tc>
          <w:tcPr>
            <w:tcW w:type="dxa" w:w="4320"/>
          </w:tcPr>
          <w:p>
            <w:pPr/>
            <w:r>
              <w:rPr>
                <w:sz w:val="18"/>
              </w:rPr>
              <w:t>**Measures for the Administration of Futures Exchanges**</w:t>
            </w:r>
          </w:p>
        </w:tc>
        <w:tc>
          <w:tcPr>
            <w:tcW w:type="dxa" w:w="4320"/>
          </w:tcPr>
          <w:p>
            <w:pPr/>
            <w:r>
              <w:rPr>
                <w:sz w:val="18"/>
              </w:rPr>
              <w:t>CSRC regulation governing the establishment and operation of futures exchanges</w:t>
            </w:r>
          </w:p>
        </w:tc>
      </w:tr>
      <w:tr>
        <w:tc>
          <w:tcPr>
            <w:tcW w:type="dxa" w:w="4320"/>
          </w:tcPr>
          <w:p>
            <w:pPr/>
            <w:r>
              <w:rPr>
                <w:sz w:val="18"/>
              </w:rPr>
              <w:t>**CFFEX Trading Rules**</w:t>
            </w:r>
          </w:p>
        </w:tc>
        <w:tc>
          <w:tcPr>
            <w:tcW w:type="dxa" w:w="4320"/>
          </w:tcPr>
          <w:p>
            <w:pPr/>
            <w:r>
              <w:rPr>
                <w:sz w:val="18"/>
              </w:rPr>
              <w:t>Exchange-level rules governing trading, clearing, delivery, and risk management</w:t>
            </w:r>
          </w:p>
        </w:tc>
      </w:tr>
      <w:tr>
        <w:tc>
          <w:tcPr>
            <w:tcW w:type="dxa" w:w="4320"/>
          </w:tcPr>
          <w:p>
            <w:pPr/>
            <w:r>
              <w:rPr>
                <w:sz w:val="18"/>
              </w:rPr>
              <w:t>**CFFEX Detailed Trading Rules**</w:t>
            </w:r>
          </w:p>
        </w:tc>
        <w:tc>
          <w:tcPr>
            <w:tcW w:type="dxa" w:w="4320"/>
          </w:tcPr>
          <w:p>
            <w:pPr/>
            <w:r>
              <w:rPr>
                <w:sz w:val="18"/>
              </w:rPr>
              <w:t>Product-specific rules for each contract type</w:t>
            </w:r>
          </w:p>
        </w:tc>
      </w:tr>
    </w:tbl>
    <w:p/>
    <w:p>
      <w:pPr>
        <w:pStyle w:val="Heading3"/>
      </w:pPr>
      <w:r>
        <w:t>9.3 Self-Regulatory Functions</w:t>
      </w:r>
    </w:p>
    <w:p>
      <w:r>
        <w:t>CFFEX performs self-regulatory duties including:</w:t>
      </w:r>
    </w:p>
    <w:p>
      <w:pPr>
        <w:pStyle w:val="ListBullet"/>
      </w:pPr>
      <w:r>
        <w:t>Formulating and enforcing trading rules</w:t>
      </w:r>
    </w:p>
    <w:p>
      <w:pPr>
        <w:pStyle w:val="ListBullet"/>
      </w:pPr>
      <w:r>
        <w:t>Monitoring trading activity for abnormal behavior</w:t>
      </w:r>
    </w:p>
    <w:p>
      <w:pPr>
        <w:pStyle w:val="ListBullet"/>
      </w:pPr>
      <w:r>
        <w:t>Investigating and disciplining violations</w:t>
      </w:r>
    </w:p>
    <w:p>
      <w:pPr>
        <w:pStyle w:val="ListBullet"/>
      </w:pPr>
      <w:r>
        <w:t>Publishing monthly circulars on self-regulatory measures taken</w:t>
      </w:r>
    </w:p>
    <w:p>
      <w:pPr>
        <w:pStyle w:val="ListBullet"/>
      </w:pPr>
      <w:r>
        <w:t>Conducting investor education</w:t>
      </w:r>
    </w:p>
    <w:p>
      <w:pPr>
        <w:pStyle w:val="Heading3"/>
      </w:pPr>
      <w:r>
        <w:t>9.4 Market Access</w:t>
      </w:r>
    </w:p>
    <w:p>
      <w:pPr>
        <w:pStyle w:val="ListBullet"/>
      </w:pPr>
      <w:r>
        <w:t>Domestic participants: Futures companies licensed by CSRC serve as intermediaries; individuals and institutions trade through these futures companies</w:t>
      </w:r>
    </w:p>
    <w:p>
      <w:pPr>
        <w:pStyle w:val="ListBullet"/>
      </w:pPr>
      <w:r>
        <w:t>Foreign access: Qualified Foreign Institutional Investors (QFII) and RMB Qualified Foreign Institutional Investors (RQFII) may participate in CFFEX products, subject to CSRC approval and position limits</w:t>
      </w:r>
    </w:p>
    <w:p>
      <w:pPr>
        <w:pStyle w:val="ListBullet"/>
      </w:pPr>
      <w:r>
        <w:t>QFI (Qualified Foreign Investors) scheme: Since 2020 reforms (merging QFII and RQFII), foreign investors have broader access to CFFEX products for hedging purposes</w:t>
      </w:r>
    </w:p>
    <w:p>
      <w:r>
        <w:t>[Source: CFFEX, "Contract Rules", http://www.cffex.com.cn/en_new/fzhygz/, accessed 2026-04-07]</w:t>
      </w:r>
    </w:p>
    <w:p>
      <w:r>
        <w:t>[Source: China Law Insight, "A new chapter for (R)QFIIs", https://www.chinalawinsight.com/2020/10/articles/foreign-investment/a-new-chapter-for-rqfiis-more-than-meets-the-eyes/, accessed 2026-04-07]</w:t>
      </w:r>
    </w:p>
    <w:p>
      <w:r>
        <w:t>────────────────────────────────────────────────────────────</w:t>
      </w:r>
    </w:p>
    <w:p>
      <w:pPr>
        <w:pStyle w:val="Heading2"/>
      </w:pPr>
      <w:r>
        <w:t>Product Catalog</w:t>
      </w:r>
    </w:p>
    <w:p>
      <w:pPr>
        <w:pStyle w:val="Heading3"/>
      </w:pPr>
      <w:r>
        <w:t>Stock Index Futures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Code</w:t>
            </w:r>
          </w:p>
        </w:tc>
        <w:tc>
          <w:tcPr>
            <w:tcW w:type="dxa" w:w="2160"/>
          </w:tcPr>
          <w:p>
            <w:pPr/>
            <w:r>
              <w:rPr>
                <w:b/>
                <w:sz w:val="18"/>
              </w:rPr>
              <w:t>Product</w:t>
            </w:r>
          </w:p>
        </w:tc>
        <w:tc>
          <w:tcPr>
            <w:tcW w:type="dxa" w:w="2160"/>
          </w:tcPr>
          <w:p>
            <w:pPr/>
            <w:r>
              <w:rPr>
                <w:b/>
                <w:sz w:val="18"/>
              </w:rPr>
              <w:t>Underlying Index</w:t>
            </w:r>
          </w:p>
        </w:tc>
        <w:tc>
          <w:tcPr>
            <w:tcW w:type="dxa" w:w="2160"/>
          </w:tcPr>
          <w:p>
            <w:pPr/>
            <w:r>
              <w:rPr>
                <w:b/>
                <w:sz w:val="18"/>
              </w:rPr>
              <w:t>Launch Date</w:t>
            </w:r>
          </w:p>
        </w:tc>
      </w:tr>
      <w:tr>
        <w:tc>
          <w:tcPr>
            <w:tcW w:type="dxa" w:w="2160"/>
          </w:tcPr>
          <w:p>
            <w:pPr/>
            <w:r>
              <w:rPr>
                <w:sz w:val="18"/>
              </w:rPr>
              <w:t>IF</w:t>
            </w:r>
          </w:p>
        </w:tc>
        <w:tc>
          <w:tcPr>
            <w:tcW w:type="dxa" w:w="2160"/>
          </w:tcPr>
          <w:p>
            <w:pPr/>
            <w:r>
              <w:rPr>
                <w:sz w:val="18"/>
              </w:rPr>
              <w:t>CSI 300 Index Futures</w:t>
            </w:r>
          </w:p>
        </w:tc>
        <w:tc>
          <w:tcPr>
            <w:tcW w:type="dxa" w:w="2160"/>
          </w:tcPr>
          <w:p>
            <w:pPr/>
            <w:r>
              <w:rPr>
                <w:sz w:val="18"/>
              </w:rPr>
              <w:t>CSI 300 (沪深300)</w:t>
            </w:r>
          </w:p>
        </w:tc>
        <w:tc>
          <w:tcPr>
            <w:tcW w:type="dxa" w:w="2160"/>
          </w:tcPr>
          <w:p>
            <w:pPr/>
            <w:r>
              <w:rPr>
                <w:sz w:val="18"/>
              </w:rPr>
              <w:t>2010-04-16</w:t>
            </w:r>
          </w:p>
        </w:tc>
      </w:tr>
      <w:tr>
        <w:tc>
          <w:tcPr>
            <w:tcW w:type="dxa" w:w="2160"/>
          </w:tcPr>
          <w:p>
            <w:pPr/>
            <w:r>
              <w:rPr>
                <w:sz w:val="18"/>
              </w:rPr>
              <w:t>IH</w:t>
            </w:r>
          </w:p>
        </w:tc>
        <w:tc>
          <w:tcPr>
            <w:tcW w:type="dxa" w:w="2160"/>
          </w:tcPr>
          <w:p>
            <w:pPr/>
            <w:r>
              <w:rPr>
                <w:sz w:val="18"/>
              </w:rPr>
              <w:t>SSE 50 Index Futures</w:t>
            </w:r>
          </w:p>
        </w:tc>
        <w:tc>
          <w:tcPr>
            <w:tcW w:type="dxa" w:w="2160"/>
          </w:tcPr>
          <w:p>
            <w:pPr/>
            <w:r>
              <w:rPr>
                <w:sz w:val="18"/>
              </w:rPr>
              <w:t>SSE 50 (上证50)</w:t>
            </w:r>
          </w:p>
        </w:tc>
        <w:tc>
          <w:tcPr>
            <w:tcW w:type="dxa" w:w="2160"/>
          </w:tcPr>
          <w:p>
            <w:pPr/>
            <w:r>
              <w:rPr>
                <w:sz w:val="18"/>
              </w:rPr>
              <w:t>2015-04-16</w:t>
            </w:r>
          </w:p>
        </w:tc>
      </w:tr>
      <w:tr>
        <w:tc>
          <w:tcPr>
            <w:tcW w:type="dxa" w:w="2160"/>
          </w:tcPr>
          <w:p>
            <w:pPr/>
            <w:r>
              <w:rPr>
                <w:sz w:val="18"/>
              </w:rPr>
              <w:t>IC</w:t>
            </w:r>
          </w:p>
        </w:tc>
        <w:tc>
          <w:tcPr>
            <w:tcW w:type="dxa" w:w="2160"/>
          </w:tcPr>
          <w:p>
            <w:pPr/>
            <w:r>
              <w:rPr>
                <w:sz w:val="18"/>
              </w:rPr>
              <w:t>CSI 500 Index Futures</w:t>
            </w:r>
          </w:p>
        </w:tc>
        <w:tc>
          <w:tcPr>
            <w:tcW w:type="dxa" w:w="2160"/>
          </w:tcPr>
          <w:p>
            <w:pPr/>
            <w:r>
              <w:rPr>
                <w:sz w:val="18"/>
              </w:rPr>
              <w:t>CSI 500 (中证500)</w:t>
            </w:r>
          </w:p>
        </w:tc>
        <w:tc>
          <w:tcPr>
            <w:tcW w:type="dxa" w:w="2160"/>
          </w:tcPr>
          <w:p>
            <w:pPr/>
            <w:r>
              <w:rPr>
                <w:sz w:val="18"/>
              </w:rPr>
              <w:t>2015-04-16</w:t>
            </w:r>
          </w:p>
        </w:tc>
      </w:tr>
      <w:tr>
        <w:tc>
          <w:tcPr>
            <w:tcW w:type="dxa" w:w="2160"/>
          </w:tcPr>
          <w:p>
            <w:pPr/>
            <w:r>
              <w:rPr>
                <w:sz w:val="18"/>
              </w:rPr>
              <w:t>IM</w:t>
            </w:r>
          </w:p>
        </w:tc>
        <w:tc>
          <w:tcPr>
            <w:tcW w:type="dxa" w:w="2160"/>
          </w:tcPr>
          <w:p>
            <w:pPr/>
            <w:r>
              <w:rPr>
                <w:sz w:val="18"/>
              </w:rPr>
              <w:t>CSI 1000 Index Futures</w:t>
            </w:r>
          </w:p>
        </w:tc>
        <w:tc>
          <w:tcPr>
            <w:tcW w:type="dxa" w:w="2160"/>
          </w:tcPr>
          <w:p>
            <w:pPr/>
            <w:r>
              <w:rPr>
                <w:sz w:val="18"/>
              </w:rPr>
              <w:t>CSI 1000 (中证1000)</w:t>
            </w:r>
          </w:p>
        </w:tc>
        <w:tc>
          <w:tcPr>
            <w:tcW w:type="dxa" w:w="2160"/>
          </w:tcPr>
          <w:p>
            <w:pPr/>
            <w:r>
              <w:rPr>
                <w:sz w:val="18"/>
              </w:rPr>
              <w:t>2022-07-22</w:t>
            </w:r>
          </w:p>
        </w:tc>
      </w:tr>
    </w:tbl>
    <w:p/>
    <w:p>
      <w:pPr>
        <w:pStyle w:val="Heading3"/>
      </w:pPr>
      <w:r>
        <w:t>Government Bond (CGB) Futures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Code</w:t>
            </w:r>
          </w:p>
        </w:tc>
        <w:tc>
          <w:tcPr>
            <w:tcW w:type="dxa" w:w="2160"/>
          </w:tcPr>
          <w:p>
            <w:pPr/>
            <w:r>
              <w:rPr>
                <w:b/>
                <w:sz w:val="18"/>
              </w:rPr>
              <w:t>Product</w:t>
            </w:r>
          </w:p>
        </w:tc>
        <w:tc>
          <w:tcPr>
            <w:tcW w:type="dxa" w:w="2160"/>
          </w:tcPr>
          <w:p>
            <w:pPr/>
            <w:r>
              <w:rPr>
                <w:b/>
                <w:sz w:val="18"/>
              </w:rPr>
              <w:t>Underlying</w:t>
            </w:r>
          </w:p>
        </w:tc>
        <w:tc>
          <w:tcPr>
            <w:tcW w:type="dxa" w:w="2160"/>
          </w:tcPr>
          <w:p>
            <w:pPr/>
            <w:r>
              <w:rPr>
                <w:b/>
                <w:sz w:val="18"/>
              </w:rPr>
              <w:t>Launch Date</w:t>
            </w:r>
          </w:p>
        </w:tc>
      </w:tr>
      <w:tr>
        <w:tc>
          <w:tcPr>
            <w:tcW w:type="dxa" w:w="2160"/>
          </w:tcPr>
          <w:p>
            <w:pPr/>
            <w:r>
              <w:rPr>
                <w:sz w:val="18"/>
              </w:rPr>
              <w:t>TS</w:t>
            </w:r>
          </w:p>
        </w:tc>
        <w:tc>
          <w:tcPr>
            <w:tcW w:type="dxa" w:w="2160"/>
          </w:tcPr>
          <w:p>
            <w:pPr/>
            <w:r>
              <w:rPr>
                <w:sz w:val="18"/>
              </w:rPr>
              <w:t>2-year CGB Futures</w:t>
            </w:r>
          </w:p>
        </w:tc>
        <w:tc>
          <w:tcPr>
            <w:tcW w:type="dxa" w:w="2160"/>
          </w:tcPr>
          <w:p>
            <w:pPr/>
            <w:r>
              <w:rPr>
                <w:sz w:val="18"/>
              </w:rPr>
              <w:t>Notional 2-year CGB</w:t>
            </w:r>
          </w:p>
        </w:tc>
        <w:tc>
          <w:tcPr>
            <w:tcW w:type="dxa" w:w="2160"/>
          </w:tcPr>
          <w:p>
            <w:pPr/>
            <w:r>
              <w:rPr>
                <w:sz w:val="18"/>
              </w:rPr>
              <w:t>2018-08-17</w:t>
            </w:r>
          </w:p>
        </w:tc>
      </w:tr>
      <w:tr>
        <w:tc>
          <w:tcPr>
            <w:tcW w:type="dxa" w:w="2160"/>
          </w:tcPr>
          <w:p>
            <w:pPr/>
            <w:r>
              <w:rPr>
                <w:sz w:val="18"/>
              </w:rPr>
              <w:t>TF</w:t>
            </w:r>
          </w:p>
        </w:tc>
        <w:tc>
          <w:tcPr>
            <w:tcW w:type="dxa" w:w="2160"/>
          </w:tcPr>
          <w:p>
            <w:pPr/>
            <w:r>
              <w:rPr>
                <w:sz w:val="18"/>
              </w:rPr>
              <w:t>5-year CGB Futures</w:t>
            </w:r>
          </w:p>
        </w:tc>
        <w:tc>
          <w:tcPr>
            <w:tcW w:type="dxa" w:w="2160"/>
          </w:tcPr>
          <w:p>
            <w:pPr/>
            <w:r>
              <w:rPr>
                <w:sz w:val="18"/>
              </w:rPr>
              <w:t>Notional 5-year CGB</w:t>
            </w:r>
          </w:p>
        </w:tc>
        <w:tc>
          <w:tcPr>
            <w:tcW w:type="dxa" w:w="2160"/>
          </w:tcPr>
          <w:p>
            <w:pPr/>
            <w:r>
              <w:rPr>
                <w:sz w:val="18"/>
              </w:rPr>
              <w:t>2013-09-06</w:t>
            </w:r>
          </w:p>
        </w:tc>
      </w:tr>
      <w:tr>
        <w:tc>
          <w:tcPr>
            <w:tcW w:type="dxa" w:w="2160"/>
          </w:tcPr>
          <w:p>
            <w:pPr/>
            <w:r>
              <w:rPr>
                <w:sz w:val="18"/>
              </w:rPr>
              <w:t>T</w:t>
            </w:r>
          </w:p>
        </w:tc>
        <w:tc>
          <w:tcPr>
            <w:tcW w:type="dxa" w:w="2160"/>
          </w:tcPr>
          <w:p>
            <w:pPr/>
            <w:r>
              <w:rPr>
                <w:sz w:val="18"/>
              </w:rPr>
              <w:t>10-year CGB Futures</w:t>
            </w:r>
          </w:p>
        </w:tc>
        <w:tc>
          <w:tcPr>
            <w:tcW w:type="dxa" w:w="2160"/>
          </w:tcPr>
          <w:p>
            <w:pPr/>
            <w:r>
              <w:rPr>
                <w:sz w:val="18"/>
              </w:rPr>
              <w:t>Notional 10-year CGB</w:t>
            </w:r>
          </w:p>
        </w:tc>
        <w:tc>
          <w:tcPr>
            <w:tcW w:type="dxa" w:w="2160"/>
          </w:tcPr>
          <w:p>
            <w:pPr/>
            <w:r>
              <w:rPr>
                <w:sz w:val="18"/>
              </w:rPr>
              <w:t>2015-03-20</w:t>
            </w:r>
          </w:p>
        </w:tc>
      </w:tr>
      <w:tr>
        <w:tc>
          <w:tcPr>
            <w:tcW w:type="dxa" w:w="2160"/>
          </w:tcPr>
          <w:p>
            <w:pPr/>
            <w:r>
              <w:rPr>
                <w:sz w:val="18"/>
              </w:rPr>
              <w:t>TL</w:t>
            </w:r>
          </w:p>
        </w:tc>
        <w:tc>
          <w:tcPr>
            <w:tcW w:type="dxa" w:w="2160"/>
          </w:tcPr>
          <w:p>
            <w:pPr/>
            <w:r>
              <w:rPr>
                <w:sz w:val="18"/>
              </w:rPr>
              <w:t>30-year CGB Futures</w:t>
            </w:r>
          </w:p>
        </w:tc>
        <w:tc>
          <w:tcPr>
            <w:tcW w:type="dxa" w:w="2160"/>
          </w:tcPr>
          <w:p>
            <w:pPr/>
            <w:r>
              <w:rPr>
                <w:sz w:val="18"/>
              </w:rPr>
              <w:t>Notional 30-year CGB</w:t>
            </w:r>
          </w:p>
        </w:tc>
        <w:tc>
          <w:tcPr>
            <w:tcW w:type="dxa" w:w="2160"/>
          </w:tcPr>
          <w:p>
            <w:pPr/>
            <w:r>
              <w:rPr>
                <w:sz w:val="18"/>
              </w:rPr>
              <w:t>2023-04-21</w:t>
            </w:r>
          </w:p>
        </w:tc>
      </w:tr>
    </w:tbl>
    <w:p/>
    <w:p>
      <w:pPr>
        <w:pStyle w:val="Heading3"/>
      </w:pPr>
      <w:r>
        <w:t>Stock Index Options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Code</w:t>
            </w:r>
          </w:p>
        </w:tc>
        <w:tc>
          <w:tcPr>
            <w:tcW w:type="dxa" w:w="1728"/>
          </w:tcPr>
          <w:p>
            <w:pPr/>
            <w:r>
              <w:rPr>
                <w:b/>
                <w:sz w:val="18"/>
              </w:rPr>
              <w:t>Product</w:t>
            </w:r>
          </w:p>
        </w:tc>
        <w:tc>
          <w:tcPr>
            <w:tcW w:type="dxa" w:w="1728"/>
          </w:tcPr>
          <w:p>
            <w:pPr/>
            <w:r>
              <w:rPr>
                <w:b/>
                <w:sz w:val="18"/>
              </w:rPr>
              <w:t>Underlying</w:t>
            </w:r>
          </w:p>
        </w:tc>
        <w:tc>
          <w:tcPr>
            <w:tcW w:type="dxa" w:w="1728"/>
          </w:tcPr>
          <w:p>
            <w:pPr/>
            <w:r>
              <w:rPr>
                <w:b/>
                <w:sz w:val="18"/>
              </w:rPr>
              <w:t>Style</w:t>
            </w:r>
          </w:p>
        </w:tc>
        <w:tc>
          <w:tcPr>
            <w:tcW w:type="dxa" w:w="1728"/>
          </w:tcPr>
          <w:p>
            <w:pPr/>
            <w:r>
              <w:rPr>
                <w:b/>
                <w:sz w:val="18"/>
              </w:rPr>
              <w:t>Launch Date</w:t>
            </w:r>
          </w:p>
        </w:tc>
      </w:tr>
      <w:tr>
        <w:tc>
          <w:tcPr>
            <w:tcW w:type="dxa" w:w="1728"/>
          </w:tcPr>
          <w:p>
            <w:pPr/>
            <w:r>
              <w:rPr>
                <w:sz w:val="18"/>
              </w:rPr>
              <w:t>IO</w:t>
            </w:r>
          </w:p>
        </w:tc>
        <w:tc>
          <w:tcPr>
            <w:tcW w:type="dxa" w:w="1728"/>
          </w:tcPr>
          <w:p>
            <w:pPr/>
            <w:r>
              <w:rPr>
                <w:sz w:val="18"/>
              </w:rPr>
              <w:t>CSI 300 Index Options</w:t>
            </w:r>
          </w:p>
        </w:tc>
        <w:tc>
          <w:tcPr>
            <w:tcW w:type="dxa" w:w="1728"/>
          </w:tcPr>
          <w:p>
            <w:pPr/>
            <w:r>
              <w:rPr>
                <w:sz w:val="18"/>
              </w:rPr>
              <w:t>CSI 300 Index</w:t>
            </w:r>
          </w:p>
        </w:tc>
        <w:tc>
          <w:tcPr>
            <w:tcW w:type="dxa" w:w="1728"/>
          </w:tcPr>
          <w:p>
            <w:pPr/>
            <w:r>
              <w:rPr>
                <w:sz w:val="18"/>
              </w:rPr>
              <w:t>European</w:t>
            </w:r>
          </w:p>
        </w:tc>
        <w:tc>
          <w:tcPr>
            <w:tcW w:type="dxa" w:w="1728"/>
          </w:tcPr>
          <w:p>
            <w:pPr/>
            <w:r>
              <w:rPr>
                <w:sz w:val="18"/>
              </w:rPr>
              <w:t>2019-12-23</w:t>
            </w:r>
          </w:p>
        </w:tc>
      </w:tr>
      <w:tr>
        <w:tc>
          <w:tcPr>
            <w:tcW w:type="dxa" w:w="1728"/>
          </w:tcPr>
          <w:p>
            <w:pPr/>
            <w:r>
              <w:rPr>
                <w:sz w:val="18"/>
              </w:rPr>
              <w:t>MO</w:t>
            </w:r>
          </w:p>
        </w:tc>
        <w:tc>
          <w:tcPr>
            <w:tcW w:type="dxa" w:w="1728"/>
          </w:tcPr>
          <w:p>
            <w:pPr/>
            <w:r>
              <w:rPr>
                <w:sz w:val="18"/>
              </w:rPr>
              <w:t>CSI 1000 Index Options</w:t>
            </w:r>
          </w:p>
        </w:tc>
        <w:tc>
          <w:tcPr>
            <w:tcW w:type="dxa" w:w="1728"/>
          </w:tcPr>
          <w:p>
            <w:pPr/>
            <w:r>
              <w:rPr>
                <w:sz w:val="18"/>
              </w:rPr>
              <w:t>CSI 1000 Index</w:t>
            </w:r>
          </w:p>
        </w:tc>
        <w:tc>
          <w:tcPr>
            <w:tcW w:type="dxa" w:w="1728"/>
          </w:tcPr>
          <w:p>
            <w:pPr/>
            <w:r>
              <w:rPr>
                <w:sz w:val="18"/>
              </w:rPr>
              <w:t>European</w:t>
            </w:r>
          </w:p>
        </w:tc>
        <w:tc>
          <w:tcPr>
            <w:tcW w:type="dxa" w:w="1728"/>
          </w:tcPr>
          <w:p>
            <w:pPr/>
            <w:r>
              <w:rPr>
                <w:sz w:val="18"/>
              </w:rPr>
              <w:t>2022-07-22</w:t>
            </w:r>
          </w:p>
        </w:tc>
      </w:tr>
      <w:tr>
        <w:tc>
          <w:tcPr>
            <w:tcW w:type="dxa" w:w="1728"/>
          </w:tcPr>
          <w:p>
            <w:pPr/>
            <w:r>
              <w:rPr>
                <w:sz w:val="18"/>
              </w:rPr>
              <w:t>HO</w:t>
            </w:r>
          </w:p>
        </w:tc>
        <w:tc>
          <w:tcPr>
            <w:tcW w:type="dxa" w:w="1728"/>
          </w:tcPr>
          <w:p>
            <w:pPr/>
            <w:r>
              <w:rPr>
                <w:sz w:val="18"/>
              </w:rPr>
              <w:t>SSE 50 Index Options</w:t>
            </w:r>
          </w:p>
        </w:tc>
        <w:tc>
          <w:tcPr>
            <w:tcW w:type="dxa" w:w="1728"/>
          </w:tcPr>
          <w:p>
            <w:pPr/>
            <w:r>
              <w:rPr>
                <w:sz w:val="18"/>
              </w:rPr>
              <w:t>SSE 50 Index</w:t>
            </w:r>
          </w:p>
        </w:tc>
        <w:tc>
          <w:tcPr>
            <w:tcW w:type="dxa" w:w="1728"/>
          </w:tcPr>
          <w:p>
            <w:pPr/>
            <w:r>
              <w:rPr>
                <w:sz w:val="18"/>
              </w:rPr>
              <w:t>European</w:t>
            </w:r>
          </w:p>
        </w:tc>
        <w:tc>
          <w:tcPr>
            <w:tcW w:type="dxa" w:w="1728"/>
          </w:tcPr>
          <w:p>
            <w:pPr/>
            <w:r>
              <w:rPr>
                <w:sz w:val="18"/>
              </w:rPr>
              <w:t>2022-12-19</w:t>
            </w:r>
          </w:p>
        </w:tc>
      </w:tr>
    </w:tbl>
    <w:p/>
    <w:p>
      <w:r>
        <w:t>[Source: CFFEX official website, product pages, accessed 2026-04-07]</w:t>
      </w:r>
    </w:p>
    <w:p>
      <w:r>
        <w:t>[Source: Wikipedia, "China Financial Futures Exchange", accessed 2026-04-07]</w:t>
      </w:r>
    </w:p>
    <w:p>
      <w:r>
        <w:t>────────────────────────────────────────────────────────────</w:t>
      </w:r>
    </w:p>
    <w:p>
      <w:pPr>
        <w:pStyle w:val="Heading2"/>
      </w:pPr>
      <w:r>
        <w:t>Contract Specifications</w:t>
      </w:r>
    </w:p>
    <w:p>
      <w:pPr>
        <w:pStyle w:val="Heading3"/>
      </w:pPr>
      <w:r>
        <w:t>Stock Index Futures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Specification</w:t>
            </w:r>
          </w:p>
        </w:tc>
        <w:tc>
          <w:tcPr>
            <w:tcW w:type="dxa" w:w="1728"/>
          </w:tcPr>
          <w:p>
            <w:pPr/>
            <w:r>
              <w:rPr>
                <w:b/>
                <w:sz w:val="18"/>
              </w:rPr>
              <w:t>CSI 300 (IF)</w:t>
            </w:r>
          </w:p>
        </w:tc>
        <w:tc>
          <w:tcPr>
            <w:tcW w:type="dxa" w:w="1728"/>
          </w:tcPr>
          <w:p>
            <w:pPr/>
            <w:r>
              <w:rPr>
                <w:b/>
                <w:sz w:val="18"/>
              </w:rPr>
              <w:t>SSE 50 (IH)</w:t>
            </w:r>
          </w:p>
        </w:tc>
        <w:tc>
          <w:tcPr>
            <w:tcW w:type="dxa" w:w="1728"/>
          </w:tcPr>
          <w:p>
            <w:pPr/>
            <w:r>
              <w:rPr>
                <w:b/>
                <w:sz w:val="18"/>
              </w:rPr>
              <w:t>CSI 500 (IC)</w:t>
            </w:r>
          </w:p>
        </w:tc>
        <w:tc>
          <w:tcPr>
            <w:tcW w:type="dxa" w:w="1728"/>
          </w:tcPr>
          <w:p>
            <w:pPr/>
            <w:r>
              <w:rPr>
                <w:b/>
                <w:sz w:val="18"/>
              </w:rPr>
              <w:t>CSI 1000 (IM)</w:t>
            </w:r>
          </w:p>
        </w:tc>
      </w:tr>
      <w:tr>
        <w:tc>
          <w:tcPr>
            <w:tcW w:type="dxa" w:w="1728"/>
          </w:tcPr>
          <w:p>
            <w:pPr/>
            <w:r>
              <w:rPr>
                <w:sz w:val="18"/>
              </w:rPr>
              <w:t>Contract Multiplier</w:t>
            </w:r>
          </w:p>
        </w:tc>
        <w:tc>
          <w:tcPr>
            <w:tcW w:type="dxa" w:w="1728"/>
          </w:tcPr>
          <w:p>
            <w:pPr/>
            <w:r>
              <w:rPr>
                <w:sz w:val="18"/>
              </w:rPr>
              <w:t>RMB 300 per point</w:t>
            </w:r>
          </w:p>
        </w:tc>
        <w:tc>
          <w:tcPr>
            <w:tcW w:type="dxa" w:w="1728"/>
          </w:tcPr>
          <w:p>
            <w:pPr/>
            <w:r>
              <w:rPr>
                <w:sz w:val="18"/>
              </w:rPr>
              <w:t>RMB 300 per point</w:t>
            </w:r>
          </w:p>
        </w:tc>
        <w:tc>
          <w:tcPr>
            <w:tcW w:type="dxa" w:w="1728"/>
          </w:tcPr>
          <w:p>
            <w:pPr/>
            <w:r>
              <w:rPr>
                <w:sz w:val="18"/>
              </w:rPr>
              <w:t>RMB 200 per point</w:t>
            </w:r>
          </w:p>
        </w:tc>
        <w:tc>
          <w:tcPr>
            <w:tcW w:type="dxa" w:w="1728"/>
          </w:tcPr>
          <w:p>
            <w:pPr/>
            <w:r>
              <w:rPr>
                <w:sz w:val="18"/>
              </w:rPr>
              <w:t>RMB 200 per point</w:t>
            </w:r>
          </w:p>
        </w:tc>
      </w:tr>
      <w:tr>
        <w:tc>
          <w:tcPr>
            <w:tcW w:type="dxa" w:w="1728"/>
          </w:tcPr>
          <w:p>
            <w:pPr/>
            <w:r>
              <w:rPr>
                <w:sz w:val="18"/>
              </w:rPr>
              <w:t>Tick Size</w:t>
            </w:r>
          </w:p>
        </w:tc>
        <w:tc>
          <w:tcPr>
            <w:tcW w:type="dxa" w:w="1728"/>
          </w:tcPr>
          <w:p>
            <w:pPr/>
            <w:r>
              <w:rPr>
                <w:sz w:val="18"/>
              </w:rPr>
              <w:t>0.2 index points</w:t>
            </w:r>
          </w:p>
        </w:tc>
        <w:tc>
          <w:tcPr>
            <w:tcW w:type="dxa" w:w="1728"/>
          </w:tcPr>
          <w:p>
            <w:pPr/>
            <w:r>
              <w:rPr>
                <w:sz w:val="18"/>
              </w:rPr>
              <w:t>0.2 index points</w:t>
            </w:r>
          </w:p>
        </w:tc>
        <w:tc>
          <w:tcPr>
            <w:tcW w:type="dxa" w:w="1728"/>
          </w:tcPr>
          <w:p>
            <w:pPr/>
            <w:r>
              <w:rPr>
                <w:sz w:val="18"/>
              </w:rPr>
              <w:t>0.2 index points</w:t>
            </w:r>
          </w:p>
        </w:tc>
        <w:tc>
          <w:tcPr>
            <w:tcW w:type="dxa" w:w="1728"/>
          </w:tcPr>
          <w:p>
            <w:pPr/>
            <w:r>
              <w:rPr>
                <w:sz w:val="18"/>
              </w:rPr>
              <w:t>0.2 index points</w:t>
            </w:r>
          </w:p>
        </w:tc>
      </w:tr>
      <w:tr>
        <w:tc>
          <w:tcPr>
            <w:tcW w:type="dxa" w:w="1728"/>
          </w:tcPr>
          <w:p>
            <w:pPr/>
            <w:r>
              <w:rPr>
                <w:sz w:val="18"/>
              </w:rPr>
              <w:t>Tick Value</w:t>
            </w:r>
          </w:p>
        </w:tc>
        <w:tc>
          <w:tcPr>
            <w:tcW w:type="dxa" w:w="1728"/>
          </w:tcPr>
          <w:p>
            <w:pPr/>
            <w:r>
              <w:rPr>
                <w:sz w:val="18"/>
              </w:rPr>
              <w:t>RMB 60</w:t>
            </w:r>
          </w:p>
        </w:tc>
        <w:tc>
          <w:tcPr>
            <w:tcW w:type="dxa" w:w="1728"/>
          </w:tcPr>
          <w:p>
            <w:pPr/>
            <w:r>
              <w:rPr>
                <w:sz w:val="18"/>
              </w:rPr>
              <w:t>RMB 60</w:t>
            </w:r>
          </w:p>
        </w:tc>
        <w:tc>
          <w:tcPr>
            <w:tcW w:type="dxa" w:w="1728"/>
          </w:tcPr>
          <w:p>
            <w:pPr/>
            <w:r>
              <w:rPr>
                <w:sz w:val="18"/>
              </w:rPr>
              <w:t>RMB 40</w:t>
            </w:r>
          </w:p>
        </w:tc>
        <w:tc>
          <w:tcPr>
            <w:tcW w:type="dxa" w:w="1728"/>
          </w:tcPr>
          <w:p>
            <w:pPr/>
            <w:r>
              <w:rPr>
                <w:sz w:val="18"/>
              </w:rPr>
              <w:t>RMB 40</w:t>
            </w:r>
          </w:p>
        </w:tc>
      </w:tr>
      <w:tr>
        <w:tc>
          <w:tcPr>
            <w:tcW w:type="dxa" w:w="1728"/>
          </w:tcPr>
          <w:p>
            <w:pPr/>
            <w:r>
              <w:rPr>
                <w:sz w:val="18"/>
              </w:rPr>
              <w:t>Daily Price Limit</w:t>
            </w:r>
          </w:p>
        </w:tc>
        <w:tc>
          <w:tcPr>
            <w:tcW w:type="dxa" w:w="1728"/>
          </w:tcPr>
          <w:p>
            <w:pPr/>
            <w:r>
              <w:rPr>
                <w:sz w:val="18"/>
              </w:rPr>
              <w:t>±10%</w:t>
            </w:r>
          </w:p>
        </w:tc>
        <w:tc>
          <w:tcPr>
            <w:tcW w:type="dxa" w:w="1728"/>
          </w:tcPr>
          <w:p>
            <w:pPr/>
            <w:r>
              <w:rPr>
                <w:sz w:val="18"/>
              </w:rPr>
              <w:t>±10%</w:t>
            </w:r>
          </w:p>
        </w:tc>
        <w:tc>
          <w:tcPr>
            <w:tcW w:type="dxa" w:w="1728"/>
          </w:tcPr>
          <w:p>
            <w:pPr/>
            <w:r>
              <w:rPr>
                <w:sz w:val="18"/>
              </w:rPr>
              <w:t>±10%</w:t>
            </w:r>
          </w:p>
        </w:tc>
        <w:tc>
          <w:tcPr>
            <w:tcW w:type="dxa" w:w="1728"/>
          </w:tcPr>
          <w:p>
            <w:pPr/>
            <w:r>
              <w:rPr>
                <w:sz w:val="18"/>
              </w:rPr>
              <w:t>±10%</w:t>
            </w:r>
          </w:p>
        </w:tc>
      </w:tr>
      <w:tr>
        <w:tc>
          <w:tcPr>
            <w:tcW w:type="dxa" w:w="1728"/>
          </w:tcPr>
          <w:p>
            <w:pPr/>
            <w:r>
              <w:rPr>
                <w:sz w:val="18"/>
              </w:rPr>
              <w:t>Contract Months</w:t>
            </w:r>
          </w:p>
        </w:tc>
        <w:tc>
          <w:tcPr>
            <w:tcW w:type="dxa" w:w="1728"/>
          </w:tcPr>
          <w:p>
            <w:pPr/>
            <w:r>
              <w:rPr>
                <w:sz w:val="18"/>
              </w:rPr>
              <w:t>Current, next, + 2 quarterlies</w:t>
            </w:r>
          </w:p>
        </w:tc>
        <w:tc>
          <w:tcPr>
            <w:tcW w:type="dxa" w:w="1728"/>
          </w:tcPr>
          <w:p>
            <w:pPr/>
            <w:r>
              <w:rPr>
                <w:sz w:val="18"/>
              </w:rPr>
              <w:t>Current, next, + 2 quarterlies</w:t>
            </w:r>
          </w:p>
        </w:tc>
        <w:tc>
          <w:tcPr>
            <w:tcW w:type="dxa" w:w="1728"/>
          </w:tcPr>
          <w:p>
            <w:pPr/>
            <w:r>
              <w:rPr>
                <w:sz w:val="18"/>
              </w:rPr>
              <w:t>Current, next, + 2 quarterlies</w:t>
            </w:r>
          </w:p>
        </w:tc>
        <w:tc>
          <w:tcPr>
            <w:tcW w:type="dxa" w:w="1728"/>
          </w:tcPr>
          <w:p>
            <w:pPr/>
            <w:r>
              <w:rPr>
                <w:sz w:val="18"/>
              </w:rPr>
              <w:t>Current, next, + 2 quarterlies</w:t>
            </w:r>
          </w:p>
        </w:tc>
      </w:tr>
      <w:tr>
        <w:tc>
          <w:tcPr>
            <w:tcW w:type="dxa" w:w="1728"/>
          </w:tcPr>
          <w:p>
            <w:pPr/>
            <w:r>
              <w:rPr>
                <w:sz w:val="18"/>
              </w:rPr>
              <w:t>Last Trading Day</w:t>
            </w:r>
          </w:p>
        </w:tc>
        <w:tc>
          <w:tcPr>
            <w:tcW w:type="dxa" w:w="1728"/>
          </w:tcPr>
          <w:p>
            <w:pPr/>
            <w:r>
              <w:rPr>
                <w:sz w:val="18"/>
              </w:rPr>
              <w:t>3rd Friday of expiry month</w:t>
            </w:r>
          </w:p>
        </w:tc>
        <w:tc>
          <w:tcPr>
            <w:tcW w:type="dxa" w:w="1728"/>
          </w:tcPr>
          <w:p>
            <w:pPr/>
            <w:r>
              <w:rPr>
                <w:sz w:val="18"/>
              </w:rPr>
              <w:t>3rd Friday of expiry month</w:t>
            </w:r>
          </w:p>
        </w:tc>
        <w:tc>
          <w:tcPr>
            <w:tcW w:type="dxa" w:w="1728"/>
          </w:tcPr>
          <w:p>
            <w:pPr/>
            <w:r>
              <w:rPr>
                <w:sz w:val="18"/>
              </w:rPr>
              <w:t>3rd Friday of expiry month</w:t>
            </w:r>
          </w:p>
        </w:tc>
        <w:tc>
          <w:tcPr>
            <w:tcW w:type="dxa" w:w="1728"/>
          </w:tcPr>
          <w:p>
            <w:pPr/>
            <w:r>
              <w:rPr>
                <w:sz w:val="18"/>
              </w:rPr>
              <w:t>3rd Friday of expiry month</w:t>
            </w:r>
          </w:p>
        </w:tc>
      </w:tr>
      <w:tr>
        <w:tc>
          <w:tcPr>
            <w:tcW w:type="dxa" w:w="1728"/>
          </w:tcPr>
          <w:p>
            <w:pPr/>
            <w:r>
              <w:rPr>
                <w:sz w:val="18"/>
              </w:rPr>
              <w:t>Settlement</w:t>
            </w:r>
          </w:p>
        </w:tc>
        <w:tc>
          <w:tcPr>
            <w:tcW w:type="dxa" w:w="1728"/>
          </w:tcPr>
          <w:p>
            <w:pPr/>
            <w:r>
              <w:rPr>
                <w:sz w:val="18"/>
              </w:rPr>
              <w:t>Cash</w:t>
            </w:r>
          </w:p>
        </w:tc>
        <w:tc>
          <w:tcPr>
            <w:tcW w:type="dxa" w:w="1728"/>
          </w:tcPr>
          <w:p>
            <w:pPr/>
            <w:r>
              <w:rPr>
                <w:sz w:val="18"/>
              </w:rPr>
              <w:t>Cash</w:t>
            </w:r>
          </w:p>
        </w:tc>
        <w:tc>
          <w:tcPr>
            <w:tcW w:type="dxa" w:w="1728"/>
          </w:tcPr>
          <w:p>
            <w:pPr/>
            <w:r>
              <w:rPr>
                <w:sz w:val="18"/>
              </w:rPr>
              <w:t>Cash</w:t>
            </w:r>
          </w:p>
        </w:tc>
        <w:tc>
          <w:tcPr>
            <w:tcW w:type="dxa" w:w="1728"/>
          </w:tcPr>
          <w:p>
            <w:pPr/>
            <w:r>
              <w:rPr>
                <w:sz w:val="18"/>
              </w:rPr>
              <w:t>Cash</w:t>
            </w:r>
          </w:p>
        </w:tc>
      </w:tr>
      <w:tr>
        <w:tc>
          <w:tcPr>
            <w:tcW w:type="dxa" w:w="1728"/>
          </w:tcPr>
          <w:p>
            <w:pPr/>
            <w:r>
              <w:rPr>
                <w:sz w:val="18"/>
              </w:rPr>
              <w:t>Final Settlement Price</w:t>
            </w:r>
          </w:p>
        </w:tc>
        <w:tc>
          <w:tcPr>
            <w:tcW w:type="dxa" w:w="1728"/>
          </w:tcPr>
          <w:p>
            <w:pPr/>
            <w:r>
              <w:rPr>
                <w:sz w:val="18"/>
              </w:rPr>
              <w:t>Arithmetic average of underlying index in last 2 hours</w:t>
            </w:r>
          </w:p>
        </w:tc>
        <w:tc>
          <w:tcPr>
            <w:tcW w:type="dxa" w:w="1728"/>
          </w:tcPr>
          <w:p>
            <w:pPr/>
            <w:r>
              <w:rPr>
                <w:sz w:val="18"/>
              </w:rPr>
              <w:t>Arithmetic average of underlying index in last 2 hours</w:t>
            </w:r>
          </w:p>
        </w:tc>
        <w:tc>
          <w:tcPr>
            <w:tcW w:type="dxa" w:w="1728"/>
          </w:tcPr>
          <w:p>
            <w:pPr/>
            <w:r>
              <w:rPr>
                <w:sz w:val="18"/>
              </w:rPr>
              <w:t>Arithmetic average of underlying index in last 2 hours</w:t>
            </w:r>
          </w:p>
        </w:tc>
        <w:tc>
          <w:tcPr>
            <w:tcW w:type="dxa" w:w="1728"/>
          </w:tcPr>
          <w:p>
            <w:pPr/>
            <w:r>
              <w:rPr>
                <w:sz w:val="18"/>
              </w:rPr>
              <w:t>Arithmetic average of underlying index in last 2 hours</w:t>
            </w:r>
          </w:p>
        </w:tc>
      </w:tr>
      <w:tr>
        <w:tc>
          <w:tcPr>
            <w:tcW w:type="dxa" w:w="1728"/>
          </w:tcPr>
          <w:p>
            <w:pPr/>
            <w:r>
              <w:rPr>
                <w:sz w:val="18"/>
              </w:rPr>
              <w:t>Minimum Trading Margin</w:t>
            </w:r>
          </w:p>
        </w:tc>
        <w:tc>
          <w:tcPr>
            <w:tcW w:type="dxa" w:w="1728"/>
          </w:tcPr>
          <w:p>
            <w:pPr/>
            <w:r>
              <w:rPr>
                <w:sz w:val="18"/>
              </w:rPr>
              <w:t>8%</w:t>
            </w:r>
          </w:p>
        </w:tc>
        <w:tc>
          <w:tcPr>
            <w:tcW w:type="dxa" w:w="1728"/>
          </w:tcPr>
          <w:p>
            <w:pPr/>
            <w:r>
              <w:rPr>
                <w:sz w:val="18"/>
              </w:rPr>
              <w:t>8%</w:t>
            </w:r>
          </w:p>
        </w:tc>
        <w:tc>
          <w:tcPr>
            <w:tcW w:type="dxa" w:w="1728"/>
          </w:tcPr>
          <w:p>
            <w:pPr/>
            <w:r>
              <w:rPr>
                <w:sz w:val="18"/>
              </w:rPr>
              <w:t>8%</w:t>
            </w:r>
          </w:p>
        </w:tc>
        <w:tc>
          <w:tcPr>
            <w:tcW w:type="dxa" w:w="1728"/>
          </w:tcPr>
          <w:p>
            <w:pPr/>
            <w:r>
              <w:rPr>
                <w:sz w:val="18"/>
              </w:rPr>
              <w:t>8%</w:t>
            </w:r>
          </w:p>
        </w:tc>
      </w:tr>
      <w:tr>
        <w:tc>
          <w:tcPr>
            <w:tcW w:type="dxa" w:w="1728"/>
          </w:tcPr>
          <w:p>
            <w:pPr/>
            <w:r>
              <w:rPr>
                <w:sz w:val="18"/>
              </w:rPr>
              <w:t>Trading Hours</w:t>
            </w:r>
          </w:p>
        </w:tc>
        <w:tc>
          <w:tcPr>
            <w:tcW w:type="dxa" w:w="1728"/>
          </w:tcPr>
          <w:p>
            <w:pPr/>
            <w:r>
              <w:rPr>
                <w:sz w:val="18"/>
              </w:rPr>
              <w:t>9:30-11:30, 13:00-15:00</w:t>
            </w:r>
          </w:p>
        </w:tc>
        <w:tc>
          <w:tcPr>
            <w:tcW w:type="dxa" w:w="1728"/>
          </w:tcPr>
          <w:p>
            <w:pPr/>
            <w:r>
              <w:rPr>
                <w:sz w:val="18"/>
              </w:rPr>
              <w:t>9:30-11:30, 13:00-15:00</w:t>
            </w:r>
          </w:p>
        </w:tc>
        <w:tc>
          <w:tcPr>
            <w:tcW w:type="dxa" w:w="1728"/>
          </w:tcPr>
          <w:p>
            <w:pPr/>
            <w:r>
              <w:rPr>
                <w:sz w:val="18"/>
              </w:rPr>
              <w:t>9:30-11:30, 13:00-15:00</w:t>
            </w:r>
          </w:p>
        </w:tc>
        <w:tc>
          <w:tcPr>
            <w:tcW w:type="dxa" w:w="1728"/>
          </w:tcPr>
          <w:p>
            <w:pPr/>
            <w:r>
              <w:rPr>
                <w:sz w:val="18"/>
              </w:rPr>
              <w:t>9:30-11:30, 13:00-15:00</w:t>
            </w:r>
          </w:p>
        </w:tc>
      </w:tr>
    </w:tbl>
    <w:p/>
    <w:p>
      <w:pPr>
        <w:pStyle w:val="Heading3"/>
      </w:pPr>
      <w:r>
        <w:t>Government Bond (CGB) Futures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Specification</w:t>
            </w:r>
          </w:p>
        </w:tc>
        <w:tc>
          <w:tcPr>
            <w:tcW w:type="dxa" w:w="1728"/>
          </w:tcPr>
          <w:p>
            <w:pPr/>
            <w:r>
              <w:rPr>
                <w:b/>
                <w:sz w:val="18"/>
              </w:rPr>
              <w:t>2-year (TS)</w:t>
            </w:r>
          </w:p>
        </w:tc>
        <w:tc>
          <w:tcPr>
            <w:tcW w:type="dxa" w:w="1728"/>
          </w:tcPr>
          <w:p>
            <w:pPr/>
            <w:r>
              <w:rPr>
                <w:b/>
                <w:sz w:val="18"/>
              </w:rPr>
              <w:t>5-year (TF)</w:t>
            </w:r>
          </w:p>
        </w:tc>
        <w:tc>
          <w:tcPr>
            <w:tcW w:type="dxa" w:w="1728"/>
          </w:tcPr>
          <w:p>
            <w:pPr/>
            <w:r>
              <w:rPr>
                <w:b/>
                <w:sz w:val="18"/>
              </w:rPr>
              <w:t>10-year (T)</w:t>
            </w:r>
          </w:p>
        </w:tc>
        <w:tc>
          <w:tcPr>
            <w:tcW w:type="dxa" w:w="1728"/>
          </w:tcPr>
          <w:p>
            <w:pPr/>
            <w:r>
              <w:rPr>
                <w:b/>
                <w:sz w:val="18"/>
              </w:rPr>
              <w:t>30-year (TL)</w:t>
            </w:r>
          </w:p>
        </w:tc>
      </w:tr>
      <w:tr>
        <w:tc>
          <w:tcPr>
            <w:tcW w:type="dxa" w:w="1728"/>
          </w:tcPr>
          <w:p>
            <w:pPr/>
            <w:r>
              <w:rPr>
                <w:sz w:val="18"/>
              </w:rPr>
              <w:t>Underlying</w:t>
            </w:r>
          </w:p>
        </w:tc>
        <w:tc>
          <w:tcPr>
            <w:tcW w:type="dxa" w:w="1728"/>
          </w:tcPr>
          <w:p>
            <w:pPr/>
            <w:r>
              <w:rPr>
                <w:sz w:val="18"/>
              </w:rPr>
              <w:t>Notional 2Y CGB, 3% coupon</w:t>
            </w:r>
          </w:p>
        </w:tc>
        <w:tc>
          <w:tcPr>
            <w:tcW w:type="dxa" w:w="1728"/>
          </w:tcPr>
          <w:p>
            <w:pPr/>
            <w:r>
              <w:rPr>
                <w:sz w:val="18"/>
              </w:rPr>
              <w:t>Notional 5Y CGB, 3% coupon</w:t>
            </w:r>
          </w:p>
        </w:tc>
        <w:tc>
          <w:tcPr>
            <w:tcW w:type="dxa" w:w="1728"/>
          </w:tcPr>
          <w:p>
            <w:pPr/>
            <w:r>
              <w:rPr>
                <w:sz w:val="18"/>
              </w:rPr>
              <w:t>Notional 10Y CGB, 3% coupon</w:t>
            </w:r>
          </w:p>
        </w:tc>
        <w:tc>
          <w:tcPr>
            <w:tcW w:type="dxa" w:w="1728"/>
          </w:tcPr>
          <w:p>
            <w:pPr/>
            <w:r>
              <w:rPr>
                <w:sz w:val="18"/>
              </w:rPr>
              <w:t>Notional 30Y CGB, 3% coupon</w:t>
            </w:r>
          </w:p>
        </w:tc>
      </w:tr>
      <w:tr>
        <w:tc>
          <w:tcPr>
            <w:tcW w:type="dxa" w:w="1728"/>
          </w:tcPr>
          <w:p>
            <w:pPr/>
            <w:r>
              <w:rPr>
                <w:sz w:val="18"/>
              </w:rPr>
              <w:t>Face Value</w:t>
            </w:r>
          </w:p>
        </w:tc>
        <w:tc>
          <w:tcPr>
            <w:tcW w:type="dxa" w:w="1728"/>
          </w:tcPr>
          <w:p>
            <w:pPr/>
            <w:r>
              <w:rPr>
                <w:sz w:val="18"/>
              </w:rPr>
              <w:t>RMB 2,000,000</w:t>
            </w:r>
          </w:p>
        </w:tc>
        <w:tc>
          <w:tcPr>
            <w:tcW w:type="dxa" w:w="1728"/>
          </w:tcPr>
          <w:p>
            <w:pPr/>
            <w:r>
              <w:rPr>
                <w:sz w:val="18"/>
              </w:rPr>
              <w:t>RMB 1,000,000</w:t>
            </w:r>
          </w:p>
        </w:tc>
        <w:tc>
          <w:tcPr>
            <w:tcW w:type="dxa" w:w="1728"/>
          </w:tcPr>
          <w:p>
            <w:pPr/>
            <w:r>
              <w:rPr>
                <w:sz w:val="18"/>
              </w:rPr>
              <w:t>RMB 1,000,000</w:t>
            </w:r>
          </w:p>
        </w:tc>
        <w:tc>
          <w:tcPr>
            <w:tcW w:type="dxa" w:w="1728"/>
          </w:tcPr>
          <w:p>
            <w:pPr/>
            <w:r>
              <w:rPr>
                <w:sz w:val="18"/>
              </w:rPr>
              <w:t>RMB 1,000,000</w:t>
            </w:r>
          </w:p>
        </w:tc>
      </w:tr>
      <w:tr>
        <w:tc>
          <w:tcPr>
            <w:tcW w:type="dxa" w:w="1728"/>
          </w:tcPr>
          <w:p>
            <w:pPr/>
            <w:r>
              <w:rPr>
                <w:sz w:val="18"/>
              </w:rPr>
              <w:t>Quotation</w:t>
            </w:r>
          </w:p>
        </w:tc>
        <w:tc>
          <w:tcPr>
            <w:tcW w:type="dxa" w:w="1728"/>
          </w:tcPr>
          <w:p>
            <w:pPr/>
            <w:r>
              <w:rPr>
                <w:sz w:val="18"/>
              </w:rPr>
              <w:t>Per RMB 100 face value</w:t>
            </w:r>
          </w:p>
        </w:tc>
        <w:tc>
          <w:tcPr>
            <w:tcW w:type="dxa" w:w="1728"/>
          </w:tcPr>
          <w:p>
            <w:pPr/>
            <w:r>
              <w:rPr>
                <w:sz w:val="18"/>
              </w:rPr>
              <w:t>Per RMB 100 face value</w:t>
            </w:r>
          </w:p>
        </w:tc>
        <w:tc>
          <w:tcPr>
            <w:tcW w:type="dxa" w:w="1728"/>
          </w:tcPr>
          <w:p>
            <w:pPr/>
            <w:r>
              <w:rPr>
                <w:sz w:val="18"/>
              </w:rPr>
              <w:t>Per RMB 100 face value</w:t>
            </w:r>
          </w:p>
        </w:tc>
        <w:tc>
          <w:tcPr>
            <w:tcW w:type="dxa" w:w="1728"/>
          </w:tcPr>
          <w:p>
            <w:pPr/>
            <w:r>
              <w:rPr>
                <w:sz w:val="18"/>
              </w:rPr>
              <w:t>Per RMB 100 face value</w:t>
            </w:r>
          </w:p>
        </w:tc>
      </w:tr>
      <w:tr>
        <w:tc>
          <w:tcPr>
            <w:tcW w:type="dxa" w:w="1728"/>
          </w:tcPr>
          <w:p>
            <w:pPr/>
            <w:r>
              <w:rPr>
                <w:sz w:val="18"/>
              </w:rPr>
              <w:t>Tick Size</w:t>
            </w:r>
          </w:p>
        </w:tc>
        <w:tc>
          <w:tcPr>
            <w:tcW w:type="dxa" w:w="1728"/>
          </w:tcPr>
          <w:p>
            <w:pPr/>
            <w:r>
              <w:rPr>
                <w:sz w:val="18"/>
              </w:rPr>
              <w:t>RMB 0.002</w:t>
            </w:r>
          </w:p>
        </w:tc>
        <w:tc>
          <w:tcPr>
            <w:tcW w:type="dxa" w:w="1728"/>
          </w:tcPr>
          <w:p>
            <w:pPr/>
            <w:r>
              <w:rPr>
                <w:sz w:val="18"/>
              </w:rPr>
              <w:t>RMB 0.005</w:t>
            </w:r>
          </w:p>
        </w:tc>
        <w:tc>
          <w:tcPr>
            <w:tcW w:type="dxa" w:w="1728"/>
          </w:tcPr>
          <w:p>
            <w:pPr/>
            <w:r>
              <w:rPr>
                <w:sz w:val="18"/>
              </w:rPr>
              <w:t>RMB 0.005</w:t>
            </w:r>
          </w:p>
        </w:tc>
        <w:tc>
          <w:tcPr>
            <w:tcW w:type="dxa" w:w="1728"/>
          </w:tcPr>
          <w:p>
            <w:pPr/>
            <w:r>
              <w:rPr>
                <w:sz w:val="18"/>
              </w:rPr>
              <w:t>RMB 0.01</w:t>
            </w:r>
          </w:p>
        </w:tc>
      </w:tr>
      <w:tr>
        <w:tc>
          <w:tcPr>
            <w:tcW w:type="dxa" w:w="1728"/>
          </w:tcPr>
          <w:p>
            <w:pPr/>
            <w:r>
              <w:rPr>
                <w:sz w:val="18"/>
              </w:rPr>
              <w:t>Tick Value</w:t>
            </w:r>
          </w:p>
        </w:tc>
        <w:tc>
          <w:tcPr>
            <w:tcW w:type="dxa" w:w="1728"/>
          </w:tcPr>
          <w:p>
            <w:pPr/>
            <w:r>
              <w:rPr>
                <w:sz w:val="18"/>
              </w:rPr>
              <w:t>RMB 40</w:t>
            </w:r>
          </w:p>
        </w:tc>
        <w:tc>
          <w:tcPr>
            <w:tcW w:type="dxa" w:w="1728"/>
          </w:tcPr>
          <w:p>
            <w:pPr/>
            <w:r>
              <w:rPr>
                <w:sz w:val="18"/>
              </w:rPr>
              <w:t>RMB 50</w:t>
            </w:r>
          </w:p>
        </w:tc>
        <w:tc>
          <w:tcPr>
            <w:tcW w:type="dxa" w:w="1728"/>
          </w:tcPr>
          <w:p>
            <w:pPr/>
            <w:r>
              <w:rPr>
                <w:sz w:val="18"/>
              </w:rPr>
              <w:t>RMB 50</w:t>
            </w:r>
          </w:p>
        </w:tc>
        <w:tc>
          <w:tcPr>
            <w:tcW w:type="dxa" w:w="1728"/>
          </w:tcPr>
          <w:p>
            <w:pPr/>
            <w:r>
              <w:rPr>
                <w:sz w:val="18"/>
              </w:rPr>
              <w:t>RMB 100</w:t>
            </w:r>
          </w:p>
        </w:tc>
      </w:tr>
      <w:tr>
        <w:tc>
          <w:tcPr>
            <w:tcW w:type="dxa" w:w="1728"/>
          </w:tcPr>
          <w:p>
            <w:pPr/>
            <w:r>
              <w:rPr>
                <w:sz w:val="18"/>
              </w:rPr>
              <w:t>Daily Price Limit</w:t>
            </w:r>
          </w:p>
        </w:tc>
        <w:tc>
          <w:tcPr>
            <w:tcW w:type="dxa" w:w="1728"/>
          </w:tcPr>
          <w:p>
            <w:pPr/>
            <w:r>
              <w:rPr>
                <w:sz w:val="18"/>
              </w:rPr>
              <w:t>±0.5%</w:t>
            </w:r>
          </w:p>
        </w:tc>
        <w:tc>
          <w:tcPr>
            <w:tcW w:type="dxa" w:w="1728"/>
          </w:tcPr>
          <w:p>
            <w:pPr/>
            <w:r>
              <w:rPr>
                <w:sz w:val="18"/>
              </w:rPr>
              <w:t>±1.2%</w:t>
            </w:r>
          </w:p>
        </w:tc>
        <w:tc>
          <w:tcPr>
            <w:tcW w:type="dxa" w:w="1728"/>
          </w:tcPr>
          <w:p>
            <w:pPr/>
            <w:r>
              <w:rPr>
                <w:sz w:val="18"/>
              </w:rPr>
              <w:t>±2.0%</w:t>
            </w:r>
          </w:p>
        </w:tc>
        <w:tc>
          <w:tcPr>
            <w:tcW w:type="dxa" w:w="1728"/>
          </w:tcPr>
          <w:p>
            <w:pPr/>
            <w:r>
              <w:rPr>
                <w:sz w:val="18"/>
              </w:rPr>
              <w:t>±3.5%</w:t>
            </w:r>
          </w:p>
        </w:tc>
      </w:tr>
      <w:tr>
        <w:tc>
          <w:tcPr>
            <w:tcW w:type="dxa" w:w="1728"/>
          </w:tcPr>
          <w:p>
            <w:pPr/>
            <w:r>
              <w:rPr>
                <w:sz w:val="18"/>
              </w:rPr>
              <w:t>Contract Months</w:t>
            </w:r>
          </w:p>
        </w:tc>
        <w:tc>
          <w:tcPr>
            <w:tcW w:type="dxa" w:w="1728"/>
          </w:tcPr>
          <w:p>
            <w:pPr/>
            <w:r>
              <w:rPr>
                <w:sz w:val="18"/>
              </w:rPr>
              <w:t>3 consecutive quarterlies (Mar/Jun/Sep/Dec)</w:t>
            </w:r>
          </w:p>
        </w:tc>
        <w:tc>
          <w:tcPr>
            <w:tcW w:type="dxa" w:w="1728"/>
          </w:tcPr>
          <w:p>
            <w:pPr/>
            <w:r>
              <w:rPr>
                <w:sz w:val="18"/>
              </w:rPr>
              <w:t>3 consecutive quarterlies</w:t>
            </w:r>
          </w:p>
        </w:tc>
        <w:tc>
          <w:tcPr>
            <w:tcW w:type="dxa" w:w="1728"/>
          </w:tcPr>
          <w:p>
            <w:pPr/>
            <w:r>
              <w:rPr>
                <w:sz w:val="18"/>
              </w:rPr>
              <w:t>3 consecutive quarterlies</w:t>
            </w:r>
          </w:p>
        </w:tc>
        <w:tc>
          <w:tcPr>
            <w:tcW w:type="dxa" w:w="1728"/>
          </w:tcPr>
          <w:p>
            <w:pPr/>
            <w:r>
              <w:rPr>
                <w:sz w:val="18"/>
              </w:rPr>
              <w:t>3 consecutive quarterlies</w:t>
            </w:r>
          </w:p>
        </w:tc>
      </w:tr>
      <w:tr>
        <w:tc>
          <w:tcPr>
            <w:tcW w:type="dxa" w:w="1728"/>
          </w:tcPr>
          <w:p>
            <w:pPr/>
            <w:r>
              <w:rPr>
                <w:sz w:val="18"/>
              </w:rPr>
              <w:t>Last Trading Day</w:t>
            </w:r>
          </w:p>
        </w:tc>
        <w:tc>
          <w:tcPr>
            <w:tcW w:type="dxa" w:w="1728"/>
          </w:tcPr>
          <w:p>
            <w:pPr/>
            <w:r>
              <w:rPr>
                <w:sz w:val="18"/>
              </w:rPr>
              <w:t>2nd Friday of delivery month</w:t>
            </w:r>
          </w:p>
        </w:tc>
        <w:tc>
          <w:tcPr>
            <w:tcW w:type="dxa" w:w="1728"/>
          </w:tcPr>
          <w:p>
            <w:pPr/>
            <w:r>
              <w:rPr>
                <w:sz w:val="18"/>
              </w:rPr>
              <w:t>2nd Friday of delivery month</w:t>
            </w:r>
          </w:p>
        </w:tc>
        <w:tc>
          <w:tcPr>
            <w:tcW w:type="dxa" w:w="1728"/>
          </w:tcPr>
          <w:p>
            <w:pPr/>
            <w:r>
              <w:rPr>
                <w:sz w:val="18"/>
              </w:rPr>
              <w:t>2nd Friday of delivery month</w:t>
            </w:r>
          </w:p>
        </w:tc>
        <w:tc>
          <w:tcPr>
            <w:tcW w:type="dxa" w:w="1728"/>
          </w:tcPr>
          <w:p>
            <w:pPr/>
            <w:r>
              <w:rPr>
                <w:sz w:val="18"/>
              </w:rPr>
              <w:t>2nd Friday of delivery month</w:t>
            </w:r>
          </w:p>
        </w:tc>
      </w:tr>
      <w:tr>
        <w:tc>
          <w:tcPr>
            <w:tcW w:type="dxa" w:w="1728"/>
          </w:tcPr>
          <w:p>
            <w:pPr/>
            <w:r>
              <w:rPr>
                <w:sz w:val="18"/>
              </w:rPr>
              <w:t>Settlement</w:t>
            </w:r>
          </w:p>
        </w:tc>
        <w:tc>
          <w:tcPr>
            <w:tcW w:type="dxa" w:w="1728"/>
          </w:tcPr>
          <w:p>
            <w:pPr/>
            <w:r>
              <w:rPr>
                <w:sz w:val="18"/>
              </w:rPr>
              <w:t>Physical delivery</w:t>
            </w:r>
          </w:p>
        </w:tc>
        <w:tc>
          <w:tcPr>
            <w:tcW w:type="dxa" w:w="1728"/>
          </w:tcPr>
          <w:p>
            <w:pPr/>
            <w:r>
              <w:rPr>
                <w:sz w:val="18"/>
              </w:rPr>
              <w:t>Physical delivery</w:t>
            </w:r>
          </w:p>
        </w:tc>
        <w:tc>
          <w:tcPr>
            <w:tcW w:type="dxa" w:w="1728"/>
          </w:tcPr>
          <w:p>
            <w:pPr/>
            <w:r>
              <w:rPr>
                <w:sz w:val="18"/>
              </w:rPr>
              <w:t>Physical delivery</w:t>
            </w:r>
          </w:p>
        </w:tc>
        <w:tc>
          <w:tcPr>
            <w:tcW w:type="dxa" w:w="1728"/>
          </w:tcPr>
          <w:p>
            <w:pPr/>
            <w:r>
              <w:rPr>
                <w:sz w:val="18"/>
              </w:rPr>
              <w:t>Physical delivery</w:t>
            </w:r>
          </w:p>
        </w:tc>
      </w:tr>
      <w:tr>
        <w:tc>
          <w:tcPr>
            <w:tcW w:type="dxa" w:w="1728"/>
          </w:tcPr>
          <w:p>
            <w:pPr/>
            <w:r>
              <w:rPr>
                <w:sz w:val="18"/>
              </w:rPr>
              <w:t>Delivery Method</w:t>
            </w:r>
          </w:p>
        </w:tc>
        <w:tc>
          <w:tcPr>
            <w:tcW w:type="dxa" w:w="1728"/>
          </w:tcPr>
          <w:p>
            <w:pPr/>
            <w:r>
              <w:rPr>
                <w:sz w:val="18"/>
              </w:rPr>
              <w:t>Delivery of eligible CGBs via conversion factor</w:t>
            </w:r>
          </w:p>
        </w:tc>
        <w:tc>
          <w:tcPr>
            <w:tcW w:type="dxa" w:w="1728"/>
          </w:tcPr>
          <w:p>
            <w:pPr/>
            <w:r>
              <w:rPr>
                <w:sz w:val="18"/>
              </w:rPr>
              <w:t>Delivery of eligible CGBs via conversion factor</w:t>
            </w:r>
          </w:p>
        </w:tc>
        <w:tc>
          <w:tcPr>
            <w:tcW w:type="dxa" w:w="1728"/>
          </w:tcPr>
          <w:p>
            <w:pPr/>
            <w:r>
              <w:rPr>
                <w:sz w:val="18"/>
              </w:rPr>
              <w:t>Delivery of eligible CGBs via conversion factor</w:t>
            </w:r>
          </w:p>
        </w:tc>
        <w:tc>
          <w:tcPr>
            <w:tcW w:type="dxa" w:w="1728"/>
          </w:tcPr>
          <w:p>
            <w:pPr/>
            <w:r>
              <w:rPr>
                <w:sz w:val="18"/>
              </w:rPr>
              <w:t>Delivery of eligible CGBs via conversion factor</w:t>
            </w:r>
          </w:p>
        </w:tc>
      </w:tr>
      <w:tr>
        <w:tc>
          <w:tcPr>
            <w:tcW w:type="dxa" w:w="1728"/>
          </w:tcPr>
          <w:p>
            <w:pPr/>
            <w:r>
              <w:rPr>
                <w:sz w:val="18"/>
              </w:rPr>
              <w:t>Minimum Trading Margin</w:t>
            </w:r>
          </w:p>
        </w:tc>
        <w:tc>
          <w:tcPr>
            <w:tcW w:type="dxa" w:w="1728"/>
          </w:tcPr>
          <w:p>
            <w:pPr/>
            <w:r>
              <w:rPr>
                <w:sz w:val="18"/>
              </w:rPr>
              <w:t>0.5%</w:t>
            </w:r>
          </w:p>
        </w:tc>
        <w:tc>
          <w:tcPr>
            <w:tcW w:type="dxa" w:w="1728"/>
          </w:tcPr>
          <w:p>
            <w:pPr/>
            <w:r>
              <w:rPr>
                <w:sz w:val="18"/>
              </w:rPr>
              <w:t>1.0%</w:t>
            </w:r>
          </w:p>
        </w:tc>
        <w:tc>
          <w:tcPr>
            <w:tcW w:type="dxa" w:w="1728"/>
          </w:tcPr>
          <w:p>
            <w:pPr/>
            <w:r>
              <w:rPr>
                <w:sz w:val="18"/>
              </w:rPr>
              <w:t>2.0%</w:t>
            </w:r>
          </w:p>
        </w:tc>
        <w:tc>
          <w:tcPr>
            <w:tcW w:type="dxa" w:w="1728"/>
          </w:tcPr>
          <w:p>
            <w:pPr/>
            <w:r>
              <w:rPr>
                <w:sz w:val="18"/>
              </w:rPr>
              <w:t>3.5%</w:t>
            </w:r>
          </w:p>
        </w:tc>
      </w:tr>
      <w:tr>
        <w:tc>
          <w:tcPr>
            <w:tcW w:type="dxa" w:w="1728"/>
          </w:tcPr>
          <w:p>
            <w:pPr/>
            <w:r>
              <w:rPr>
                <w:sz w:val="18"/>
              </w:rPr>
              <w:t>Trading Hours</w:t>
            </w:r>
          </w:p>
        </w:tc>
        <w:tc>
          <w:tcPr>
            <w:tcW w:type="dxa" w:w="1728"/>
          </w:tcPr>
          <w:p>
            <w:pPr/>
            <w:r>
              <w:rPr>
                <w:sz w:val="18"/>
              </w:rPr>
              <w:t>9:30-11:30, 13:00-15:15</w:t>
            </w:r>
          </w:p>
        </w:tc>
        <w:tc>
          <w:tcPr>
            <w:tcW w:type="dxa" w:w="1728"/>
          </w:tcPr>
          <w:p>
            <w:pPr/>
            <w:r>
              <w:rPr>
                <w:sz w:val="18"/>
              </w:rPr>
              <w:t>9:30-11:30, 13:00-15:15</w:t>
            </w:r>
          </w:p>
        </w:tc>
        <w:tc>
          <w:tcPr>
            <w:tcW w:type="dxa" w:w="1728"/>
          </w:tcPr>
          <w:p>
            <w:pPr/>
            <w:r>
              <w:rPr>
                <w:sz w:val="18"/>
              </w:rPr>
              <w:t>9:30-11:30, 13:00-15:15</w:t>
            </w:r>
          </w:p>
        </w:tc>
        <w:tc>
          <w:tcPr>
            <w:tcW w:type="dxa" w:w="1728"/>
          </w:tcPr>
          <w:p>
            <w:pPr/>
            <w:r>
              <w:rPr>
                <w:sz w:val="18"/>
              </w:rPr>
              <w:t>9:30-11:30, 13:00-15:15</w:t>
            </w:r>
          </w:p>
        </w:tc>
      </w:tr>
    </w:tbl>
    <w:p/>
    <w:p>
      <w:r>
        <w:t>Deliverable bond criteria: CGBs issued by the Ministry of Finance of the PRC, with remaining maturity within the specified range for each contract, are eligible for delivery.</w:t>
      </w:r>
    </w:p>
    <w:p>
      <w:pPr>
        <w:pStyle w:val="Heading3"/>
      </w:pPr>
      <w:r>
        <w:t>Stock Index Options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Specification</w:t>
            </w:r>
          </w:p>
        </w:tc>
        <w:tc>
          <w:tcPr>
            <w:tcW w:type="dxa" w:w="2160"/>
          </w:tcPr>
          <w:p>
            <w:pPr/>
            <w:r>
              <w:rPr>
                <w:b/>
                <w:sz w:val="18"/>
              </w:rPr>
              <w:t>CSI 300 Options (IO)</w:t>
            </w:r>
          </w:p>
        </w:tc>
        <w:tc>
          <w:tcPr>
            <w:tcW w:type="dxa" w:w="2160"/>
          </w:tcPr>
          <w:p>
            <w:pPr/>
            <w:r>
              <w:rPr>
                <w:b/>
                <w:sz w:val="18"/>
              </w:rPr>
              <w:t>CSI 1000 Options (MO)</w:t>
            </w:r>
          </w:p>
        </w:tc>
        <w:tc>
          <w:tcPr>
            <w:tcW w:type="dxa" w:w="2160"/>
          </w:tcPr>
          <w:p>
            <w:pPr/>
            <w:r>
              <w:rPr>
                <w:b/>
                <w:sz w:val="18"/>
              </w:rPr>
              <w:t>SSE 50 Options (HO)</w:t>
            </w:r>
          </w:p>
        </w:tc>
      </w:tr>
      <w:tr>
        <w:tc>
          <w:tcPr>
            <w:tcW w:type="dxa" w:w="2160"/>
          </w:tcPr>
          <w:p>
            <w:pPr/>
            <w:r>
              <w:rPr>
                <w:sz w:val="18"/>
              </w:rPr>
              <w:t>Contract Multiplier</w:t>
            </w:r>
          </w:p>
        </w:tc>
        <w:tc>
          <w:tcPr>
            <w:tcW w:type="dxa" w:w="2160"/>
          </w:tcPr>
          <w:p>
            <w:pPr/>
            <w:r>
              <w:rPr>
                <w:sz w:val="18"/>
              </w:rPr>
              <w:t>RMB 100 per point</w:t>
            </w:r>
          </w:p>
        </w:tc>
        <w:tc>
          <w:tcPr>
            <w:tcW w:type="dxa" w:w="2160"/>
          </w:tcPr>
          <w:p>
            <w:pPr/>
            <w:r>
              <w:rPr>
                <w:sz w:val="18"/>
              </w:rPr>
              <w:t>RMB 100 per point</w:t>
            </w:r>
          </w:p>
        </w:tc>
        <w:tc>
          <w:tcPr>
            <w:tcW w:type="dxa" w:w="2160"/>
          </w:tcPr>
          <w:p>
            <w:pPr/>
            <w:r>
              <w:rPr>
                <w:sz w:val="18"/>
              </w:rPr>
              <w:t>RMB 100 per point</w:t>
            </w:r>
          </w:p>
        </w:tc>
      </w:tr>
      <w:tr>
        <w:tc>
          <w:tcPr>
            <w:tcW w:type="dxa" w:w="2160"/>
          </w:tcPr>
          <w:p>
            <w:pPr/>
            <w:r>
              <w:rPr>
                <w:sz w:val="18"/>
              </w:rPr>
              <w:t>Option Style</w:t>
            </w:r>
          </w:p>
        </w:tc>
        <w:tc>
          <w:tcPr>
            <w:tcW w:type="dxa" w:w="2160"/>
          </w:tcPr>
          <w:p>
            <w:pPr/>
            <w:r>
              <w:rPr>
                <w:sz w:val="18"/>
              </w:rPr>
              <w:t>European</w:t>
            </w:r>
          </w:p>
        </w:tc>
        <w:tc>
          <w:tcPr>
            <w:tcW w:type="dxa" w:w="2160"/>
          </w:tcPr>
          <w:p>
            <w:pPr/>
            <w:r>
              <w:rPr>
                <w:sz w:val="18"/>
              </w:rPr>
              <w:t>European</w:t>
            </w:r>
          </w:p>
        </w:tc>
        <w:tc>
          <w:tcPr>
            <w:tcW w:type="dxa" w:w="2160"/>
          </w:tcPr>
          <w:p>
            <w:pPr/>
            <w:r>
              <w:rPr>
                <w:sz w:val="18"/>
              </w:rPr>
              <w:t>European</w:t>
            </w:r>
          </w:p>
        </w:tc>
      </w:tr>
      <w:tr>
        <w:tc>
          <w:tcPr>
            <w:tcW w:type="dxa" w:w="2160"/>
          </w:tcPr>
          <w:p>
            <w:pPr/>
            <w:r>
              <w:rPr>
                <w:sz w:val="18"/>
              </w:rPr>
              <w:t>Exercise</w:t>
            </w:r>
          </w:p>
        </w:tc>
        <w:tc>
          <w:tcPr>
            <w:tcW w:type="dxa" w:w="2160"/>
          </w:tcPr>
          <w:p>
            <w:pPr/>
            <w:r>
              <w:rPr>
                <w:sz w:val="18"/>
              </w:rPr>
              <w:t>Cash settled</w:t>
            </w:r>
          </w:p>
        </w:tc>
        <w:tc>
          <w:tcPr>
            <w:tcW w:type="dxa" w:w="2160"/>
          </w:tcPr>
          <w:p>
            <w:pPr/>
            <w:r>
              <w:rPr>
                <w:sz w:val="18"/>
              </w:rPr>
              <w:t>Cash settled</w:t>
            </w:r>
          </w:p>
        </w:tc>
        <w:tc>
          <w:tcPr>
            <w:tcW w:type="dxa" w:w="2160"/>
          </w:tcPr>
          <w:p>
            <w:pPr/>
            <w:r>
              <w:rPr>
                <w:sz w:val="18"/>
              </w:rPr>
              <w:t>Cash settled</w:t>
            </w:r>
          </w:p>
        </w:tc>
      </w:tr>
      <w:tr>
        <w:tc>
          <w:tcPr>
            <w:tcW w:type="dxa" w:w="2160"/>
          </w:tcPr>
          <w:p>
            <w:pPr/>
            <w:r>
              <w:rPr>
                <w:sz w:val="18"/>
              </w:rPr>
              <w:t>Strike Price Interval</w:t>
            </w:r>
          </w:p>
        </w:tc>
        <w:tc>
          <w:tcPr>
            <w:tcW w:type="dxa" w:w="2160"/>
          </w:tcPr>
          <w:p>
            <w:pPr/>
            <w:r>
              <w:rPr>
                <w:sz w:val="18"/>
              </w:rPr>
              <w:t>Varies by index level</w:t>
            </w:r>
          </w:p>
        </w:tc>
        <w:tc>
          <w:tcPr>
            <w:tcW w:type="dxa" w:w="2160"/>
          </w:tcPr>
          <w:p>
            <w:pPr/>
            <w:r>
              <w:rPr>
                <w:sz w:val="18"/>
              </w:rPr>
              <w:t>Varies by index level</w:t>
            </w:r>
          </w:p>
        </w:tc>
        <w:tc>
          <w:tcPr>
            <w:tcW w:type="dxa" w:w="2160"/>
          </w:tcPr>
          <w:p>
            <w:pPr/>
            <w:r>
              <w:rPr>
                <w:sz w:val="18"/>
              </w:rPr>
              <w:t>Varies by index level</w:t>
            </w:r>
          </w:p>
        </w:tc>
      </w:tr>
      <w:tr>
        <w:tc>
          <w:tcPr>
            <w:tcW w:type="dxa" w:w="2160"/>
          </w:tcPr>
          <w:p>
            <w:pPr/>
            <w:r>
              <w:rPr>
                <w:sz w:val="18"/>
              </w:rPr>
              <w:t>Expiry Months</w:t>
            </w:r>
          </w:p>
        </w:tc>
        <w:tc>
          <w:tcPr>
            <w:tcW w:type="dxa" w:w="2160"/>
          </w:tcPr>
          <w:p>
            <w:pPr/>
            <w:r>
              <w:rPr>
                <w:sz w:val="18"/>
              </w:rPr>
              <w:t>Current, next 2 months, + next 3 quarterlies</w:t>
            </w:r>
          </w:p>
        </w:tc>
        <w:tc>
          <w:tcPr>
            <w:tcW w:type="dxa" w:w="2160"/>
          </w:tcPr>
          <w:p>
            <w:pPr/>
            <w:r>
              <w:rPr>
                <w:sz w:val="18"/>
              </w:rPr>
              <w:t>Current, next 2 months, + next 3 quarterlies</w:t>
            </w:r>
          </w:p>
        </w:tc>
        <w:tc>
          <w:tcPr>
            <w:tcW w:type="dxa" w:w="2160"/>
          </w:tcPr>
          <w:p>
            <w:pPr/>
            <w:r>
              <w:rPr>
                <w:sz w:val="18"/>
              </w:rPr>
              <w:t>Current, next 2 months, + next 3 quarterlies</w:t>
            </w:r>
          </w:p>
        </w:tc>
      </w:tr>
      <w:tr>
        <w:tc>
          <w:tcPr>
            <w:tcW w:type="dxa" w:w="2160"/>
          </w:tcPr>
          <w:p>
            <w:pPr/>
            <w:r>
              <w:rPr>
                <w:sz w:val="18"/>
              </w:rPr>
              <w:t>Last Trading Day</w:t>
            </w:r>
          </w:p>
        </w:tc>
        <w:tc>
          <w:tcPr>
            <w:tcW w:type="dxa" w:w="2160"/>
          </w:tcPr>
          <w:p>
            <w:pPr/>
            <w:r>
              <w:rPr>
                <w:sz w:val="18"/>
              </w:rPr>
              <w:t>3rd Friday of expiry month</w:t>
            </w:r>
          </w:p>
        </w:tc>
        <w:tc>
          <w:tcPr>
            <w:tcW w:type="dxa" w:w="2160"/>
          </w:tcPr>
          <w:p>
            <w:pPr/>
            <w:r>
              <w:rPr>
                <w:sz w:val="18"/>
              </w:rPr>
              <w:t>3rd Friday of expiry month</w:t>
            </w:r>
          </w:p>
        </w:tc>
        <w:tc>
          <w:tcPr>
            <w:tcW w:type="dxa" w:w="2160"/>
          </w:tcPr>
          <w:p>
            <w:pPr/>
            <w:r>
              <w:rPr>
                <w:sz w:val="18"/>
              </w:rPr>
              <w:t>3rd Friday of expiry month</w:t>
            </w:r>
          </w:p>
        </w:tc>
      </w:tr>
      <w:tr>
        <w:tc>
          <w:tcPr>
            <w:tcW w:type="dxa" w:w="2160"/>
          </w:tcPr>
          <w:p>
            <w:pPr/>
            <w:r>
              <w:rPr>
                <w:sz w:val="18"/>
              </w:rPr>
              <w:t>Trading Hours</w:t>
            </w:r>
          </w:p>
        </w:tc>
        <w:tc>
          <w:tcPr>
            <w:tcW w:type="dxa" w:w="2160"/>
          </w:tcPr>
          <w:p>
            <w:pPr/>
            <w:r>
              <w:rPr>
                <w:sz w:val="18"/>
              </w:rPr>
              <w:t>9:30-11:30, 13:00-15:00</w:t>
            </w:r>
          </w:p>
        </w:tc>
        <w:tc>
          <w:tcPr>
            <w:tcW w:type="dxa" w:w="2160"/>
          </w:tcPr>
          <w:p>
            <w:pPr/>
            <w:r>
              <w:rPr>
                <w:sz w:val="18"/>
              </w:rPr>
              <w:t>9:30-11:30, 13:00-15:00</w:t>
            </w:r>
          </w:p>
        </w:tc>
        <w:tc>
          <w:tcPr>
            <w:tcW w:type="dxa" w:w="2160"/>
          </w:tcPr>
          <w:p>
            <w:pPr/>
            <w:r>
              <w:rPr>
                <w:sz w:val="18"/>
              </w:rPr>
              <w:t>9:30-11:30, 13:00-15:00</w:t>
            </w:r>
          </w:p>
        </w:tc>
      </w:tr>
    </w:tbl>
    <w:p/>
    <w:p>
      <w:r>
        <w:t>[Source: CFFEX, "CSI 300 Index Futures", http://www.cffex.com.cn/en_new/CSI300IndexFutures.html, accessed 2026-04-07]</w:t>
      </w:r>
    </w:p>
    <w:p>
      <w:r>
        <w:t>[Source: CFFEX, "CSI 500 Index Futures", http://www.cffex.com.cn/en_new/CSI500IndexFutures.html, accessed 2026-04-07]</w:t>
      </w:r>
    </w:p>
    <w:p>
      <w:r>
        <w:t>[Source: CFFEX, "CSI 1000 Index Futures", http://www.cffex.com.cn/en_new/CSI1000IndexFutures.html, accessed 2026-04-07]</w:t>
      </w:r>
    </w:p>
    <w:p>
      <w:r>
        <w:t>[Source: CFFEX, "10-year CGB Futures", http://www.cffex.com.cn/en_new/10t.html, accessed 2026-04-07]</w:t>
      </w:r>
    </w:p>
    <w:p>
      <w:r>
        <w:t>[Source: CFFEX, "2-year CGB Futures", http://www.cffex.com.cn/en_new/2ts.html, accessed 2026-04-07]</w:t>
      </w:r>
    </w:p>
    <w:p>
      <w:r>
        <w:t>[Source: CFFEX, "30-year CGB Futures", http://www.cffex.com.cn/en_new/30yearCGBFutures.html, accessed 2026-04-07]</w:t>
      </w:r>
    </w:p>
    <w:p>
      <w:r>
        <w:t>[Source: CFFEX, "CSI 300 Index Options", http://www.cffex.com.cn/en_new/CSI300IndexOptions.html, accessed 2026-04-07]</w:t>
      </w:r>
    </w:p>
    <w:p>
      <w:r>
        <w:t>[Source: CFFEX, "CSI 1000 Index Options", http://www.cffex.com.cn/en_new/CSI1000IndexOptions.html, accessed 2026-04-07]</w:t>
      </w:r>
    </w:p>
    <w:p>
      <w:r>
        <w:t>[Source: CFFEX, "SSE 50 Index Options", http://www.cffex.com.cn/en_new/SSE50IndexOptions.html, accessed 2026-04-07]</w:t>
      </w:r>
    </w:p>
    <w:p>
      <w:r>
        <w:t>[Source: Barchart, CFFEX contract specifications pages, accessed 2026-04-07]</w:t>
      </w:r>
    </w:p>
    <w:p>
      <w:r>
        <w:t>[Source: CFFEX, "Notice on Adjusting the Tick Size of 2-Year CGB Futures", http://cffex.com.cn/en_new/Notices/20231020/34775.html, accessed 2026-04-07]</w:t>
      </w:r>
    </w:p>
    <w:p>
      <w:r>
        <w:t>────────────────────────────────────────────────────────────</w:t>
      </w:r>
    </w:p>
    <w:p>
      <w:pPr>
        <w:pStyle w:val="Heading2"/>
      </w:pPr>
      <w:r>
        <w:t>Margin Framework Summary</w:t>
      </w:r>
    </w:p>
    <w:p>
      <w:r>
        <w:t>CFFEX uses a percentage-of-contract-value margin methodology rather than a portfolio-based system like SPAN or PRISMA. Key features:</w:t>
      </w:r>
    </w:p>
    <w:p>
      <w:pPr>
        <w:pStyle w:val="ListNumber"/>
      </w:pPr>
      <w:r>
        <w:t>Exchange-set minimum margins serve as the floor; futures companies (brokers) typically add a buffer of 2-6 percentage points above the exchange minimum</w:t>
      </w:r>
    </w:p>
    <w:p>
      <w:pPr>
        <w:pStyle w:val="ListNumber"/>
      </w:pPr>
      <w:r>
        <w:t>Margin escalation: Margins are raised as contracts approach delivery/expiry</w:t>
      </w:r>
    </w:p>
    <w:p>
      <w:pPr>
        <w:pStyle w:val="ListNumber"/>
      </w:pPr>
      <w:r>
        <w:t>Cross-margining for CGB futures: Offsetting long/short positions in the same or different CGB products under the same client can net margins</w:t>
      </w:r>
    </w:p>
    <w:p>
      <w:pPr>
        <w:pStyle w:val="ListNumber"/>
      </w:pPr>
      <w:r>
        <w:t>Regulatory adjustment: CSRC and CFFEX retain the authority to adjust margin requirements in response to market conditions, as demonstrated during the 2015 crisis when margins were raised from ~10% to 40% for stock index futures</w:t>
      </w:r>
    </w:p>
    <w:p>
      <w:pPr>
        <w:pStyle w:val="ListNumber"/>
      </w:pPr>
      <w:r>
        <w:t>Variation margin: Collected daily through mark-to-market settlement; settlement banks facilitate transfers between members and the exchange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 Category</w:t>
            </w:r>
          </w:p>
        </w:tc>
        <w:tc>
          <w:tcPr>
            <w:tcW w:type="dxa" w:w="2880"/>
          </w:tcPr>
          <w:p>
            <w:pPr/>
            <w:r>
              <w:rPr>
                <w:b/>
                <w:sz w:val="18"/>
              </w:rPr>
              <w:t>Exchange Minimum Margin</w:t>
            </w:r>
          </w:p>
        </w:tc>
        <w:tc>
          <w:tcPr>
            <w:tcW w:type="dxa" w:w="2880"/>
          </w:tcPr>
          <w:p>
            <w:pPr/>
            <w:r>
              <w:rPr>
                <w:b/>
                <w:sz w:val="18"/>
              </w:rPr>
              <w:t>Typical Total (incl. broker add-on)</w:t>
            </w:r>
          </w:p>
        </w:tc>
      </w:tr>
      <w:tr>
        <w:tc>
          <w:tcPr>
            <w:tcW w:type="dxa" w:w="2880"/>
          </w:tcPr>
          <w:p>
            <w:pPr/>
            <w:r>
              <w:rPr>
                <w:sz w:val="18"/>
              </w:rPr>
              <w:t>Stock Index Futures</w:t>
            </w:r>
          </w:p>
        </w:tc>
        <w:tc>
          <w:tcPr>
            <w:tcW w:type="dxa" w:w="2880"/>
          </w:tcPr>
          <w:p>
            <w:pPr/>
            <w:r>
              <w:rPr>
                <w:sz w:val="18"/>
              </w:rPr>
              <w:t>8%</w:t>
            </w:r>
          </w:p>
        </w:tc>
        <w:tc>
          <w:tcPr>
            <w:tcW w:type="dxa" w:w="2880"/>
          </w:tcPr>
          <w:p>
            <w:pPr/>
            <w:r>
              <w:rPr>
                <w:sz w:val="18"/>
              </w:rPr>
              <w:t>10-15%</w:t>
            </w:r>
          </w:p>
        </w:tc>
      </w:tr>
      <w:tr>
        <w:tc>
          <w:tcPr>
            <w:tcW w:type="dxa" w:w="2880"/>
          </w:tcPr>
          <w:p>
            <w:pPr/>
            <w:r>
              <w:rPr>
                <w:sz w:val="18"/>
              </w:rPr>
              <w:t>2-year CGB Futures</w:t>
            </w:r>
          </w:p>
        </w:tc>
        <w:tc>
          <w:tcPr>
            <w:tcW w:type="dxa" w:w="2880"/>
          </w:tcPr>
          <w:p>
            <w:pPr/>
            <w:r>
              <w:rPr>
                <w:sz w:val="18"/>
              </w:rPr>
              <w:t>0.5%</w:t>
            </w:r>
          </w:p>
        </w:tc>
        <w:tc>
          <w:tcPr>
            <w:tcW w:type="dxa" w:w="2880"/>
          </w:tcPr>
          <w:p>
            <w:pPr/>
            <w:r>
              <w:rPr>
                <w:sz w:val="18"/>
              </w:rPr>
              <w:t>1-2%</w:t>
            </w:r>
          </w:p>
        </w:tc>
      </w:tr>
      <w:tr>
        <w:tc>
          <w:tcPr>
            <w:tcW w:type="dxa" w:w="2880"/>
          </w:tcPr>
          <w:p>
            <w:pPr/>
            <w:r>
              <w:rPr>
                <w:sz w:val="18"/>
              </w:rPr>
              <w:t>5-year CGB Futures</w:t>
            </w:r>
          </w:p>
        </w:tc>
        <w:tc>
          <w:tcPr>
            <w:tcW w:type="dxa" w:w="2880"/>
          </w:tcPr>
          <w:p>
            <w:pPr/>
            <w:r>
              <w:rPr>
                <w:sz w:val="18"/>
              </w:rPr>
              <w:t>1.0%</w:t>
            </w:r>
          </w:p>
        </w:tc>
        <w:tc>
          <w:tcPr>
            <w:tcW w:type="dxa" w:w="2880"/>
          </w:tcPr>
          <w:p>
            <w:pPr/>
            <w:r>
              <w:rPr>
                <w:sz w:val="18"/>
              </w:rPr>
              <w:t>1.5-3%</w:t>
            </w:r>
          </w:p>
        </w:tc>
      </w:tr>
      <w:tr>
        <w:tc>
          <w:tcPr>
            <w:tcW w:type="dxa" w:w="2880"/>
          </w:tcPr>
          <w:p>
            <w:pPr/>
            <w:r>
              <w:rPr>
                <w:sz w:val="18"/>
              </w:rPr>
              <w:t>10-year CGB Futures</w:t>
            </w:r>
          </w:p>
        </w:tc>
        <w:tc>
          <w:tcPr>
            <w:tcW w:type="dxa" w:w="2880"/>
          </w:tcPr>
          <w:p>
            <w:pPr/>
            <w:r>
              <w:rPr>
                <w:sz w:val="18"/>
              </w:rPr>
              <w:t>2.0%</w:t>
            </w:r>
          </w:p>
        </w:tc>
        <w:tc>
          <w:tcPr>
            <w:tcW w:type="dxa" w:w="2880"/>
          </w:tcPr>
          <w:p>
            <w:pPr/>
            <w:r>
              <w:rPr>
                <w:sz w:val="18"/>
              </w:rPr>
              <w:t>3-5%</w:t>
            </w:r>
          </w:p>
        </w:tc>
      </w:tr>
      <w:tr>
        <w:tc>
          <w:tcPr>
            <w:tcW w:type="dxa" w:w="2880"/>
          </w:tcPr>
          <w:p>
            <w:pPr/>
            <w:r>
              <w:rPr>
                <w:sz w:val="18"/>
              </w:rPr>
              <w:t>30-year CGB Futures</w:t>
            </w:r>
          </w:p>
        </w:tc>
        <w:tc>
          <w:tcPr>
            <w:tcW w:type="dxa" w:w="2880"/>
          </w:tcPr>
          <w:p>
            <w:pPr/>
            <w:r>
              <w:rPr>
                <w:sz w:val="18"/>
              </w:rPr>
              <w:t>3.5%</w:t>
            </w:r>
          </w:p>
        </w:tc>
        <w:tc>
          <w:tcPr>
            <w:tcW w:type="dxa" w:w="2880"/>
          </w:tcPr>
          <w:p>
            <w:pPr/>
            <w:r>
              <w:rPr>
                <w:sz w:val="18"/>
              </w:rPr>
              <w:t>5-7%</w:t>
            </w:r>
          </w:p>
        </w:tc>
      </w:tr>
    </w:tbl>
    <w:p/>
    <w:p>
      <w:r>
        <w:t>[Source: CFFEX, contract specifications and trading rules, accessed 2026-04-07]</w:t>
      </w:r>
    </w:p>
    <w:p>
      <w:r>
        <w:t>[Source: Orient Futures Singapore, "CFFEX Stock Index Futures (QFI)", accessed 2026-04-07]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