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CME Group</w:t>
      </w:r>
    </w:p>
    <w:p>
      <w:r>
        <w:rPr>
          <w:i/>
          <w:sz w:val="18"/>
        </w:rPr>
        <w:t>**Last Updated:** 2026-04-06</w:t>
      </w:r>
    </w:p>
    <w:p>
      <w:r>
        <w:rPr>
          <w:i/>
          <w:sz w:val="18"/>
        </w:rPr>
        <w:t>**Research Tier:** Tier 1</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CME Group Inc.</w:t>
            </w:r>
          </w:p>
        </w:tc>
      </w:tr>
      <w:tr>
        <w:tc>
          <w:tcPr>
            <w:tcW w:type="dxa" w:w="4320"/>
          </w:tcPr>
          <w:p>
            <w:pPr/>
            <w:r>
              <w:rPr>
                <w:sz w:val="18"/>
              </w:rPr>
              <w:t>Abbreviation</w:t>
            </w:r>
          </w:p>
        </w:tc>
        <w:tc>
          <w:tcPr>
            <w:tcW w:type="dxa" w:w="4320"/>
          </w:tcPr>
          <w:p>
            <w:pPr/>
            <w:r>
              <w:rPr>
                <w:sz w:val="18"/>
              </w:rPr>
              <w:t>CME Group (sub-exchanges: CME, CBOT, NYMEX, COMEX)</w:t>
            </w:r>
          </w:p>
        </w:tc>
      </w:tr>
      <w:tr>
        <w:tc>
          <w:tcPr>
            <w:tcW w:type="dxa" w:w="4320"/>
          </w:tcPr>
          <w:p>
            <w:pPr/>
            <w:r>
              <w:rPr>
                <w:sz w:val="18"/>
              </w:rPr>
              <w:t>Website</w:t>
            </w:r>
          </w:p>
        </w:tc>
        <w:tc>
          <w:tcPr>
            <w:tcW w:type="dxa" w:w="4320"/>
          </w:tcPr>
          <w:p>
            <w:pPr/>
            <w:r>
              <w:rPr>
                <w:sz w:val="18"/>
              </w:rPr>
              <w:t>https://www.cmegroup.com</w:t>
            </w:r>
          </w:p>
        </w:tc>
      </w:tr>
      <w:tr>
        <w:tc>
          <w:tcPr>
            <w:tcW w:type="dxa" w:w="4320"/>
          </w:tcPr>
          <w:p>
            <w:pPr/>
            <w:r>
              <w:rPr>
                <w:sz w:val="18"/>
              </w:rPr>
              <w:t>Year Established</w:t>
            </w:r>
          </w:p>
        </w:tc>
        <w:tc>
          <w:tcPr>
            <w:tcW w:type="dxa" w:w="4320"/>
          </w:tcPr>
          <w:p>
            <w:pPr/>
            <w:r>
              <w:rPr>
                <w:sz w:val="18"/>
              </w:rPr>
              <w:t>2007 (CME Group formed); predecessor exchanges: CBOT (1848), CME (1898), NYMEX (1882), COMEX (1933)</w:t>
            </w:r>
          </w:p>
        </w:tc>
      </w:tr>
      <w:tr>
        <w:tc>
          <w:tcPr>
            <w:tcW w:type="dxa" w:w="4320"/>
          </w:tcPr>
          <w:p>
            <w:pPr/>
            <w:r>
              <w:rPr>
                <w:sz w:val="18"/>
              </w:rPr>
              <w:t>Country / City</w:t>
            </w:r>
          </w:p>
        </w:tc>
        <w:tc>
          <w:tcPr>
            <w:tcW w:type="dxa" w:w="4320"/>
          </w:tcPr>
          <w:p>
            <w:pPr/>
            <w:r>
              <w:rPr>
                <w:sz w:val="18"/>
              </w:rPr>
              <w:t>United States / Chicago, IL (headquarters at 20 South Wacker Drive)</w:t>
            </w:r>
          </w:p>
        </w:tc>
      </w:tr>
      <w:tr>
        <w:tc>
          <w:tcPr>
            <w:tcW w:type="dxa" w:w="4320"/>
          </w:tcPr>
          <w:p>
            <w:pPr/>
            <w:r>
              <w:rPr>
                <w:sz w:val="18"/>
              </w:rPr>
              <w:t>Ownership Structure</w:t>
            </w:r>
          </w:p>
        </w:tc>
        <w:tc>
          <w:tcPr>
            <w:tcW w:type="dxa" w:w="4320"/>
          </w:tcPr>
          <w:p>
            <w:pPr/>
            <w:r>
              <w:rPr>
                <w:sz w:val="18"/>
              </w:rPr>
              <w:t>Publicly traded on NASDAQ (ticker: CME); widely held institutional ownership</w:t>
            </w:r>
          </w:p>
        </w:tc>
      </w:tr>
      <w:tr>
        <w:tc>
          <w:tcPr>
            <w:tcW w:type="dxa" w:w="4320"/>
          </w:tcPr>
          <w:p>
            <w:pPr/>
            <w:r>
              <w:rPr>
                <w:sz w:val="18"/>
              </w:rPr>
              <w:t>Parent Company / Group</w:t>
            </w:r>
          </w:p>
        </w:tc>
        <w:tc>
          <w:tcPr>
            <w:tcW w:type="dxa" w:w="4320"/>
          </w:tcPr>
          <w:p>
            <w:pPr/>
            <w:r>
              <w:rPr>
                <w:sz w:val="18"/>
              </w:rPr>
              <w:t>CME Group Inc. (also acquired NEX Group in 2018 for $5.5 billion, adding BrokerTec and EBS platforms)</w:t>
            </w:r>
          </w:p>
        </w:tc>
      </w:tr>
      <w:tr>
        <w:tc>
          <w:tcPr>
            <w:tcW w:type="dxa" w:w="4320"/>
          </w:tcPr>
          <w:p>
            <w:pPr/>
            <w:r>
              <w:rPr>
                <w:sz w:val="18"/>
              </w:rPr>
              <w:t>Regulatory Authority</w:t>
            </w:r>
          </w:p>
        </w:tc>
        <w:tc>
          <w:tcPr>
            <w:tcW w:type="dxa" w:w="4320"/>
          </w:tcPr>
          <w:p>
            <w:pPr/>
            <w:r>
              <w:rPr>
                <w:sz w:val="18"/>
              </w:rPr>
              <w:t>U.S. Commodity Futures Trading Commission (CFTC); each sub-exchange (CME, CBOT, NYMEX, COMEX) is a separately registered Designated Contract Market (DCM) and Self-Regulatory Organization (SRO)</w:t>
            </w:r>
          </w:p>
        </w:tc>
      </w:tr>
      <w:tr>
        <w:tc>
          <w:tcPr>
            <w:tcW w:type="dxa" w:w="4320"/>
          </w:tcPr>
          <w:p>
            <w:pPr/>
            <w:r>
              <w:rPr>
                <w:sz w:val="18"/>
              </w:rPr>
              <w:t>Market Capitalization</w:t>
            </w:r>
          </w:p>
        </w:tc>
        <w:tc>
          <w:tcPr>
            <w:tcW w:type="dxa" w:w="4320"/>
          </w:tcPr>
          <w:p>
            <w:pPr/>
            <w:r>
              <w:rPr>
                <w:sz w:val="18"/>
              </w:rPr>
              <w:t>~$104.85 billion (as of February 2026) [Source: MacroTrends]</w:t>
            </w:r>
          </w:p>
        </w:tc>
      </w:tr>
      <w:tr>
        <w:tc>
          <w:tcPr>
            <w:tcW w:type="dxa" w:w="4320"/>
          </w:tcPr>
          <w:p>
            <w:pPr/>
            <w:r>
              <w:rPr>
                <w:sz w:val="18"/>
              </w:rPr>
              <w:t>Annual Revenue (2025)</w:t>
            </w:r>
          </w:p>
        </w:tc>
        <w:tc>
          <w:tcPr>
            <w:tcW w:type="dxa" w:w="4320"/>
          </w:tcPr>
          <w:p>
            <w:pPr/>
            <w:r>
              <w:rPr>
                <w:sz w:val="18"/>
              </w:rPr>
              <w:t>$6.51 billion (+6.3% YoY) [Source: CME Group press releases]</w:t>
            </w:r>
          </w:p>
        </w:tc>
      </w:tr>
      <w:tr>
        <w:tc>
          <w:tcPr>
            <w:tcW w:type="dxa" w:w="4320"/>
          </w:tcPr>
          <w:p>
            <w:pPr/>
            <w:r>
              <w:rPr>
                <w:sz w:val="18"/>
              </w:rPr>
              <w:t>Average Daily Volume (2025)</w:t>
            </w:r>
          </w:p>
        </w:tc>
        <w:tc>
          <w:tcPr>
            <w:tcW w:type="dxa" w:w="4320"/>
          </w:tcPr>
          <w:p>
            <w:pPr/>
            <w:r>
              <w:rPr>
                <w:sz w:val="18"/>
              </w:rPr>
              <w:t>28.1 million contracts (record, +6% YoY); Q1 2026 record ADV of 36.2 million contracts (+22% YoY) [Source: CME Group press releases]</w:t>
            </w:r>
          </w:p>
        </w:tc>
      </w:tr>
      <w:tr>
        <w:tc>
          <w:tcPr>
            <w:tcW w:type="dxa" w:w="4320"/>
          </w:tcPr>
          <w:p>
            <w:pPr/>
            <w:r>
              <w:rPr>
                <w:sz w:val="18"/>
              </w:rPr>
              <w:t>Total Listed Instruments</w:t>
            </w:r>
          </w:p>
        </w:tc>
        <w:tc>
          <w:tcPr>
            <w:tcW w:type="dxa" w:w="4320"/>
          </w:tcPr>
          <w:p>
            <w:pPr/>
            <w:r>
              <w:rPr>
                <w:sz w:val="18"/>
              </w:rPr>
              <w:t>Thousands of futures and options contracts across 7 asset classes on 4 exchanges</w:t>
            </w:r>
          </w:p>
        </w:tc>
      </w:tr>
      <w:tr>
        <w:tc>
          <w:tcPr>
            <w:tcW w:type="dxa" w:w="4320"/>
          </w:tcPr>
          <w:p>
            <w:pPr/>
            <w:r>
              <w:rPr>
                <w:sz w:val="18"/>
              </w:rPr>
              <w:t>Clearing House</w:t>
            </w:r>
          </w:p>
        </w:tc>
        <w:tc>
          <w:tcPr>
            <w:tcW w:type="dxa" w:w="4320"/>
          </w:tcPr>
          <w:p>
            <w:pPr/>
            <w:r>
              <w:rPr>
                <w:sz w:val="18"/>
              </w:rPr>
              <w:t>CME Clearing — one of the world's largest central counterparties (CCPs)</w:t>
            </w:r>
          </w:p>
        </w:tc>
      </w:tr>
    </w:tbl>
    <w:p/>
    <w:p>
      <w:pPr>
        <w:pStyle w:val="Heading3"/>
      </w:pPr>
      <w:r>
        <w:t>Key Historical Milestones</w:t>
      </w:r>
    </w:p>
    <w:p>
      <w:pPr>
        <w:pStyle w:val="ListBullet"/>
      </w:pPr>
      <w:r>
        <w:t>1848: Chicago Board of Trade (CBOT) founded — world's oldest futures exchange; initially traded grain forward contracts</w:t>
      </w:r>
    </w:p>
    <w:p>
      <w:pPr>
        <w:pStyle w:val="ListBullet"/>
      </w:pPr>
      <w:r>
        <w:t>1865: CBOT introduces standardized futures contracts with margin requirements</w:t>
      </w:r>
    </w:p>
    <w:p>
      <w:pPr>
        <w:pStyle w:val="ListBullet"/>
      </w:pPr>
      <w:r>
        <w:t>1882: New York Mercantile Exchange (NYMEX) founded as the Butter and Cheese Exchange of New York</w:t>
      </w:r>
    </w:p>
    <w:p>
      <w:pPr>
        <w:pStyle w:val="ListBullet"/>
      </w:pPr>
      <w:r>
        <w:t>1898: Chicago Butter and Egg Board founded (predecessor of CME)</w:t>
      </w:r>
    </w:p>
    <w:p>
      <w:pPr>
        <w:pStyle w:val="ListBullet"/>
      </w:pPr>
      <w:r>
        <w:t>1919: Reorganized as the Chicago Mercantile Exchange (CME)</w:t>
      </w:r>
    </w:p>
    <w:p>
      <w:pPr>
        <w:pStyle w:val="ListBullet"/>
      </w:pPr>
      <w:r>
        <w:t>1933: Commodity Exchange Inc. (COMEX) formed in New York through merger of four commodity exchanges</w:t>
      </w:r>
    </w:p>
    <w:p>
      <w:pPr>
        <w:pStyle w:val="ListBullet"/>
      </w:pPr>
      <w:r>
        <w:t>1961: CME introduces first frozen pork belly futures</w:t>
      </w:r>
    </w:p>
    <w:p>
      <w:pPr>
        <w:pStyle w:val="ListBullet"/>
      </w:pPr>
      <w:r>
        <w:t>1972: CME creates the International Monetary Market (IMM) — the world's first financial futures contracts (seven foreign currencies)</w:t>
      </w:r>
    </w:p>
    <w:p>
      <w:pPr>
        <w:pStyle w:val="ListBullet"/>
      </w:pPr>
      <w:r>
        <w:t>1981: CME introduces Eurodollar futures — first cash-settled futures contract</w:t>
      </w:r>
    </w:p>
    <w:p>
      <w:pPr>
        <w:pStyle w:val="ListBullet"/>
      </w:pPr>
      <w:r>
        <w:t>1982: CME introduces S&amp;P 500 index futures</w:t>
      </w:r>
    </w:p>
    <w:p>
      <w:pPr>
        <w:pStyle w:val="ListBullet"/>
      </w:pPr>
      <w:r>
        <w:t>1987: CME Globex electronic trading system proposed by Leo Melamed and Jack Sandner</w:t>
      </w:r>
    </w:p>
    <w:p>
      <w:pPr>
        <w:pStyle w:val="ListBullet"/>
      </w:pPr>
      <w:r>
        <w:t>1992: CME Globex launched — first global electronic futures trading platform</w:t>
      </w:r>
    </w:p>
    <w:p>
      <w:pPr>
        <w:pStyle w:val="ListBullet"/>
      </w:pPr>
      <w:r>
        <w:t>1994: COMEX and NYMEX merge, with COMEX continuing as a division of NYMEX</w:t>
      </w:r>
    </w:p>
    <w:p>
      <w:pPr>
        <w:pStyle w:val="ListBullet"/>
      </w:pPr>
      <w:r>
        <w:t>2000: CME demutualizes (first U.S. exchange to do so)</w:t>
      </w:r>
    </w:p>
    <w:p>
      <w:pPr>
        <w:pStyle w:val="ListBullet"/>
      </w:pPr>
      <w:r>
        <w:t>2002: CME Holdings goes public on NYSE (December 6)</w:t>
      </w:r>
    </w:p>
    <w:p>
      <w:pPr>
        <w:pStyle w:val="ListBullet"/>
      </w:pPr>
      <w:r>
        <w:t>2007: CME merges with CBOT to form CME Group Inc. (~$8 billion deal, July 12)</w:t>
      </w:r>
    </w:p>
    <w:p>
      <w:pPr>
        <w:pStyle w:val="ListBullet"/>
      </w:pPr>
      <w:r>
        <w:t>2008: CME Group acquires NYMEX Holdings (including COMEX) for ~$8.9 billion (August 22)</w:t>
      </w:r>
    </w:p>
    <w:p>
      <w:pPr>
        <w:pStyle w:val="ListBullet"/>
      </w:pPr>
      <w:r>
        <w:t>2012: CME Group acquires Kansas City Board of Trade for $126 million</w:t>
      </w:r>
    </w:p>
    <w:p>
      <w:pPr>
        <w:pStyle w:val="ListBullet"/>
      </w:pPr>
      <w:r>
        <w:t>2017: Launch of Bitcoin futures on CME</w:t>
      </w:r>
    </w:p>
    <w:p>
      <w:pPr>
        <w:pStyle w:val="ListBullet"/>
      </w:pPr>
      <w:r>
        <w:t>2018: CME Group acquires NEX Group (BrokerTec, EBS) for $5.5 billion</w:t>
      </w:r>
    </w:p>
    <w:p>
      <w:pPr>
        <w:pStyle w:val="ListBullet"/>
      </w:pPr>
      <w:r>
        <w:t>2020: iLink 3 binary order entry protocol deployed; SOFR futures surpass Eurodollar volumes</w:t>
      </w:r>
    </w:p>
    <w:p>
      <w:pPr>
        <w:pStyle w:val="ListBullet"/>
      </w:pPr>
      <w:r>
        <w:t>2021: Launch of Micro Bitcoin and Micro Ether futures</w:t>
      </w:r>
    </w:p>
    <w:p>
      <w:pPr>
        <w:pStyle w:val="ListBullet"/>
      </w:pPr>
      <w:r>
        <w:t>2025: Record annual ADV of 28.1 million contracts; SPAN 2 margin framework rollout for energy and equity contracts; November 2025 — 10-hour outage due to cooling system failure at Aurora data center</w:t>
      </w:r>
    </w:p>
    <w:p>
      <w:pPr>
        <w:pStyle w:val="ListBullet"/>
      </w:pPr>
      <w:r>
        <w:t>2026 (ongoing): Google Cloud migration commencing mid-2026; Q1 2026 ADV record of 36.2 million contracts; 24/7 crypto futures trading targeted for May 2026</w:t>
      </w:r>
    </w:p>
    <w:p>
      <w:r>
        <w:t>[Source: CME Group, "Company History"; Wikipedia, "CME Group"; CME Group press releases, 2025-2026]</w:t>
      </w:r>
    </w:p>
    <w:p>
      <w:r>
        <w:t>────────────────────────────────────────────────────────────</w:t>
      </w:r>
    </w:p>
    <w:p>
      <w:pPr>
        <w:pStyle w:val="Heading2"/>
      </w:pPr>
      <w:r>
        <w:t>2. Market Structure</w:t>
      </w:r>
    </w:p>
    <w:p>
      <w:pPr>
        <w:pStyle w:val="Heading3"/>
      </w:pPr>
      <w:r>
        <w:t>2.1 Sub-Exchanges / Market Segments</w:t>
      </w:r>
    </w:p>
    <w:p>
      <w:r>
        <w:t>CME Group comprises four Designated Contract Markets (DCMs), each with distinct product specializations: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Sub-Exchange</w:t>
            </w:r>
          </w:p>
        </w:tc>
        <w:tc>
          <w:tcPr>
            <w:tcW w:type="dxa" w:w="2880"/>
          </w:tcPr>
          <w:p>
            <w:pPr/>
            <w:r>
              <w:rPr>
                <w:b/>
                <w:sz w:val="18"/>
              </w:rPr>
              <w:t>Primary Products</w:t>
            </w:r>
          </w:p>
        </w:tc>
        <w:tc>
          <w:tcPr>
            <w:tcW w:type="dxa" w:w="2880"/>
          </w:tcPr>
          <w:p>
            <w:pPr/>
            <w:r>
              <w:rPr>
                <w:b/>
                <w:sz w:val="18"/>
              </w:rPr>
              <w:t>Key Contracts</w:t>
            </w:r>
          </w:p>
        </w:tc>
      </w:tr>
      <w:tr>
        <w:tc>
          <w:tcPr>
            <w:tcW w:type="dxa" w:w="2880"/>
          </w:tcPr>
          <w:p>
            <w:pPr/>
            <w:r>
              <w:rPr>
                <w:sz w:val="18"/>
              </w:rPr>
              <w:t>**CME** (Chicago Mercantile Exchange)</w:t>
            </w:r>
          </w:p>
        </w:tc>
        <w:tc>
          <w:tcPr>
            <w:tcW w:type="dxa" w:w="2880"/>
          </w:tcPr>
          <w:p>
            <w:pPr/>
            <w:r>
              <w:rPr>
                <w:sz w:val="18"/>
              </w:rPr>
              <w:t>Equity indexes, FX, interest rates (STIR), livestock, dairy, weather, crypto</w:t>
            </w:r>
          </w:p>
        </w:tc>
        <w:tc>
          <w:tcPr>
            <w:tcW w:type="dxa" w:w="2880"/>
          </w:tcPr>
          <w:p>
            <w:pPr/>
            <w:r>
              <w:rPr>
                <w:sz w:val="18"/>
              </w:rPr>
              <w:t>E-mini S&amp;P 500, Micro E-mini, SOFR futures, EUR/USD, Live Cattle, Bitcoin</w:t>
            </w:r>
          </w:p>
        </w:tc>
      </w:tr>
      <w:tr>
        <w:tc>
          <w:tcPr>
            <w:tcW w:type="dxa" w:w="2880"/>
          </w:tcPr>
          <w:p>
            <w:pPr/>
            <w:r>
              <w:rPr>
                <w:sz w:val="18"/>
              </w:rPr>
              <w:t>**CBOT** (Chicago Board of Trade)</w:t>
            </w:r>
          </w:p>
        </w:tc>
        <w:tc>
          <w:tcPr>
            <w:tcW w:type="dxa" w:w="2880"/>
          </w:tcPr>
          <w:p>
            <w:pPr/>
            <w:r>
              <w:rPr>
                <w:sz w:val="18"/>
              </w:rPr>
              <w:t>U.S. Treasury bonds/notes, grains, oilseeds, ethanol</w:t>
            </w:r>
          </w:p>
        </w:tc>
        <w:tc>
          <w:tcPr>
            <w:tcW w:type="dxa" w:w="2880"/>
          </w:tcPr>
          <w:p>
            <w:pPr/>
            <w:r>
              <w:rPr>
                <w:sz w:val="18"/>
              </w:rPr>
              <w:t>10-Year T-Note, 30-Year T-Bond, Corn, Soybeans, Wheat</w:t>
            </w:r>
          </w:p>
        </w:tc>
      </w:tr>
      <w:tr>
        <w:tc>
          <w:tcPr>
            <w:tcW w:type="dxa" w:w="2880"/>
          </w:tcPr>
          <w:p>
            <w:pPr/>
            <w:r>
              <w:rPr>
                <w:sz w:val="18"/>
              </w:rPr>
              <w:t>**NYMEX** (New York Mercantile Exchange)</w:t>
            </w:r>
          </w:p>
        </w:tc>
        <w:tc>
          <w:tcPr>
            <w:tcW w:type="dxa" w:w="2880"/>
          </w:tcPr>
          <w:p>
            <w:pPr/>
            <w:r>
              <w:rPr>
                <w:sz w:val="18"/>
              </w:rPr>
              <w:t>Energy (crude oil, natural gas, refined products)</w:t>
            </w:r>
          </w:p>
        </w:tc>
        <w:tc>
          <w:tcPr>
            <w:tcW w:type="dxa" w:w="2880"/>
          </w:tcPr>
          <w:p>
            <w:pPr/>
            <w:r>
              <w:rPr>
                <w:sz w:val="18"/>
              </w:rPr>
              <w:t>WTI Crude Oil (CL), Henry Hub Natural Gas (NG), RBOB Gasoline</w:t>
            </w:r>
          </w:p>
        </w:tc>
      </w:tr>
      <w:tr>
        <w:tc>
          <w:tcPr>
            <w:tcW w:type="dxa" w:w="2880"/>
          </w:tcPr>
          <w:p>
            <w:pPr/>
            <w:r>
              <w:rPr>
                <w:sz w:val="18"/>
              </w:rPr>
              <w:t>**COMEX** (Commodity Exchange)</w:t>
            </w:r>
          </w:p>
        </w:tc>
        <w:tc>
          <w:tcPr>
            <w:tcW w:type="dxa" w:w="2880"/>
          </w:tcPr>
          <w:p>
            <w:pPr/>
            <w:r>
              <w:rPr>
                <w:sz w:val="18"/>
              </w:rPr>
              <w:t>Metals (precious, base, ferrous)</w:t>
            </w:r>
          </w:p>
        </w:tc>
        <w:tc>
          <w:tcPr>
            <w:tcW w:type="dxa" w:w="2880"/>
          </w:tcPr>
          <w:p>
            <w:pPr/>
            <w:r>
              <w:rPr>
                <w:sz w:val="18"/>
              </w:rPr>
              <w:t>Gold (GC), Silver (SI), Copper (HG), Micro Gold</w:t>
            </w:r>
          </w:p>
        </w:tc>
      </w:tr>
    </w:tbl>
    <w:p/>
    <w:p>
      <w:r>
        <w:t>Additionally, CME Group operates:</w:t>
      </w:r>
    </w:p>
    <w:p>
      <w:pPr>
        <w:pStyle w:val="ListBullet"/>
      </w:pPr>
      <w:r>
        <w:t>BrokerTec — electronic platform for U.S. Treasury and European government bond trading</w:t>
      </w:r>
    </w:p>
    <w:p>
      <w:pPr>
        <w:pStyle w:val="ListBullet"/>
      </w:pPr>
      <w:r>
        <w:t>EBS — electronic platform for FX spot and forwards</w:t>
      </w:r>
    </w:p>
    <w:p>
      <w:pPr>
        <w:pStyle w:val="ListBullet"/>
      </w:pPr>
      <w:r>
        <w:t>CME Clearing — central counterparty clearing for all exchange-traded and select OTC products</w:t>
      </w:r>
    </w:p>
    <w:p>
      <w:pPr>
        <w:pStyle w:val="Heading3"/>
      </w:pPr>
      <w:r>
        <w:t>2.2 Trading Sessions / Hours</w:t>
      </w:r>
    </w:p>
    <w:p>
      <w:r>
        <w:t>CME Globex electronic trading operates nearly 24 hours a day, Sunday through Friday.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Time (CT)</w:t>
            </w:r>
          </w:p>
        </w:tc>
        <w:tc>
          <w:tcPr>
            <w:tcW w:type="dxa" w:w="2160"/>
          </w:tcPr>
          <w:p>
            <w:pPr/>
            <w:r>
              <w:rPr>
                <w:b/>
                <w:sz w:val="18"/>
              </w:rPr>
              <w:t>Time (UTC)</w:t>
            </w:r>
          </w:p>
        </w:tc>
        <w:tc>
          <w:tcPr>
            <w:tcW w:type="dxa" w:w="2160"/>
          </w:tcPr>
          <w:p>
            <w:pPr/>
            <w:r>
              <w:rPr>
                <w:b/>
                <w:sz w:val="18"/>
              </w:rPr>
              <w:t>Description</w:t>
            </w:r>
          </w:p>
        </w:tc>
      </w:tr>
      <w:tr>
        <w:tc>
          <w:tcPr>
            <w:tcW w:type="dxa" w:w="2160"/>
          </w:tcPr>
          <w:p>
            <w:pPr/>
            <w:r>
              <w:rPr>
                <w:sz w:val="18"/>
              </w:rPr>
              <w:t>**Pre-Open**</w:t>
            </w:r>
          </w:p>
        </w:tc>
        <w:tc>
          <w:tcPr>
            <w:tcW w:type="dxa" w:w="2160"/>
          </w:tcPr>
          <w:p>
            <w:pPr/>
            <w:r>
              <w:rPr>
                <w:sz w:val="18"/>
              </w:rPr>
              <w:t>4:45 PM – 5:00 PM Sun</w:t>
            </w:r>
          </w:p>
        </w:tc>
        <w:tc>
          <w:tcPr>
            <w:tcW w:type="dxa" w:w="2160"/>
          </w:tcPr>
          <w:p>
            <w:pPr/>
            <w:r>
              <w:rPr>
                <w:sz w:val="18"/>
              </w:rPr>
              <w:t>22:45–23:00 UTC</w:t>
            </w:r>
          </w:p>
        </w:tc>
        <w:tc>
          <w:tcPr>
            <w:tcW w:type="dxa" w:w="2160"/>
          </w:tcPr>
          <w:p>
            <w:pPr/>
            <w:r>
              <w:rPr>
                <w:sz w:val="18"/>
              </w:rPr>
              <w:t>Order entry begins, no matching</w:t>
            </w:r>
          </w:p>
        </w:tc>
      </w:tr>
      <w:tr>
        <w:tc>
          <w:tcPr>
            <w:tcW w:type="dxa" w:w="2160"/>
          </w:tcPr>
          <w:p>
            <w:pPr/>
            <w:r>
              <w:rPr>
                <w:sz w:val="18"/>
              </w:rPr>
              <w:t>**Globex Session Open**</w:t>
            </w:r>
          </w:p>
        </w:tc>
        <w:tc>
          <w:tcPr>
            <w:tcW w:type="dxa" w:w="2160"/>
          </w:tcPr>
          <w:p>
            <w:pPr/>
            <w:r>
              <w:rPr>
                <w:sz w:val="18"/>
              </w:rPr>
              <w:t>5:00 PM Sun – 4:00 PM Fri</w:t>
            </w:r>
          </w:p>
        </w:tc>
        <w:tc>
          <w:tcPr>
            <w:tcW w:type="dxa" w:w="2160"/>
          </w:tcPr>
          <w:p>
            <w:pPr/>
            <w:r>
              <w:rPr>
                <w:sz w:val="18"/>
              </w:rPr>
              <w:t>23:00 Sun – 21:00 Fri UTC</w:t>
            </w:r>
          </w:p>
        </w:tc>
        <w:tc>
          <w:tcPr>
            <w:tcW w:type="dxa" w:w="2160"/>
          </w:tcPr>
          <w:p>
            <w:pPr/>
            <w:r>
              <w:rPr>
                <w:sz w:val="18"/>
              </w:rPr>
              <w:t>Continuous electronic trading</w:t>
            </w:r>
          </w:p>
        </w:tc>
      </w:tr>
      <w:tr>
        <w:tc>
          <w:tcPr>
            <w:tcW w:type="dxa" w:w="2160"/>
          </w:tcPr>
          <w:p>
            <w:pPr/>
            <w:r>
              <w:rPr>
                <w:sz w:val="18"/>
              </w:rPr>
              <w:t>**Daily Maintenance**</w:t>
            </w:r>
          </w:p>
        </w:tc>
        <w:tc>
          <w:tcPr>
            <w:tcW w:type="dxa" w:w="2160"/>
          </w:tcPr>
          <w:p>
            <w:pPr/>
            <w:r>
              <w:rPr>
                <w:sz w:val="18"/>
              </w:rPr>
              <w:t>4:00 PM – 5:00 PM CT (Mon–Thu)</w:t>
            </w:r>
          </w:p>
        </w:tc>
        <w:tc>
          <w:tcPr>
            <w:tcW w:type="dxa" w:w="2160"/>
          </w:tcPr>
          <w:p>
            <w:pPr/>
            <w:r>
              <w:rPr>
                <w:sz w:val="18"/>
              </w:rPr>
              <w:t>21:00–22:00 UTC</w:t>
            </w:r>
          </w:p>
        </w:tc>
        <w:tc>
          <w:tcPr>
            <w:tcW w:type="dxa" w:w="2160"/>
          </w:tcPr>
          <w:p>
            <w:pPr/>
            <w:r>
              <w:rPr>
                <w:sz w:val="18"/>
              </w:rPr>
              <w:t>System maintenance; no orders accepted</w:t>
            </w:r>
          </w:p>
        </w:tc>
      </w:tr>
    </w:tbl>
    <w:p/>
    <w:p>
      <w:r>
        <w:t>Regular Trading Hours (RTH) by Product Group:</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 Group</w:t>
            </w:r>
          </w:p>
        </w:tc>
        <w:tc>
          <w:tcPr>
            <w:tcW w:type="dxa" w:w="2880"/>
          </w:tcPr>
          <w:p>
            <w:pPr/>
            <w:r>
              <w:rPr>
                <w:b/>
                <w:sz w:val="18"/>
              </w:rPr>
              <w:t>RTH (CT)</w:t>
            </w:r>
          </w:p>
        </w:tc>
        <w:tc>
          <w:tcPr>
            <w:tcW w:type="dxa" w:w="2880"/>
          </w:tcPr>
          <w:p>
            <w:pPr/>
            <w:r>
              <w:rPr>
                <w:b/>
                <w:sz w:val="18"/>
              </w:rPr>
              <w:t>Notes</w:t>
            </w:r>
          </w:p>
        </w:tc>
      </w:tr>
      <w:tr>
        <w:tc>
          <w:tcPr>
            <w:tcW w:type="dxa" w:w="2880"/>
          </w:tcPr>
          <w:p>
            <w:pPr/>
            <w:r>
              <w:rPr>
                <w:sz w:val="18"/>
              </w:rPr>
              <w:t>Equity Index Futures</w:t>
            </w:r>
          </w:p>
        </w:tc>
        <w:tc>
          <w:tcPr>
            <w:tcW w:type="dxa" w:w="2880"/>
          </w:tcPr>
          <w:p>
            <w:pPr/>
            <w:r>
              <w:rPr>
                <w:sz w:val="18"/>
              </w:rPr>
              <w:t>8:30 AM – 3:15 PM</w:t>
            </w:r>
          </w:p>
        </w:tc>
        <w:tc>
          <w:tcPr>
            <w:tcW w:type="dxa" w:w="2880"/>
          </w:tcPr>
          <w:p>
            <w:pPr/>
            <w:r>
              <w:rPr>
                <w:sz w:val="18"/>
              </w:rPr>
              <w:t>Settlement window 3:14:30–3:15:00</w:t>
            </w:r>
          </w:p>
        </w:tc>
      </w:tr>
      <w:tr>
        <w:tc>
          <w:tcPr>
            <w:tcW w:type="dxa" w:w="2880"/>
          </w:tcPr>
          <w:p>
            <w:pPr/>
            <w:r>
              <w:rPr>
                <w:sz w:val="18"/>
              </w:rPr>
              <w:t>Equity Index Options</w:t>
            </w:r>
          </w:p>
        </w:tc>
        <w:tc>
          <w:tcPr>
            <w:tcW w:type="dxa" w:w="2880"/>
          </w:tcPr>
          <w:p>
            <w:pPr/>
            <w:r>
              <w:rPr>
                <w:sz w:val="18"/>
              </w:rPr>
              <w:t>8:30 AM – 3:15 PM</w:t>
            </w:r>
          </w:p>
        </w:tc>
        <w:tc>
          <w:tcPr>
            <w:tcW w:type="dxa" w:w="2880"/>
          </w:tcPr>
          <w:p>
            <w:pPr/>
            <w:r>
              <w:rPr>
                <w:sz w:val="18"/>
              </w:rPr>
            </w:r>
          </w:p>
        </w:tc>
      </w:tr>
      <w:tr>
        <w:tc>
          <w:tcPr>
            <w:tcW w:type="dxa" w:w="2880"/>
          </w:tcPr>
          <w:p>
            <w:pPr/>
            <w:r>
              <w:rPr>
                <w:sz w:val="18"/>
              </w:rPr>
              <w:t>Interest Rate Futures (Treasuries)</w:t>
            </w:r>
          </w:p>
        </w:tc>
        <w:tc>
          <w:tcPr>
            <w:tcW w:type="dxa" w:w="2880"/>
          </w:tcPr>
          <w:p>
            <w:pPr/>
            <w:r>
              <w:rPr>
                <w:sz w:val="18"/>
              </w:rPr>
              <w:t>7:20 AM – 2:00 PM</w:t>
            </w:r>
          </w:p>
        </w:tc>
        <w:tc>
          <w:tcPr>
            <w:tcW w:type="dxa" w:w="2880"/>
          </w:tcPr>
          <w:p>
            <w:pPr/>
            <w:r>
              <w:rPr>
                <w:sz w:val="18"/>
              </w:rPr>
            </w:r>
          </w:p>
        </w:tc>
      </w:tr>
      <w:tr>
        <w:tc>
          <w:tcPr>
            <w:tcW w:type="dxa" w:w="2880"/>
          </w:tcPr>
          <w:p>
            <w:pPr/>
            <w:r>
              <w:rPr>
                <w:sz w:val="18"/>
              </w:rPr>
              <w:t>Interest Rate Futures (SOFR)</w:t>
            </w:r>
          </w:p>
        </w:tc>
        <w:tc>
          <w:tcPr>
            <w:tcW w:type="dxa" w:w="2880"/>
          </w:tcPr>
          <w:p>
            <w:pPr/>
            <w:r>
              <w:rPr>
                <w:sz w:val="18"/>
              </w:rPr>
              <w:t>7:20 AM – 2:00 PM</w:t>
            </w:r>
          </w:p>
        </w:tc>
        <w:tc>
          <w:tcPr>
            <w:tcW w:type="dxa" w:w="2880"/>
          </w:tcPr>
          <w:p>
            <w:pPr/>
            <w:r>
              <w:rPr>
                <w:sz w:val="18"/>
              </w:rPr>
            </w:r>
          </w:p>
        </w:tc>
      </w:tr>
      <w:tr>
        <w:tc>
          <w:tcPr>
            <w:tcW w:type="dxa" w:w="2880"/>
          </w:tcPr>
          <w:p>
            <w:pPr/>
            <w:r>
              <w:rPr>
                <w:sz w:val="18"/>
              </w:rPr>
              <w:t>Energy Futures</w:t>
            </w:r>
          </w:p>
        </w:tc>
        <w:tc>
          <w:tcPr>
            <w:tcW w:type="dxa" w:w="2880"/>
          </w:tcPr>
          <w:p>
            <w:pPr/>
            <w:r>
              <w:rPr>
                <w:sz w:val="18"/>
              </w:rPr>
              <w:t>8:00 AM – 1:30 PM</w:t>
            </w:r>
          </w:p>
        </w:tc>
        <w:tc>
          <w:tcPr>
            <w:tcW w:type="dxa" w:w="2880"/>
          </w:tcPr>
          <w:p>
            <w:pPr/>
            <w:r>
              <w:rPr>
                <w:sz w:val="18"/>
              </w:rPr>
            </w:r>
          </w:p>
        </w:tc>
      </w:tr>
      <w:tr>
        <w:tc>
          <w:tcPr>
            <w:tcW w:type="dxa" w:w="2880"/>
          </w:tcPr>
          <w:p>
            <w:pPr/>
            <w:r>
              <w:rPr>
                <w:sz w:val="18"/>
              </w:rPr>
              <w:t>Metals (Gold, Silver, Copper)</w:t>
            </w:r>
          </w:p>
        </w:tc>
        <w:tc>
          <w:tcPr>
            <w:tcW w:type="dxa" w:w="2880"/>
          </w:tcPr>
          <w:p>
            <w:pPr/>
            <w:r>
              <w:rPr>
                <w:sz w:val="18"/>
              </w:rPr>
              <w:t>7:20 AM – 12:30 PM</w:t>
            </w:r>
          </w:p>
        </w:tc>
        <w:tc>
          <w:tcPr>
            <w:tcW w:type="dxa" w:w="2880"/>
          </w:tcPr>
          <w:p>
            <w:pPr/>
            <w:r>
              <w:rPr>
                <w:sz w:val="18"/>
              </w:rPr>
              <w:t>Near-24-hour Globex access</w:t>
            </w:r>
          </w:p>
        </w:tc>
      </w:tr>
      <w:tr>
        <w:tc>
          <w:tcPr>
            <w:tcW w:type="dxa" w:w="2880"/>
          </w:tcPr>
          <w:p>
            <w:pPr/>
            <w:r>
              <w:rPr>
                <w:sz w:val="18"/>
              </w:rPr>
              <w:t>Agriculture (Grains/Oilseeds)</w:t>
            </w:r>
          </w:p>
        </w:tc>
        <w:tc>
          <w:tcPr>
            <w:tcW w:type="dxa" w:w="2880"/>
          </w:tcPr>
          <w:p>
            <w:pPr/>
            <w:r>
              <w:rPr>
                <w:sz w:val="18"/>
              </w:rPr>
              <w:t>8:30 AM – 1:20 PM</w:t>
            </w:r>
          </w:p>
        </w:tc>
        <w:tc>
          <w:tcPr>
            <w:tcW w:type="dxa" w:w="2880"/>
          </w:tcPr>
          <w:p>
            <w:pPr/>
            <w:r>
              <w:rPr>
                <w:sz w:val="18"/>
              </w:rPr>
              <w:t>Evening session 7:00 PM – 7:45 AM</w:t>
            </w:r>
          </w:p>
        </w:tc>
      </w:tr>
      <w:tr>
        <w:tc>
          <w:tcPr>
            <w:tcW w:type="dxa" w:w="2880"/>
          </w:tcPr>
          <w:p>
            <w:pPr/>
            <w:r>
              <w:rPr>
                <w:sz w:val="18"/>
              </w:rPr>
              <w:t>Livestock</w:t>
            </w:r>
          </w:p>
        </w:tc>
        <w:tc>
          <w:tcPr>
            <w:tcW w:type="dxa" w:w="2880"/>
          </w:tcPr>
          <w:p>
            <w:pPr/>
            <w:r>
              <w:rPr>
                <w:sz w:val="18"/>
              </w:rPr>
              <w:t>8:30 AM – 1:05 PM</w:t>
            </w:r>
          </w:p>
        </w:tc>
        <w:tc>
          <w:tcPr>
            <w:tcW w:type="dxa" w:w="2880"/>
          </w:tcPr>
          <w:p>
            <w:pPr/>
            <w:r>
              <w:rPr>
                <w:sz w:val="18"/>
              </w:rPr>
            </w:r>
          </w:p>
        </w:tc>
      </w:tr>
      <w:tr>
        <w:tc>
          <w:tcPr>
            <w:tcW w:type="dxa" w:w="2880"/>
          </w:tcPr>
          <w:p>
            <w:pPr/>
            <w:r>
              <w:rPr>
                <w:sz w:val="18"/>
              </w:rPr>
              <w:t>FX Futures</w:t>
            </w:r>
          </w:p>
        </w:tc>
        <w:tc>
          <w:tcPr>
            <w:tcW w:type="dxa" w:w="2880"/>
          </w:tcPr>
          <w:p>
            <w:pPr/>
            <w:r>
              <w:rPr>
                <w:sz w:val="18"/>
              </w:rPr>
              <w:t>7:20 AM – 2:00 PM</w:t>
            </w:r>
          </w:p>
        </w:tc>
        <w:tc>
          <w:tcPr>
            <w:tcW w:type="dxa" w:w="2880"/>
          </w:tcPr>
          <w:p>
            <w:pPr/>
            <w:r>
              <w:rPr>
                <w:sz w:val="18"/>
              </w:rPr>
            </w:r>
          </w:p>
        </w:tc>
      </w:tr>
      <w:tr>
        <w:tc>
          <w:tcPr>
            <w:tcW w:type="dxa" w:w="2880"/>
          </w:tcPr>
          <w:p>
            <w:pPr/>
            <w:r>
              <w:rPr>
                <w:sz w:val="18"/>
              </w:rPr>
              <w:t>Cryptocurrency</w:t>
            </w:r>
          </w:p>
        </w:tc>
        <w:tc>
          <w:tcPr>
            <w:tcW w:type="dxa" w:w="2880"/>
          </w:tcPr>
          <w:p>
            <w:pPr/>
            <w:r>
              <w:rPr>
                <w:sz w:val="18"/>
              </w:rPr>
              <w:t>5:00 PM – 4:00 PM (near 24h)</w:t>
            </w:r>
          </w:p>
        </w:tc>
        <w:tc>
          <w:tcPr>
            <w:tcW w:type="dxa" w:w="2880"/>
          </w:tcPr>
          <w:p>
            <w:pPr/>
            <w:r>
              <w:rPr>
                <w:sz w:val="18"/>
              </w:rPr>
              <w:t>24/7 trading planned from May 2026 (pending regulatory approval)</w:t>
            </w:r>
          </w:p>
        </w:tc>
      </w:tr>
    </w:tbl>
    <w:p/>
    <w:p>
      <w:r>
        <w:t>Holiday Schedule (2026):</w:t>
      </w:r>
    </w:p>
    <w:p>
      <w:pPr>
        <w:pStyle w:val="ListBullet"/>
      </w:pPr>
      <w:r>
        <w:t>Full closures: New Year's Day (Jan 1), Good Friday (Apr 3), Christmas Day (Dec 25)</w:t>
      </w:r>
    </w:p>
    <w:p>
      <w:pPr>
        <w:pStyle w:val="ListBullet"/>
      </w:pPr>
      <w:r>
        <w:t>Early closures on 6 additional holidays (e.g., Memorial Day, Independence Day, Thanksgiving) — equity products typically halt at 12:15 PM CT, energy/metals at 12:30 PM CT</w:t>
      </w:r>
    </w:p>
    <w:p>
      <w:r>
        <w:t>[Source: CME Group, "Trading Hours"; CME Group, "2026 Trading Days Schedule"]</w:t>
      </w:r>
    </w:p>
    <w:p>
      <w:pPr>
        <w:pStyle w:val="Heading3"/>
      </w:pPr>
      <w:r>
        <w:t>2.3 Tick Sizes (Selected Products)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Tick Size</w:t>
            </w:r>
          </w:p>
        </w:tc>
        <w:tc>
          <w:tcPr>
            <w:tcW w:type="dxa" w:w="2880"/>
          </w:tcPr>
          <w:p>
            <w:pPr/>
            <w:r>
              <w:rPr>
                <w:b/>
                <w:sz w:val="18"/>
              </w:rPr>
              <w:t>Tick Value</w:t>
            </w:r>
          </w:p>
        </w:tc>
      </w:tr>
      <w:tr>
        <w:tc>
          <w:tcPr>
            <w:tcW w:type="dxa" w:w="2880"/>
          </w:tcPr>
          <w:p>
            <w:pPr/>
            <w:r>
              <w:rPr>
                <w:sz w:val="18"/>
              </w:rPr>
              <w:t>E-mini S&amp;P 500 (ES)</w:t>
            </w:r>
          </w:p>
        </w:tc>
        <w:tc>
          <w:tcPr>
            <w:tcW w:type="dxa" w:w="2880"/>
          </w:tcPr>
          <w:p>
            <w:pPr/>
            <w:r>
              <w:rPr>
                <w:sz w:val="18"/>
              </w:rPr>
              <w:t>0.25 index points</w:t>
            </w:r>
          </w:p>
        </w:tc>
        <w:tc>
          <w:tcPr>
            <w:tcW w:type="dxa" w:w="2880"/>
          </w:tcPr>
          <w:p>
            <w:pPr/>
            <w:r>
              <w:rPr>
                <w:sz w:val="18"/>
              </w:rPr>
              <w:t>$12.50</w:t>
            </w:r>
          </w:p>
        </w:tc>
      </w:tr>
      <w:tr>
        <w:tc>
          <w:tcPr>
            <w:tcW w:type="dxa" w:w="2880"/>
          </w:tcPr>
          <w:p>
            <w:pPr/>
            <w:r>
              <w:rPr>
                <w:sz w:val="18"/>
              </w:rPr>
              <w:t>Micro E-mini S&amp;P 500 (MES)</w:t>
            </w:r>
          </w:p>
        </w:tc>
        <w:tc>
          <w:tcPr>
            <w:tcW w:type="dxa" w:w="2880"/>
          </w:tcPr>
          <w:p>
            <w:pPr/>
            <w:r>
              <w:rPr>
                <w:sz w:val="18"/>
              </w:rPr>
              <w:t>0.25 index points</w:t>
            </w:r>
          </w:p>
        </w:tc>
        <w:tc>
          <w:tcPr>
            <w:tcW w:type="dxa" w:w="2880"/>
          </w:tcPr>
          <w:p>
            <w:pPr/>
            <w:r>
              <w:rPr>
                <w:sz w:val="18"/>
              </w:rPr>
              <w:t>$1.25</w:t>
            </w:r>
          </w:p>
        </w:tc>
      </w:tr>
      <w:tr>
        <w:tc>
          <w:tcPr>
            <w:tcW w:type="dxa" w:w="2880"/>
          </w:tcPr>
          <w:p>
            <w:pPr/>
            <w:r>
              <w:rPr>
                <w:sz w:val="18"/>
              </w:rPr>
              <w:t>10-Year T-Note (ZN)</w:t>
            </w:r>
          </w:p>
        </w:tc>
        <w:tc>
          <w:tcPr>
            <w:tcW w:type="dxa" w:w="2880"/>
          </w:tcPr>
          <w:p>
            <w:pPr/>
            <w:r>
              <w:rPr>
                <w:sz w:val="18"/>
              </w:rPr>
              <w:t>1/2 of 1/32 of a point</w:t>
            </w:r>
          </w:p>
        </w:tc>
        <w:tc>
          <w:tcPr>
            <w:tcW w:type="dxa" w:w="2880"/>
          </w:tcPr>
          <w:p>
            <w:pPr/>
            <w:r>
              <w:rPr>
                <w:sz w:val="18"/>
              </w:rPr>
              <w:t>$15.625</w:t>
            </w:r>
          </w:p>
        </w:tc>
      </w:tr>
      <w:tr>
        <w:tc>
          <w:tcPr>
            <w:tcW w:type="dxa" w:w="2880"/>
          </w:tcPr>
          <w:p>
            <w:pPr/>
            <w:r>
              <w:rPr>
                <w:sz w:val="18"/>
              </w:rPr>
              <w:t>3-Month SOFR (SR3)</w:t>
            </w:r>
          </w:p>
        </w:tc>
        <w:tc>
          <w:tcPr>
            <w:tcW w:type="dxa" w:w="2880"/>
          </w:tcPr>
          <w:p>
            <w:pPr/>
            <w:r>
              <w:rPr>
                <w:sz w:val="18"/>
              </w:rPr>
              <w:t>0.005 (1/2 bp); 0.0025 (1/4 bp) in delivery month</w:t>
            </w:r>
          </w:p>
        </w:tc>
        <w:tc>
          <w:tcPr>
            <w:tcW w:type="dxa" w:w="2880"/>
          </w:tcPr>
          <w:p>
            <w:pPr/>
            <w:r>
              <w:rPr>
                <w:sz w:val="18"/>
              </w:rPr>
              <w:t>$12.50 / $6.25</w:t>
            </w:r>
          </w:p>
        </w:tc>
      </w:tr>
      <w:tr>
        <w:tc>
          <w:tcPr>
            <w:tcW w:type="dxa" w:w="2880"/>
          </w:tcPr>
          <w:p>
            <w:pPr/>
            <w:r>
              <w:rPr>
                <w:sz w:val="18"/>
              </w:rPr>
              <w:t>WTI Crude Oil (CL)</w:t>
            </w:r>
          </w:p>
        </w:tc>
        <w:tc>
          <w:tcPr>
            <w:tcW w:type="dxa" w:w="2880"/>
          </w:tcPr>
          <w:p>
            <w:pPr/>
            <w:r>
              <w:rPr>
                <w:sz w:val="18"/>
              </w:rPr>
              <w:t>$0.01/barrel</w:t>
            </w:r>
          </w:p>
        </w:tc>
        <w:tc>
          <w:tcPr>
            <w:tcW w:type="dxa" w:w="2880"/>
          </w:tcPr>
          <w:p>
            <w:pPr/>
            <w:r>
              <w:rPr>
                <w:sz w:val="18"/>
              </w:rPr>
              <w:t>$10.00</w:t>
            </w:r>
          </w:p>
        </w:tc>
      </w:tr>
      <w:tr>
        <w:tc>
          <w:tcPr>
            <w:tcW w:type="dxa" w:w="2880"/>
          </w:tcPr>
          <w:p>
            <w:pPr/>
            <w:r>
              <w:rPr>
                <w:sz w:val="18"/>
              </w:rPr>
              <w:t>Gold (GC)</w:t>
            </w:r>
          </w:p>
        </w:tc>
        <w:tc>
          <w:tcPr>
            <w:tcW w:type="dxa" w:w="2880"/>
          </w:tcPr>
          <w:p>
            <w:pPr/>
            <w:r>
              <w:rPr>
                <w:sz w:val="18"/>
              </w:rPr>
              <w:t>$0.10/troy oz</w:t>
            </w:r>
          </w:p>
        </w:tc>
        <w:tc>
          <w:tcPr>
            <w:tcW w:type="dxa" w:w="2880"/>
          </w:tcPr>
          <w:p>
            <w:pPr/>
            <w:r>
              <w:rPr>
                <w:sz w:val="18"/>
              </w:rPr>
              <w:t>$10.00</w:t>
            </w:r>
          </w:p>
        </w:tc>
      </w:tr>
      <w:tr>
        <w:tc>
          <w:tcPr>
            <w:tcW w:type="dxa" w:w="2880"/>
          </w:tcPr>
          <w:p>
            <w:pPr/>
            <w:r>
              <w:rPr>
                <w:sz w:val="18"/>
              </w:rPr>
              <w:t>Corn (ZC)</w:t>
            </w:r>
          </w:p>
        </w:tc>
        <w:tc>
          <w:tcPr>
            <w:tcW w:type="dxa" w:w="2880"/>
          </w:tcPr>
          <w:p>
            <w:pPr/>
            <w:r>
              <w:rPr>
                <w:sz w:val="18"/>
              </w:rPr>
              <w:t>1/4 cent/bushel</w:t>
            </w:r>
          </w:p>
        </w:tc>
        <w:tc>
          <w:tcPr>
            <w:tcW w:type="dxa" w:w="2880"/>
          </w:tcPr>
          <w:p>
            <w:pPr/>
            <w:r>
              <w:rPr>
                <w:sz w:val="18"/>
              </w:rPr>
              <w:t>$12.50</w:t>
            </w:r>
          </w:p>
        </w:tc>
      </w:tr>
      <w:tr>
        <w:tc>
          <w:tcPr>
            <w:tcW w:type="dxa" w:w="2880"/>
          </w:tcPr>
          <w:p>
            <w:pPr/>
            <w:r>
              <w:rPr>
                <w:sz w:val="18"/>
              </w:rPr>
              <w:t>EUR/USD (6E)</w:t>
            </w:r>
          </w:p>
        </w:tc>
        <w:tc>
          <w:tcPr>
            <w:tcW w:type="dxa" w:w="2880"/>
          </w:tcPr>
          <w:p>
            <w:pPr/>
            <w:r>
              <w:rPr>
                <w:sz w:val="18"/>
              </w:rPr>
              <w:t>$0.00005/EUR</w:t>
            </w:r>
          </w:p>
        </w:tc>
        <w:tc>
          <w:tcPr>
            <w:tcW w:type="dxa" w:w="2880"/>
          </w:tcPr>
          <w:p>
            <w:pPr/>
            <w:r>
              <w:rPr>
                <w:sz w:val="18"/>
              </w:rPr>
              <w:t>$6.25</w:t>
            </w:r>
          </w:p>
        </w:tc>
      </w:tr>
    </w:tbl>
    <w:p/>
    <w:p>
      <w:pPr>
        <w:pStyle w:val="Heading3"/>
      </w:pPr>
      <w:r>
        <w:t>2.4 Lot Sizes / Contract Units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Contract Unit</w:t>
            </w:r>
          </w:p>
        </w:tc>
      </w:tr>
      <w:tr>
        <w:tc>
          <w:tcPr>
            <w:tcW w:type="dxa" w:w="4320"/>
          </w:tcPr>
          <w:p>
            <w:pPr/>
            <w:r>
              <w:rPr>
                <w:sz w:val="18"/>
              </w:rPr>
              <w:t>E-mini S&amp;P 500</w:t>
            </w:r>
          </w:p>
        </w:tc>
        <w:tc>
          <w:tcPr>
            <w:tcW w:type="dxa" w:w="4320"/>
          </w:tcPr>
          <w:p>
            <w:pPr/>
            <w:r>
              <w:rPr>
                <w:sz w:val="18"/>
              </w:rPr>
              <w:t>$50 x S&amp;P 500 Index</w:t>
            </w:r>
          </w:p>
        </w:tc>
      </w:tr>
      <w:tr>
        <w:tc>
          <w:tcPr>
            <w:tcW w:type="dxa" w:w="4320"/>
          </w:tcPr>
          <w:p>
            <w:pPr/>
            <w:r>
              <w:rPr>
                <w:sz w:val="18"/>
              </w:rPr>
              <w:t>Micro E-mini S&amp;P 500</w:t>
            </w:r>
          </w:p>
        </w:tc>
        <w:tc>
          <w:tcPr>
            <w:tcW w:type="dxa" w:w="4320"/>
          </w:tcPr>
          <w:p>
            <w:pPr/>
            <w:r>
              <w:rPr>
                <w:sz w:val="18"/>
              </w:rPr>
              <w:t>$5 x S&amp;P 500 Index</w:t>
            </w:r>
          </w:p>
        </w:tc>
      </w:tr>
      <w:tr>
        <w:tc>
          <w:tcPr>
            <w:tcW w:type="dxa" w:w="4320"/>
          </w:tcPr>
          <w:p>
            <w:pPr/>
            <w:r>
              <w:rPr>
                <w:sz w:val="18"/>
              </w:rPr>
              <w:t>10-Year T-Note</w:t>
            </w:r>
          </w:p>
        </w:tc>
        <w:tc>
          <w:tcPr>
            <w:tcW w:type="dxa" w:w="4320"/>
          </w:tcPr>
          <w:p>
            <w:pPr/>
            <w:r>
              <w:rPr>
                <w:sz w:val="18"/>
              </w:rPr>
              <w:t>$100,000 face value</w:t>
            </w:r>
          </w:p>
        </w:tc>
      </w:tr>
      <w:tr>
        <w:tc>
          <w:tcPr>
            <w:tcW w:type="dxa" w:w="4320"/>
          </w:tcPr>
          <w:p>
            <w:pPr/>
            <w:r>
              <w:rPr>
                <w:sz w:val="18"/>
              </w:rPr>
              <w:t>3-Month SOFR</w:t>
            </w:r>
          </w:p>
        </w:tc>
        <w:tc>
          <w:tcPr>
            <w:tcW w:type="dxa" w:w="4320"/>
          </w:tcPr>
          <w:p>
            <w:pPr/>
            <w:r>
              <w:rPr>
                <w:sz w:val="18"/>
              </w:rPr>
              <w:t>$2,500 x 100 – rate (notional $1,000,000)</w:t>
            </w:r>
          </w:p>
        </w:tc>
      </w:tr>
      <w:tr>
        <w:tc>
          <w:tcPr>
            <w:tcW w:type="dxa" w:w="4320"/>
          </w:tcPr>
          <w:p>
            <w:pPr/>
            <w:r>
              <w:rPr>
                <w:sz w:val="18"/>
              </w:rPr>
              <w:t>WTI Crude Oil</w:t>
            </w:r>
          </w:p>
        </w:tc>
        <w:tc>
          <w:tcPr>
            <w:tcW w:type="dxa" w:w="4320"/>
          </w:tcPr>
          <w:p>
            <w:pPr/>
            <w:r>
              <w:rPr>
                <w:sz w:val="18"/>
              </w:rPr>
              <w:t>1,000 barrels</w:t>
            </w:r>
          </w:p>
        </w:tc>
      </w:tr>
      <w:tr>
        <w:tc>
          <w:tcPr>
            <w:tcW w:type="dxa" w:w="4320"/>
          </w:tcPr>
          <w:p>
            <w:pPr/>
            <w:r>
              <w:rPr>
                <w:sz w:val="18"/>
              </w:rPr>
              <w:t>Gold</w:t>
            </w:r>
          </w:p>
        </w:tc>
        <w:tc>
          <w:tcPr>
            <w:tcW w:type="dxa" w:w="4320"/>
          </w:tcPr>
          <w:p>
            <w:pPr/>
            <w:r>
              <w:rPr>
                <w:sz w:val="18"/>
              </w:rPr>
              <w:t>100 troy ounces</w:t>
            </w:r>
          </w:p>
        </w:tc>
      </w:tr>
      <w:tr>
        <w:tc>
          <w:tcPr>
            <w:tcW w:type="dxa" w:w="4320"/>
          </w:tcPr>
          <w:p>
            <w:pPr/>
            <w:r>
              <w:rPr>
                <w:sz w:val="18"/>
              </w:rPr>
              <w:t>Corn</w:t>
            </w:r>
          </w:p>
        </w:tc>
        <w:tc>
          <w:tcPr>
            <w:tcW w:type="dxa" w:w="4320"/>
          </w:tcPr>
          <w:p>
            <w:pPr/>
            <w:r>
              <w:rPr>
                <w:sz w:val="18"/>
              </w:rPr>
              <w:t>5,000 bushels</w:t>
            </w:r>
          </w:p>
        </w:tc>
      </w:tr>
      <w:tr>
        <w:tc>
          <w:tcPr>
            <w:tcW w:type="dxa" w:w="4320"/>
          </w:tcPr>
          <w:p>
            <w:pPr/>
            <w:r>
              <w:rPr>
                <w:sz w:val="18"/>
              </w:rPr>
              <w:t>EUR/USD</w:t>
            </w:r>
          </w:p>
        </w:tc>
        <w:tc>
          <w:tcPr>
            <w:tcW w:type="dxa" w:w="4320"/>
          </w:tcPr>
          <w:p>
            <w:pPr/>
            <w:r>
              <w:rPr>
                <w:sz w:val="18"/>
              </w:rPr>
              <w:t>125,000 EUR</w:t>
            </w:r>
          </w:p>
        </w:tc>
      </w:tr>
    </w:tbl>
    <w:p/>
    <w:p>
      <w:pPr>
        <w:pStyle w:val="Heading3"/>
      </w:pPr>
      <w:r>
        <w:t>2.5 Market Maker / Liquidity Provider Programs</w:t>
      </w:r>
    </w:p>
    <w:p>
      <w:r>
        <w:t>CME Group maintains market maker programs across multiple product groups:</w:t>
      </w:r>
    </w:p>
    <w:p>
      <w:r>
        <w:t>Program Types:</w:t>
      </w:r>
    </w:p>
    <w:p>
      <w:pPr>
        <w:pStyle w:val="ListBullet"/>
      </w:pPr>
      <w:r>
        <w:t>Lead Market Makers (LMMs): Required to provide continuous two-sided indicative quotes for outright contracts and selected spread combinations; obligated to respond to electronic Requests for Quote (eRFQs) within specified bid-ask, quantity, and response-time parameters</w:t>
      </w:r>
    </w:p>
    <w:p>
      <w:pPr>
        <w:pStyle w:val="ListBullet"/>
      </w:pPr>
      <w:r>
        <w:t>Responding Market Makers: Obligated to respond to eRFQs within specified parameters</w:t>
      </w:r>
    </w:p>
    <w:p>
      <w:pPr>
        <w:pStyle w:val="ListBullet"/>
      </w:pPr>
      <w:r>
        <w:t>Competitive Market Makers: Additional quoting participants with reduced obligations</w:t>
      </w:r>
    </w:p>
    <w:p>
      <w:r>
        <w:t>Incentive Structure:</w:t>
      </w:r>
    </w:p>
    <w:p>
      <w:pPr>
        <w:pStyle w:val="ListBullet"/>
      </w:pPr>
      <w:r>
        <w:t>Fee reductions and volume-based discounts for qualifying market makers</w:t>
      </w:r>
    </w:p>
    <w:p>
      <w:pPr>
        <w:pStyle w:val="ListBullet"/>
      </w:pPr>
      <w:r>
        <w:t>Specific programs for SOFR futures (up to 30 designated participants), equity options, FX options, and agricultural options</w:t>
      </w:r>
    </w:p>
    <w:p>
      <w:pPr>
        <w:pStyle w:val="ListBullet"/>
      </w:pPr>
      <w:r>
        <w:t>Quoting obligations must be met for 60% of the applicable trading session each month to receive incentives</w:t>
      </w:r>
    </w:p>
    <w:p>
      <w:pPr>
        <w:pStyle w:val="ListBullet"/>
      </w:pPr>
      <w:r>
        <w:t>Legacy programs (e.g., Eurodollar successors) with grandfathered fee credits</w:t>
      </w:r>
    </w:p>
    <w:p>
      <w:r>
        <w:t>Active Programs: Interest rate futures/options, E-mini equity options, FX options, RFQ and block trading, agricultural options, metals options, cryptocurrency derivatives</w:t>
      </w:r>
    </w:p>
    <w:p>
      <w:r>
        <w:t>[Source: CME Group, "Liquidity Provider Directories"; CME Group, "Market Maker Directories"]</w:t>
      </w:r>
    </w:p>
    <w:p>
      <w:r>
        <w:t>────────────────────────────────────────────────────────────</w:t>
      </w:r>
    </w:p>
    <w:p>
      <w:pPr>
        <w:pStyle w:val="Heading2"/>
      </w:pPr>
      <w:r>
        <w:t>3. Trading Mechanism</w:t>
      </w:r>
    </w:p>
    <w:p>
      <w:pPr>
        <w:pStyle w:val="Heading3"/>
      </w:pPr>
      <w:r>
        <w:t>3.1 Auction Types</w:t>
      </w:r>
    </w:p>
    <w:p>
      <w:r>
        <w:t>Opening Auction:</w:t>
      </w:r>
    </w:p>
    <w:p>
      <w:pPr>
        <w:pStyle w:val="ListBullet"/>
      </w:pPr>
      <w:r>
        <w:t>Pre-open period allows order entry and cancellation but no matching</w:t>
      </w:r>
    </w:p>
    <w:p>
      <w:pPr>
        <w:pStyle w:val="ListBullet"/>
      </w:pPr>
      <w:r>
        <w:t>At market open (5:00 PM CT Sunday), accumulated orders are matched using an opening price determination algorithm</w:t>
      </w:r>
    </w:p>
    <w:p>
      <w:pPr>
        <w:pStyle w:val="ListBullet"/>
      </w:pPr>
      <w:r>
        <w:t>The Globex system calculates a single opening price that maximizes matched volume</w:t>
      </w:r>
    </w:p>
    <w:p>
      <w:r>
        <w:t>Closing / Settlement:</w:t>
      </w:r>
    </w:p>
    <w:p>
      <w:pPr>
        <w:pStyle w:val="ListBullet"/>
      </w:pPr>
      <w:r>
        <w:t>Daily settlement prices are determined during defined settlement windows (e.g., 3:14:00–3:15:00 CT for equity indexes, 13:14:00–13:15:00 CT for agriculture)</w:t>
      </w:r>
    </w:p>
    <w:p>
      <w:pPr>
        <w:pStyle w:val="ListBullet"/>
      </w:pPr>
      <w:r>
        <w:t>Settlement committee procedures may be used for illiquid or disrupted markets</w:t>
      </w:r>
    </w:p>
    <w:p>
      <w:pPr>
        <w:pStyle w:val="Heading3"/>
      </w:pPr>
      <w:r>
        <w:t>3.2 Continuous Trading</w:t>
      </w:r>
    </w:p>
    <w:p>
      <w:pPr>
        <w:pStyle w:val="ListBullet"/>
      </w:pPr>
      <w:r>
        <w:t>Primary trading mechanism: continuous electronic matching on CME Globex</w:t>
      </w:r>
    </w:p>
    <w:p>
      <w:pPr>
        <w:pStyle w:val="ListBullet"/>
      </w:pPr>
      <w:r>
        <w:t>Orders are matched in real-time according to price priority and the applicable matching algorithm</w:t>
      </w:r>
    </w:p>
    <w:p>
      <w:pPr>
        <w:pStyle w:val="ListBullet"/>
      </w:pPr>
      <w:r>
        <w:t>Supports outright orders, spreads (calendar, inter-commodity, butterfly, condor), and implied trading</w:t>
      </w:r>
    </w:p>
    <w:p>
      <w:pPr>
        <w:pStyle w:val="Heading3"/>
      </w:pPr>
      <w:r>
        <w:t>3.3 Price Discovery</w:t>
      </w:r>
    </w:p>
    <w:p>
      <w:pPr>
        <w:pStyle w:val="ListBullet"/>
      </w:pPr>
      <w:r>
        <w:t>Implied Pricing: CME Globex generates implied orders from combinations of outright and spread orders, enhancing liquidity and tightening bid-ask spreads across related contracts</w:t>
      </w:r>
    </w:p>
    <w:p>
      <w:pPr>
        <w:pStyle w:val="ListBullet"/>
      </w:pPr>
      <w:r>
        <w:t>Implied In: Prices implied from component orders into a spread</w:t>
      </w:r>
    </w:p>
    <w:p>
      <w:pPr>
        <w:pStyle w:val="ListBullet"/>
      </w:pPr>
      <w:r>
        <w:t>Implied Out: Prices implied from a spread and one leg into the other leg</w:t>
      </w:r>
    </w:p>
    <w:p>
      <w:pPr>
        <w:pStyle w:val="Heading3"/>
      </w:pPr>
      <w:r>
        <w:t>3.4 Order Priority Rules / Matching Algorithms</w:t>
      </w:r>
    </w:p>
    <w:p>
      <w:r>
        <w:t>CME Globex supports multiple matching algorithms, assigned per product: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Algorithm</w:t>
            </w:r>
          </w:p>
        </w:tc>
        <w:tc>
          <w:tcPr>
            <w:tcW w:type="dxa" w:w="2880"/>
          </w:tcPr>
          <w:p>
            <w:pPr/>
            <w:r>
              <w:rPr>
                <w:b/>
                <w:sz w:val="18"/>
              </w:rPr>
              <w:t>Description</w:t>
            </w:r>
          </w:p>
        </w:tc>
        <w:tc>
          <w:tcPr>
            <w:tcW w:type="dxa" w:w="2880"/>
          </w:tcPr>
          <w:p>
            <w:pPr/>
            <w:r>
              <w:rPr>
                <w:b/>
                <w:sz w:val="18"/>
              </w:rPr>
              <w:t>Example Products</w:t>
            </w:r>
          </w:p>
        </w:tc>
      </w:tr>
      <w:tr>
        <w:tc>
          <w:tcPr>
            <w:tcW w:type="dxa" w:w="2880"/>
          </w:tcPr>
          <w:p>
            <w:pPr/>
            <w:r>
              <w:rPr>
                <w:sz w:val="18"/>
              </w:rPr>
              <w:t>**FIFO (Price-Time)**</w:t>
            </w:r>
          </w:p>
        </w:tc>
        <w:tc>
          <w:tcPr>
            <w:tcW w:type="dxa" w:w="2880"/>
          </w:tcPr>
          <w:p>
            <w:pPr/>
            <w:r>
              <w:rPr>
                <w:sz w:val="18"/>
              </w:rPr>
              <w:t>Strict price and time priority; earliest order at best price filled first. Default algorithm.</w:t>
            </w:r>
          </w:p>
        </w:tc>
        <w:tc>
          <w:tcPr>
            <w:tcW w:type="dxa" w:w="2880"/>
          </w:tcPr>
          <w:p>
            <w:pPr/>
            <w:r>
              <w:rPr>
                <w:sz w:val="18"/>
              </w:rPr>
              <w:t>E-mini S&amp;P 500 futures, crude oil futures, Brent Oil</w:t>
            </w:r>
          </w:p>
        </w:tc>
      </w:tr>
      <w:tr>
        <w:tc>
          <w:tcPr>
            <w:tcW w:type="dxa" w:w="2880"/>
          </w:tcPr>
          <w:p>
            <w:pPr/>
            <w:r>
              <w:rPr>
                <w:sz w:val="18"/>
              </w:rPr>
              <w:t>**Pro-Rata**</w:t>
            </w:r>
          </w:p>
        </w:tc>
        <w:tc>
          <w:tcPr>
            <w:tcW w:type="dxa" w:w="2880"/>
          </w:tcPr>
          <w:p>
            <w:pPr/>
            <w:r>
              <w:rPr>
                <w:sz w:val="18"/>
              </w:rPr>
              <w:t>At each price level, incoming quantity is allocated proportionally to resting order sizes. Minimum allocation thresholds apply.</w:t>
            </w:r>
          </w:p>
        </w:tc>
        <w:tc>
          <w:tcPr>
            <w:tcW w:type="dxa" w:w="2880"/>
          </w:tcPr>
          <w:p>
            <w:pPr/>
            <w:r>
              <w:rPr>
                <w:sz w:val="18"/>
              </w:rPr>
              <w:t>Certain FX futures (EUR/USD, NZD/USD), Eurodollar successors</w:t>
            </w:r>
          </w:p>
        </w:tc>
      </w:tr>
      <w:tr>
        <w:tc>
          <w:tcPr>
            <w:tcW w:type="dxa" w:w="2880"/>
          </w:tcPr>
          <w:p>
            <w:pPr/>
            <w:r>
              <w:rPr>
                <w:sz w:val="18"/>
              </w:rPr>
              <w:t>**Split FIFO/Pro-Rata**</w:t>
            </w:r>
          </w:p>
        </w:tc>
        <w:tc>
          <w:tcPr>
            <w:tcW w:type="dxa" w:w="2880"/>
          </w:tcPr>
          <w:p>
            <w:pPr/>
            <w:r>
              <w:rPr>
                <w:sz w:val="18"/>
              </w:rPr>
              <w:t>Configurable split (e.g., 40% FIFO / 60% Pro-Rata). Combines time priority and size incentives.</w:t>
            </w:r>
          </w:p>
        </w:tc>
        <w:tc>
          <w:tcPr>
            <w:tcW w:type="dxa" w:w="2880"/>
          </w:tcPr>
          <w:p>
            <w:pPr/>
            <w:r>
              <w:rPr>
                <w:sz w:val="18"/>
              </w:rPr>
              <w:t>Grain &amp; oilseed futures and spreads (40/60 split), livestock spreads</w:t>
            </w:r>
          </w:p>
        </w:tc>
      </w:tr>
      <w:tr>
        <w:tc>
          <w:tcPr>
            <w:tcW w:type="dxa" w:w="2880"/>
          </w:tcPr>
          <w:p>
            <w:pPr/>
            <w:r>
              <w:rPr>
                <w:sz w:val="18"/>
              </w:rPr>
              <w:t>**Threshold Pro-Rata**</w:t>
            </w:r>
          </w:p>
        </w:tc>
        <w:tc>
          <w:tcPr>
            <w:tcW w:type="dxa" w:w="2880"/>
          </w:tcPr>
          <w:p>
            <w:pPr/>
            <w:r>
              <w:rPr>
                <w:sz w:val="18"/>
              </w:rPr>
              <w:t>Pro-rata allocation only above a quantity threshold; below threshold, FIFO applies</w:t>
            </w:r>
          </w:p>
        </w:tc>
        <w:tc>
          <w:tcPr>
            <w:tcW w:type="dxa" w:w="2880"/>
          </w:tcPr>
          <w:p>
            <w:pPr/>
            <w:r>
              <w:rPr>
                <w:sz w:val="18"/>
              </w:rPr>
              <w:t>Selected interest rate products</w:t>
            </w:r>
          </w:p>
        </w:tc>
      </w:tr>
      <w:tr>
        <w:tc>
          <w:tcPr>
            <w:tcW w:type="dxa" w:w="2880"/>
          </w:tcPr>
          <w:p>
            <w:pPr/>
            <w:r>
              <w:rPr>
                <w:sz w:val="18"/>
              </w:rPr>
              <w:t>**FIFO with LMM**</w:t>
            </w:r>
          </w:p>
        </w:tc>
        <w:tc>
          <w:tcPr>
            <w:tcW w:type="dxa" w:w="2880"/>
          </w:tcPr>
          <w:p>
            <w:pPr/>
            <w:r>
              <w:rPr>
                <w:sz w:val="18"/>
              </w:rPr>
              <w:t>LMM receives a configurable percentage of the aggressor order first; remainder allocated FIFO</w:t>
            </w:r>
          </w:p>
        </w:tc>
        <w:tc>
          <w:tcPr>
            <w:tcW w:type="dxa" w:w="2880"/>
          </w:tcPr>
          <w:p>
            <w:pPr/>
            <w:r>
              <w:rPr>
                <w:sz w:val="18"/>
              </w:rPr>
              <w:t>Select options markets</w:t>
            </w:r>
          </w:p>
        </w:tc>
      </w:tr>
      <w:tr>
        <w:tc>
          <w:tcPr>
            <w:tcW w:type="dxa" w:w="2880"/>
          </w:tcPr>
          <w:p>
            <w:pPr/>
            <w:r>
              <w:rPr>
                <w:sz w:val="18"/>
              </w:rPr>
              <w:t>**Configurable**</w:t>
            </w:r>
          </w:p>
        </w:tc>
        <w:tc>
          <w:tcPr>
            <w:tcW w:type="dxa" w:w="2880"/>
          </w:tcPr>
          <w:p>
            <w:pPr/>
            <w:r>
              <w:rPr>
                <w:sz w:val="18"/>
              </w:rPr>
              <w:t>Exchange can tune parameters: FIFO %, Pro-Rata %, LMM %, top-order priority</w:t>
            </w:r>
          </w:p>
        </w:tc>
        <w:tc>
          <w:tcPr>
            <w:tcW w:type="dxa" w:w="2880"/>
          </w:tcPr>
          <w:p>
            <w:pPr/>
            <w:r>
              <w:rPr>
                <w:sz w:val="18"/>
              </w:rPr>
              <w:t>Various — parameters differ by product</w:t>
            </w:r>
          </w:p>
        </w:tc>
      </w:tr>
    </w:tbl>
    <w:p/>
    <w:p>
      <w:r>
        <w:t>Key Rules:</w:t>
      </w:r>
    </w:p>
    <w:p>
      <w:pPr>
        <w:pStyle w:val="ListBullet"/>
      </w:pPr>
      <w:r>
        <w:t>Price priority is absolute — better-priced orders always fill first</w:t>
      </w:r>
    </w:p>
    <w:p>
      <w:pPr>
        <w:pStyle w:val="ListBullet"/>
      </w:pPr>
      <w:r>
        <w:t>Within the same price, the selected algorithm (FIFO, Pro-Rata, or hybrid) determines allocation</w:t>
      </w:r>
    </w:p>
    <w:p>
      <w:pPr>
        <w:pStyle w:val="ListBullet"/>
      </w:pPr>
      <w:r>
        <w:t>Minimum allocation sizes prevent excessively small fills</w:t>
      </w:r>
    </w:p>
    <w:p>
      <w:pPr>
        <w:pStyle w:val="ListBullet"/>
      </w:pPr>
      <w:r>
        <w:t>Lead Market Makers may receive priority allocation in options markets</w:t>
      </w:r>
    </w:p>
    <w:p>
      <w:r>
        <w:t>[Source: CME Group, "Matching Algorithm Overview"; Databento, "CME matching algorithms explained"]</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w:t>
            </w:r>
          </w:p>
        </w:tc>
        <w:tc>
          <w:tcPr>
            <w:tcW w:type="dxa" w:w="4320"/>
          </w:tcPr>
          <w:p>
            <w:pPr/>
            <w:r>
              <w:rPr>
                <w:sz w:val="18"/>
              </w:rPr>
              <w:t>Buy/sell at a specified price or better; unfilled quantity rests on the book</w:t>
            </w:r>
          </w:p>
        </w:tc>
      </w:tr>
      <w:tr>
        <w:tc>
          <w:tcPr>
            <w:tcW w:type="dxa" w:w="4320"/>
          </w:tcPr>
          <w:p>
            <w:pPr/>
            <w:r>
              <w:rPr>
                <w:sz w:val="18"/>
              </w:rPr>
              <w:t>**Market with Protection**</w:t>
            </w:r>
          </w:p>
        </w:tc>
        <w:tc>
          <w:tcPr>
            <w:tcW w:type="dxa" w:w="4320"/>
          </w:tcPr>
          <w:p>
            <w:pPr/>
            <w:r>
              <w:rPr>
                <w:sz w:val="18"/>
              </w:rPr>
              <w:t>Executes immediately within a pre-defined "protected range" from the current best price; prevents extreme fills. Replaces traditional market orders on Globex.</w:t>
            </w:r>
          </w:p>
        </w:tc>
      </w:tr>
      <w:tr>
        <w:tc>
          <w:tcPr>
            <w:tcW w:type="dxa" w:w="4320"/>
          </w:tcPr>
          <w:p>
            <w:pPr/>
            <w:r>
              <w:rPr>
                <w:sz w:val="18"/>
              </w:rPr>
              <w:t>**Market-Limit**</w:t>
            </w:r>
          </w:p>
        </w:tc>
        <w:tc>
          <w:tcPr>
            <w:tcW w:type="dxa" w:w="4320"/>
          </w:tcPr>
          <w:p>
            <w:pPr/>
            <w:r>
              <w:rPr>
                <w:sz w:val="18"/>
              </w:rPr>
              <w:t>Executes at the best available price; any unfilled quantity converts to a limit order at the execution price</w:t>
            </w:r>
          </w:p>
        </w:tc>
      </w:tr>
      <w:tr>
        <w:tc>
          <w:tcPr>
            <w:tcW w:type="dxa" w:w="4320"/>
          </w:tcPr>
          <w:p>
            <w:pPr/>
            <w:r>
              <w:rPr>
                <w:sz w:val="18"/>
              </w:rPr>
              <w:t>**Stop with Protection**</w:t>
            </w:r>
          </w:p>
        </w:tc>
        <w:tc>
          <w:tcPr>
            <w:tcW w:type="dxa" w:w="4320"/>
          </w:tcPr>
          <w:p>
            <w:pPr/>
            <w:r>
              <w:rPr>
                <w:sz w:val="18"/>
              </w:rPr>
              <w:t>Triggered when the stop price trades; once triggered, becomes a market-with-protection order within the protected range</w:t>
            </w:r>
          </w:p>
        </w:tc>
      </w:tr>
      <w:tr>
        <w:tc>
          <w:tcPr>
            <w:tcW w:type="dxa" w:w="4320"/>
          </w:tcPr>
          <w:p>
            <w:pPr/>
            <w:r>
              <w:rPr>
                <w:sz w:val="18"/>
              </w:rPr>
              <w:t>**Stop-Limit**</w:t>
            </w:r>
          </w:p>
        </w:tc>
        <w:tc>
          <w:tcPr>
            <w:tcW w:type="dxa" w:w="4320"/>
          </w:tcPr>
          <w:p>
            <w:pPr/>
            <w:r>
              <w:rPr>
                <w:sz w:val="18"/>
              </w:rPr>
              <w:t>Triggered when the stop price trades; once triggered, becomes a limit order at the specified limit price</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**Spread Orders**</w:t>
            </w:r>
          </w:p>
        </w:tc>
        <w:tc>
          <w:tcPr>
            <w:tcW w:type="dxa" w:w="4320"/>
          </w:tcPr>
          <w:p>
            <w:pPr/>
            <w:r>
              <w:rPr>
                <w:sz w:val="18"/>
              </w:rPr>
              <w:t>Submit orders for defined spread strategies (calendar, inter-commodity, butterfly, condor, crack, crush, etc.)</w:t>
            </w:r>
          </w:p>
        </w:tc>
      </w:tr>
      <w:tr>
        <w:tc>
          <w:tcPr>
            <w:tcW w:type="dxa" w:w="4320"/>
          </w:tcPr>
          <w:p>
            <w:pPr/>
            <w:r>
              <w:rPr>
                <w:sz w:val="18"/>
              </w:rPr>
              <w:t>**One Cancels Other (OCO)**</w:t>
            </w:r>
          </w:p>
        </w:tc>
        <w:tc>
          <w:tcPr>
            <w:tcW w:type="dxa" w:w="4320"/>
          </w:tcPr>
          <w:p>
            <w:pPr/>
            <w:r>
              <w:rPr>
                <w:sz w:val="18"/>
              </w:rPr>
              <w:t>Two orders linked; execution of one cancels the other (ISV-managed, not native Globex)</w:t>
            </w:r>
          </w:p>
        </w:tc>
      </w:tr>
      <w:tr>
        <w:tc>
          <w:tcPr>
            <w:tcW w:type="dxa" w:w="4320"/>
          </w:tcPr>
          <w:p>
            <w:pPr/>
            <w:r>
              <w:rPr>
                <w:sz w:val="18"/>
              </w:rPr>
              <w:t>**Bracket Orders**</w:t>
            </w:r>
          </w:p>
        </w:tc>
        <w:tc>
          <w:tcPr>
            <w:tcW w:type="dxa" w:w="4320"/>
          </w:tcPr>
          <w:p>
            <w:pPr/>
            <w:r>
              <w:rPr>
                <w:sz w:val="18"/>
              </w:rPr>
              <w:t>Profit target + stop loss enclosing a position (ISV-managed)</w:t>
            </w:r>
          </w:p>
        </w:tc>
      </w:tr>
      <w:tr>
        <w:tc>
          <w:tcPr>
            <w:tcW w:type="dxa" w:w="4320"/>
          </w:tcPr>
          <w:p>
            <w:pPr/>
            <w:r>
              <w:rPr>
                <w:sz w:val="18"/>
              </w:rPr>
              <w:t>**Trailing Stop**</w:t>
            </w:r>
          </w:p>
        </w:tc>
        <w:tc>
          <w:tcPr>
            <w:tcW w:type="dxa" w:w="4320"/>
          </w:tcPr>
          <w:p>
            <w:pPr/>
            <w:r>
              <w:rPr>
                <w:sz w:val="18"/>
              </w:rPr>
              <w:t>Stop price adjusts automatically as the market moves favorably (ISV-managed)</w:t>
            </w:r>
          </w:p>
        </w:tc>
      </w:tr>
      <w:tr>
        <w:tc>
          <w:tcPr>
            <w:tcW w:type="dxa" w:w="4320"/>
          </w:tcPr>
          <w:p>
            <w:pPr/>
            <w:r>
              <w:rPr>
                <w:sz w:val="18"/>
              </w:rPr>
              <w:t>**Mass Quote**</w:t>
            </w:r>
          </w:p>
        </w:tc>
        <w:tc>
          <w:tcPr>
            <w:tcW w:type="dxa" w:w="4320"/>
          </w:tcPr>
          <w:p>
            <w:pPr/>
            <w:r>
              <w:rPr>
                <w:sz w:val="18"/>
              </w:rPr>
              <w:t>Allows market makers to submit multiple two-sided quotes in a single message</w:t>
            </w:r>
          </w:p>
        </w:tc>
      </w:tr>
    </w:tbl>
    <w:p/>
    <w:p>
      <w:pPr>
        <w:pStyle w:val="Heading3"/>
      </w:pPr>
      <w:r>
        <w:t>4.3 Time-in-Force (TIF) Conditions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for the current trading session only; cancelled at session end</w:t>
            </w:r>
          </w:p>
        </w:tc>
      </w:tr>
      <w:tr>
        <w:tc>
          <w:tcPr>
            <w:tcW w:type="dxa" w:w="4320"/>
          </w:tcPr>
          <w:p>
            <w:pPr/>
            <w:r>
              <w:rPr>
                <w:sz w:val="18"/>
              </w:rPr>
              <w:t>**Good Till Cancel (GTC)**</w:t>
            </w:r>
          </w:p>
        </w:tc>
        <w:tc>
          <w:tcPr>
            <w:tcW w:type="dxa" w:w="4320"/>
          </w:tcPr>
          <w:p>
            <w:pPr/>
            <w:r>
              <w:rPr>
                <w:sz w:val="18"/>
              </w:rPr>
              <w:t>Remains active until filled or explicitly cancelled</w:t>
            </w:r>
          </w:p>
        </w:tc>
      </w:tr>
      <w:tr>
        <w:tc>
          <w:tcPr>
            <w:tcW w:type="dxa" w:w="4320"/>
          </w:tcPr>
          <w:p>
            <w:pPr/>
            <w:r>
              <w:rPr>
                <w:sz w:val="18"/>
              </w:rPr>
              <w:t>**Good Till Date (GTD)**</w:t>
            </w:r>
          </w:p>
        </w:tc>
        <w:tc>
          <w:tcPr>
            <w:tcW w:type="dxa" w:w="4320"/>
          </w:tcPr>
          <w:p>
            <w:pPr/>
            <w:r>
              <w:rPr>
                <w:sz w:val="18"/>
              </w:rPr>
              <w:t>Remains active until a specified date</w:t>
            </w:r>
          </w:p>
        </w:tc>
      </w:tr>
      <w:tr>
        <w:tc>
          <w:tcPr>
            <w:tcW w:type="dxa" w:w="4320"/>
          </w:tcPr>
          <w:p>
            <w:pPr/>
            <w:r>
              <w:rPr>
                <w:sz w:val="18"/>
              </w:rPr>
              <w:t>**Fill and Kill (FAK)**</w:t>
            </w:r>
          </w:p>
        </w:tc>
        <w:tc>
          <w:tcPr>
            <w:tcW w:type="dxa" w:w="4320"/>
          </w:tcPr>
          <w:p>
            <w:pPr/>
            <w:r>
              <w:rPr>
                <w:sz w:val="18"/>
              </w:rPr>
              <w:t>Executes immediately for any available quantity; unfilled portion is cancelled</w:t>
            </w:r>
          </w:p>
        </w:tc>
      </w:tr>
      <w:tr>
        <w:tc>
          <w:tcPr>
            <w:tcW w:type="dxa" w:w="4320"/>
          </w:tcPr>
          <w:p>
            <w:pPr/>
            <w:r>
              <w:rPr>
                <w:sz w:val="18"/>
              </w:rPr>
              <w:t>**Fill or Kill (FOK)**</w:t>
            </w:r>
          </w:p>
        </w:tc>
        <w:tc>
          <w:tcPr>
            <w:tcW w:type="dxa" w:w="4320"/>
          </w:tcPr>
          <w:p>
            <w:pPr/>
            <w:r>
              <w:rPr>
                <w:sz w:val="18"/>
              </w:rPr>
              <w:t>Must be filled in its entirety immediately or cancelled entirely</w:t>
            </w:r>
          </w:p>
        </w:tc>
      </w:tr>
    </w:tbl>
    <w:p/>
    <w:p>
      <w:pPr>
        <w:pStyle w:val="Heading3"/>
      </w:pPr>
      <w:r>
        <w:t>4.4 Order Modification &amp; Cancellation</w:t>
      </w:r>
    </w:p>
    <w:p>
      <w:pPr>
        <w:pStyle w:val="ListBullet"/>
      </w:pPr>
      <w:r>
        <w:t>Orders can be modified (price, quantity) or cancelled at any time during the trading session via iLink 3</w:t>
      </w:r>
    </w:p>
    <w:p>
      <w:pPr>
        <w:pStyle w:val="ListBullet"/>
      </w:pPr>
      <w:r>
        <w:t>Mass Cancel: Functionality to cancel all working orders for a session, product group, or specific instrument</w:t>
      </w:r>
    </w:p>
    <w:p>
      <w:pPr>
        <w:pStyle w:val="ListBullet"/>
      </w:pPr>
      <w:r>
        <w:t>Cancel on Disconnect: Optional feature that automatically cancels all working orders if the iLink session is disconnected</w:t>
      </w:r>
    </w:p>
    <w:p>
      <w:pPr>
        <w:pStyle w:val="ListBullet"/>
      </w:pPr>
      <w:r>
        <w:t>Self-Trade Prevention (STP): Configurable to prevent matching of orders from the same firm/account</w:t>
      </w:r>
    </w:p>
    <w:p>
      <w:r>
        <w:t>[Source: CME Group, "Futures Order Types"; CME Group Client Systems Wiki, "iLink Order Types"; "Order Types for Futures and Options"]</w:t>
      </w:r>
    </w:p>
    <w:p>
      <w:r>
        <w:t>────────────────────────────────────────────────────────────</w:t>
      </w:r>
    </w:p>
    <w:p>
      <w:pPr>
        <w:pStyle w:val="Heading2"/>
      </w:pPr>
      <w:r>
        <w:t>5. Trading System Technology — CME Globex</w:t>
      </w:r>
    </w:p>
    <w:p>
      <w:pPr>
        <w:pStyle w:val="Heading3"/>
      </w:pPr>
      <w:r>
        <w:t>5.1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Platform Name</w:t>
            </w:r>
          </w:p>
        </w:tc>
        <w:tc>
          <w:tcPr>
            <w:tcW w:type="dxa" w:w="4320"/>
          </w:tcPr>
          <w:p>
            <w:pPr/>
            <w:r>
              <w:rPr>
                <w:sz w:val="18"/>
              </w:rPr>
              <w:t>CME Globex</w:t>
            </w:r>
          </w:p>
        </w:tc>
      </w:tr>
      <w:tr>
        <w:tc>
          <w:tcPr>
            <w:tcW w:type="dxa" w:w="4320"/>
          </w:tcPr>
          <w:p>
            <w:pPr/>
            <w:r>
              <w:rPr>
                <w:sz w:val="18"/>
              </w:rPr>
              <w:t>First Launched</w:t>
            </w:r>
          </w:p>
        </w:tc>
        <w:tc>
          <w:tcPr>
            <w:tcW w:type="dxa" w:w="4320"/>
          </w:tcPr>
          <w:p>
            <w:pPr/>
            <w:r>
              <w:rPr>
                <w:sz w:val="18"/>
              </w:rPr>
              <w:t>1992</w:t>
            </w:r>
          </w:p>
        </w:tc>
      </w:tr>
      <w:tr>
        <w:tc>
          <w:tcPr>
            <w:tcW w:type="dxa" w:w="4320"/>
          </w:tcPr>
          <w:p>
            <w:pPr/>
            <w:r>
              <w:rPr>
                <w:sz w:val="18"/>
              </w:rPr>
              <w:t>Current Architecture</w:t>
            </w:r>
          </w:p>
        </w:tc>
        <w:tc>
          <w:tcPr>
            <w:tcW w:type="dxa" w:w="4320"/>
          </w:tcPr>
          <w:p>
            <w:pPr/>
            <w:r>
              <w:rPr>
                <w:sz w:val="18"/>
              </w:rPr>
              <w:t>Distributed matching engine architecture with product-level partitioning</w:t>
            </w:r>
          </w:p>
        </w:tc>
      </w:tr>
      <w:tr>
        <w:tc>
          <w:tcPr>
            <w:tcW w:type="dxa" w:w="4320"/>
          </w:tcPr>
          <w:p>
            <w:pPr/>
            <w:r>
              <w:rPr>
                <w:sz w:val="18"/>
              </w:rPr>
              <w:t>Primary Data Center</w:t>
            </w:r>
          </w:p>
        </w:tc>
        <w:tc>
          <w:tcPr>
            <w:tcW w:type="dxa" w:w="4320"/>
          </w:tcPr>
          <w:p>
            <w:pPr/>
            <w:r>
              <w:rPr>
                <w:sz w:val="18"/>
              </w:rPr>
              <w:t>CyrusOne Aurora facility, Aurora, Illinois (35 miles from Chicago HQ)</w:t>
            </w:r>
          </w:p>
        </w:tc>
      </w:tr>
      <w:tr>
        <w:tc>
          <w:tcPr>
            <w:tcW w:type="dxa" w:w="4320"/>
          </w:tcPr>
          <w:p>
            <w:pPr/>
            <w:r>
              <w:rPr>
                <w:sz w:val="18"/>
              </w:rPr>
              <w:t>Backup / DR Site</w:t>
            </w:r>
          </w:p>
        </w:tc>
        <w:tc>
          <w:tcPr>
            <w:tcW w:type="dxa" w:w="4320"/>
          </w:tcPr>
          <w:p>
            <w:pPr/>
            <w:r>
              <w:rPr>
                <w:sz w:val="18"/>
              </w:rPr>
              <w:t>CME New York Data Center (NYDC) — geographically disparate</w:t>
            </w:r>
          </w:p>
        </w:tc>
      </w:tr>
      <w:tr>
        <w:tc>
          <w:tcPr>
            <w:tcW w:type="dxa" w:w="4320"/>
          </w:tcPr>
          <w:p>
            <w:pPr/>
            <w:r>
              <w:rPr>
                <w:sz w:val="18"/>
              </w:rPr>
              <w:t>Market Data Throughput</w:t>
            </w:r>
          </w:p>
        </w:tc>
        <w:tc>
          <w:tcPr>
            <w:tcW w:type="dxa" w:w="4320"/>
          </w:tcPr>
          <w:p>
            <w:pPr/>
            <w:r>
              <w:rPr>
                <w:sz w:val="18"/>
              </w:rPr>
              <w:t>Regularly exceeds 1 Gbps; 10 Gbps connections required for MDP 3.0 multicast (effective March 2026, 1 Gbps no longer supported for multicast)</w:t>
            </w:r>
          </w:p>
        </w:tc>
      </w:tr>
      <w:tr>
        <w:tc>
          <w:tcPr>
            <w:tcW w:type="dxa" w:w="4320"/>
          </w:tcPr>
          <w:p>
            <w:pPr/>
            <w:r>
              <w:rPr>
                <w:sz w:val="18"/>
              </w:rPr>
              <w:t>Order Entry Protocol</w:t>
            </w:r>
          </w:p>
        </w:tc>
        <w:tc>
          <w:tcPr>
            <w:tcW w:type="dxa" w:w="4320"/>
          </w:tcPr>
          <w:p>
            <w:pPr/>
            <w:r>
              <w:rPr>
                <w:sz w:val="18"/>
              </w:rPr>
              <w:t>iLink 3 (FIX Simple Binary Encoding / FIXP session layer)</w:t>
            </w:r>
          </w:p>
        </w:tc>
      </w:tr>
      <w:tr>
        <w:tc>
          <w:tcPr>
            <w:tcW w:type="dxa" w:w="4320"/>
          </w:tcPr>
          <w:p>
            <w:pPr/>
            <w:r>
              <w:rPr>
                <w:sz w:val="18"/>
              </w:rPr>
              <w:t>Market Data Protocol</w:t>
            </w:r>
          </w:p>
        </w:tc>
        <w:tc>
          <w:tcPr>
            <w:tcW w:type="dxa" w:w="4320"/>
          </w:tcPr>
          <w:p>
            <w:pPr/>
            <w:r>
              <w:rPr>
                <w:sz w:val="18"/>
              </w:rPr>
              <w:t>MDP 3.0 (FIX SBE-encoded, UDP multicast and TCP unicast)</w:t>
            </w:r>
          </w:p>
        </w:tc>
      </w:tr>
    </w:tbl>
    <w:p/>
    <w:p>
      <w:pPr>
        <w:pStyle w:val="Heading3"/>
      </w:pPr>
      <w:r>
        <w:t>5.2 Architecture</w:t>
      </w:r>
    </w:p>
    <w:p>
      <w:pPr>
        <w:pStyle w:val="ListBullet"/>
      </w:pPr>
      <w:r>
        <w:t>Matching Engines: Product-partitioned matching engines running on dedicated hardware</w:t>
      </w:r>
    </w:p>
    <w:p>
      <w:pPr>
        <w:pStyle w:val="ListBullet"/>
      </w:pPr>
      <w:r>
        <w:t>Message Bus: High-speed internal messaging infrastructure connecting order entry gateways, matching engines, and market data dissemination</w:t>
      </w:r>
    </w:p>
    <w:p>
      <w:pPr>
        <w:pStyle w:val="ListBullet"/>
      </w:pPr>
      <w:r>
        <w:t>Deterministic Processing: Designed for low-latency, deterministic order processing</w:t>
      </w:r>
    </w:p>
    <w:p>
      <w:pPr>
        <w:pStyle w:val="ListBullet"/>
      </w:pPr>
      <w:r>
        <w:t>Capacity: Handles peak throughput of millions of messages per second across all product groups</w:t>
      </w:r>
    </w:p>
    <w:p>
      <w:pPr>
        <w:pStyle w:val="Heading3"/>
      </w:pPr>
      <w:r>
        <w:t>5.3 Latency</w:t>
      </w:r>
    </w:p>
    <w:p>
      <w:pPr>
        <w:pStyle w:val="ListBullet"/>
      </w:pPr>
      <w:r>
        <w:t>CME Globex processes trades in sub-millisecond timeframes for most products</w:t>
      </w:r>
    </w:p>
    <w:p>
      <w:pPr>
        <w:pStyle w:val="ListBullet"/>
      </w:pPr>
      <w:r>
        <w:t>Latency is measured gate-to-gate (from order receipt at the gateway to acknowledgment back to the client)</w:t>
      </w:r>
    </w:p>
    <w:p>
      <w:pPr>
        <w:pStyle w:val="ListBullet"/>
      </w:pPr>
      <w:r>
        <w:t>Co-located participants achieve the lowest latency due to proximity to matching engines</w:t>
      </w:r>
    </w:p>
    <w:p>
      <w:pPr>
        <w:pStyle w:val="ListBullet"/>
      </w:pPr>
      <w:r>
        <w:t>Exact median latency figures are not publicly disclosed but are estimated in the low-microsecond range for co-located participants [unverified]</w:t>
      </w:r>
    </w:p>
    <w:p>
      <w:pPr>
        <w:pStyle w:val="Heading3"/>
      </w:pPr>
      <w:r>
        <w:t>5.4 Protocol History &amp; Evolution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Year</w:t>
            </w:r>
          </w:p>
        </w:tc>
        <w:tc>
          <w:tcPr>
            <w:tcW w:type="dxa" w:w="4320"/>
          </w:tcPr>
          <w:p>
            <w:pPr/>
            <w:r>
              <w:rPr>
                <w:b/>
                <w:sz w:val="18"/>
              </w:rPr>
              <w:t>Milestone</w:t>
            </w:r>
          </w:p>
        </w:tc>
      </w:tr>
      <w:tr>
        <w:tc>
          <w:tcPr>
            <w:tcW w:type="dxa" w:w="4320"/>
          </w:tcPr>
          <w:p>
            <w:pPr/>
            <w:r>
              <w:rPr>
                <w:sz w:val="18"/>
              </w:rPr>
              <w:t>1992</w:t>
            </w:r>
          </w:p>
        </w:tc>
        <w:tc>
          <w:tcPr>
            <w:tcW w:type="dxa" w:w="4320"/>
          </w:tcPr>
          <w:p>
            <w:pPr/>
            <w:r>
              <w:rPr>
                <w:sz w:val="18"/>
              </w:rPr>
              <w:t>CME Globex launched — first global electronic futures platform</w:t>
            </w:r>
          </w:p>
        </w:tc>
      </w:tr>
      <w:tr>
        <w:tc>
          <w:tcPr>
            <w:tcW w:type="dxa" w:w="4320"/>
          </w:tcPr>
          <w:p>
            <w:pPr/>
            <w:r>
              <w:rPr>
                <w:sz w:val="18"/>
              </w:rPr>
              <w:t>1998</w:t>
            </w:r>
          </w:p>
        </w:tc>
        <w:tc>
          <w:tcPr>
            <w:tcW w:type="dxa" w:w="4320"/>
          </w:tcPr>
          <w:p>
            <w:pPr/>
            <w:r>
              <w:rPr>
                <w:sz w:val="18"/>
              </w:rPr>
              <w:t>Partnership with MATIF (later Euronext)</w:t>
            </w:r>
          </w:p>
        </w:tc>
      </w:tr>
      <w:tr>
        <w:tc>
          <w:tcPr>
            <w:tcW w:type="dxa" w:w="4320"/>
          </w:tcPr>
          <w:p>
            <w:pPr/>
            <w:r>
              <w:rPr>
                <w:sz w:val="18"/>
              </w:rPr>
              <w:t>2004</w:t>
            </w:r>
          </w:p>
        </w:tc>
        <w:tc>
          <w:tcPr>
            <w:tcW w:type="dxa" w:w="4320"/>
          </w:tcPr>
          <w:p>
            <w:pPr/>
            <w:r>
              <w:rPr>
                <w:sz w:val="18"/>
              </w:rPr>
              <w:t>In-house Globex platform developed (replacing Reuters technology)</w:t>
            </w:r>
          </w:p>
        </w:tc>
      </w:tr>
      <w:tr>
        <w:tc>
          <w:tcPr>
            <w:tcW w:type="dxa" w:w="4320"/>
          </w:tcPr>
          <w:p>
            <w:pPr/>
            <w:r>
              <w:rPr>
                <w:sz w:val="18"/>
              </w:rPr>
              <w:t>2012</w:t>
            </w:r>
          </w:p>
        </w:tc>
        <w:tc>
          <w:tcPr>
            <w:tcW w:type="dxa" w:w="4320"/>
          </w:tcPr>
          <w:p>
            <w:pPr/>
            <w:r>
              <w:rPr>
                <w:sz w:val="18"/>
              </w:rPr>
              <w:t>iLink 2 (FIX 4.2-based) becomes primary order entry protocol</w:t>
            </w:r>
          </w:p>
        </w:tc>
      </w:tr>
      <w:tr>
        <w:tc>
          <w:tcPr>
            <w:tcW w:type="dxa" w:w="4320"/>
          </w:tcPr>
          <w:p>
            <w:pPr/>
            <w:r>
              <w:rPr>
                <w:sz w:val="18"/>
              </w:rPr>
              <w:t>2019</w:t>
            </w:r>
          </w:p>
        </w:tc>
        <w:tc>
          <w:tcPr>
            <w:tcW w:type="dxa" w:w="4320"/>
          </w:tcPr>
          <w:p>
            <w:pPr/>
            <w:r>
              <w:rPr>
                <w:sz w:val="18"/>
              </w:rPr>
              <w:t>MDP 3.0 market data platform deployed (replacing legacy MDP/FIX FAST)</w:t>
            </w:r>
          </w:p>
        </w:tc>
      </w:tr>
      <w:tr>
        <w:tc>
          <w:tcPr>
            <w:tcW w:type="dxa" w:w="4320"/>
          </w:tcPr>
          <w:p>
            <w:pPr/>
            <w:r>
              <w:rPr>
                <w:sz w:val="18"/>
              </w:rPr>
              <w:t>2020</w:t>
            </w:r>
          </w:p>
        </w:tc>
        <w:tc>
          <w:tcPr>
            <w:tcW w:type="dxa" w:w="4320"/>
          </w:tcPr>
          <w:p>
            <w:pPr/>
            <w:r>
              <w:rPr>
                <w:sz w:val="18"/>
              </w:rPr>
              <w:t>iLink 3 (FIX SBE binary) launched — mandatory migration by 2023</w:t>
            </w:r>
          </w:p>
        </w:tc>
      </w:tr>
      <w:tr>
        <w:tc>
          <w:tcPr>
            <w:tcW w:type="dxa" w:w="4320"/>
          </w:tcPr>
          <w:p>
            <w:pPr/>
            <w:r>
              <w:rPr>
                <w:sz w:val="18"/>
              </w:rPr>
              <w:t>2026</w:t>
            </w:r>
          </w:p>
        </w:tc>
        <w:tc>
          <w:tcPr>
            <w:tcW w:type="dxa" w:w="4320"/>
          </w:tcPr>
          <w:p>
            <w:pPr/>
            <w:r>
              <w:rPr>
                <w:sz w:val="18"/>
              </w:rPr>
              <w:t>iLink SBE schema version 9 effective January 2026; Google Cloud migration begins mid-2026</w:t>
            </w:r>
          </w:p>
        </w:tc>
      </w:tr>
    </w:tbl>
    <w:p/>
    <w:p>
      <w:pPr>
        <w:pStyle w:val="Heading3"/>
      </w:pPr>
      <w:r>
        <w:t>5.5 Technology Stack</w:t>
      </w:r>
    </w:p>
    <w:p>
      <w:pPr>
        <w:pStyle w:val="ListBullet"/>
      </w:pPr>
      <w:r>
        <w:t>Order Entry: iLink 3 — binary FIX protocol using Simple Binary Encoding (SBE) for order submission; FIXP session layer protocol for session management</w:t>
      </w:r>
    </w:p>
    <w:p>
      <w:pPr>
        <w:pStyle w:val="ListBullet"/>
      </w:pPr>
      <w:r>
        <w:t>Market Data: MDP 3.0 — SBE-encoded messages over UDP multicast (primary) and TCP unicast (conflated)</w:t>
      </w:r>
    </w:p>
    <w:p>
      <w:pPr>
        <w:pStyle w:val="ListBullet"/>
      </w:pPr>
      <w:r>
        <w:t>Drop Copy / Trade Notification: CME STP (Straight Through Processing) FIX API</w:t>
      </w:r>
    </w:p>
    <w:p>
      <w:pPr>
        <w:pStyle w:val="ListBullet"/>
      </w:pPr>
      <w:r>
        <w:t>Reference Data: CME SmartStream</w:t>
      </w:r>
    </w:p>
    <w:p>
      <w:pPr>
        <w:pStyle w:val="ListBullet"/>
      </w:pPr>
      <w:r>
        <w:t>Risk Management GUI: Globex Credit Controls (GC2), Account Management Service (AMS)</w:t>
      </w:r>
    </w:p>
    <w:p>
      <w:pPr>
        <w:pStyle w:val="Heading3"/>
      </w:pPr>
      <w:r>
        <w:t>5.6 Google Cloud Migration (2026–2028)</w:t>
      </w:r>
    </w:p>
    <w:p>
      <w:r>
        <w:t>CME Group has entered a 10-year strategic partnership with Google Cloud to migrate the entire Globex platform:</w:t>
      </w:r>
    </w:p>
    <w:p>
      <w:pPr>
        <w:pStyle w:val="ListBullet"/>
      </w:pPr>
      <w:r>
        <w:t>Private Google Cloud Chicago Region: A dedicated, private cloud region with co-location facility purpose-built for CME Group's listed derivatives markets</w:t>
      </w:r>
    </w:p>
    <w:p>
      <w:pPr>
        <w:pStyle w:val="ListBullet"/>
      </w:pPr>
      <w:r>
        <w:t>Timeline: Sandbox environment available mid-2026 (private zones in Dallas region); production market migration from Aurora to private Google Cloud Chicago region beginning mid-2026 with phased approach; full migration targeted by 2028</w:t>
      </w:r>
    </w:p>
    <w:p>
      <w:pPr>
        <w:pStyle w:val="ListBullet"/>
      </w:pPr>
      <w:r>
        <w:t>Connectivity: Co-location facilities will be maintained for ultra-low latency access; existing connectivity methods (GLink, EConnect) to be supported in new environment</w:t>
      </w:r>
    </w:p>
    <w:p>
      <w:pPr>
        <w:pStyle w:val="ListBullet"/>
      </w:pPr>
      <w:r>
        <w:t>Benefits: Enhanced scalability, reduced technical debt, AI-powered analytics, improved disaster recovery via multi-region cloud deployments</w:t>
      </w:r>
    </w:p>
    <w:p>
      <w:pPr>
        <w:pStyle w:val="ListBullet"/>
      </w:pPr>
      <w:r>
        <w:t>Impact on Clients: All Globex clients and vendors must plan for onboarding to the new environment; CME Group is publishing detailed migration roadmaps</w:t>
      </w:r>
    </w:p>
    <w:p>
      <w:r>
        <w:t>[Source: CME Group Client Systems Wiki, "CME Globex on Google Cloud"; A-Team Insight, "Inside CME Group's Strategic Migration"; Google Cloud Blog]</w:t>
      </w:r>
    </w:p>
    <w:p>
      <w:pPr>
        <w:pStyle w:val="Heading3"/>
      </w:pPr>
      <w:r>
        <w:t>5.7 Disaster Recovery &amp; Business Continuity</w:t>
      </w:r>
    </w:p>
    <w:p>
      <w:pPr>
        <w:pStyle w:val="ListBullet"/>
      </w:pPr>
      <w:r>
        <w:t>Primary DC: CyrusOne Aurora, Aurora, IL (~428,000 sq ft; 92 MW redundant power)</w:t>
      </w:r>
    </w:p>
    <w:p>
      <w:pPr>
        <w:pStyle w:val="ListBullet"/>
      </w:pPr>
      <w:r>
        <w:t>DR Site: CME New York Data Center (NYDC) — geographically disparate backup</w:t>
      </w:r>
    </w:p>
    <w:p>
      <w:pPr>
        <w:pStyle w:val="ListBullet"/>
      </w:pPr>
      <w:r>
        <w:t>Recovery Model: Real-time data replication between primary and backup environments</w:t>
      </w:r>
    </w:p>
    <w:p>
      <w:pPr>
        <w:pStyle w:val="ListBullet"/>
      </w:pPr>
      <w:r>
        <w:t>RTO: 2-hour Recovery Time Objective for critical services (e.g., EBS Market, eFix)</w:t>
      </w:r>
    </w:p>
    <w:p>
      <w:pPr>
        <w:pStyle w:val="ListBullet"/>
      </w:pPr>
      <w:r>
        <w:t>Market Data Redundancy: Dual feeds (Feed A and Feed B) available from both Aurora and NYDC</w:t>
      </w:r>
    </w:p>
    <w:p>
      <w:pPr>
        <w:pStyle w:val="ListBullet"/>
      </w:pPr>
      <w:r>
        <w:t>DR Testing: Annual DR test scripts published and executed (e.g., CoreSite DR test)</w:t>
      </w:r>
    </w:p>
    <w:p>
      <w:pPr>
        <w:pStyle w:val="ListBullet"/>
      </w:pPr>
      <w:r>
        <w:t>Operational Support: 24/7 follow-the-sun production support model</w:t>
      </w:r>
    </w:p>
    <w:p>
      <w:r>
        <w:t>Notable Incident — November 2025 Outage:</w:t>
      </w:r>
    </w:p>
    <w:p>
      <w:r>
        <w:t>On November 28, 2025, a cooling system failure at the CyrusOne Aurora data center caused a 10-hour trading halt — the longest in recent CME history. Temperatures inside the facility exceeded 100 deg F (38 deg C) when multiple chillers failed simultaneously and backup systems failed to engage independently. The incident affected global markets from Tokyo to London across all asset classes. CyrusOne subsequently installed additional redundancy to cooling systems. This event has accelerated CME Group's cloud migration planning.</w:t>
      </w:r>
    </w:p>
    <w:p>
      <w:r>
        <w:t>[Source: Fortune, "Worldwide markets roiled by data-center snafu"; Bloomberg, "CME Data Center Bolsters Backup Cooling After 10-Hour Outage"]</w:t>
      </w:r>
    </w:p>
    <w:p>
      <w:r>
        <w:t>────────────────────────────────────────────────────────────</w:t>
      </w:r>
    </w:p>
    <w:p>
      <w:pPr>
        <w:pStyle w:val="Heading2"/>
      </w:pPr>
      <w:r>
        <w:t>6. Market Data</w:t>
      </w:r>
    </w:p>
    <w:p>
      <w:pPr>
        <w:pStyle w:val="Heading3"/>
      </w:pPr>
      <w:r>
        <w:t>6.1 Market Data Platform — MDP 3.0</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Feature</w:t>
            </w:r>
          </w:p>
        </w:tc>
        <w:tc>
          <w:tcPr>
            <w:tcW w:type="dxa" w:w="4320"/>
          </w:tcPr>
          <w:p>
            <w:pPr/>
            <w:r>
              <w:rPr>
                <w:b/>
                <w:sz w:val="18"/>
              </w:rPr>
              <w:t>Details</w:t>
            </w:r>
          </w:p>
        </w:tc>
      </w:tr>
      <w:tr>
        <w:tc>
          <w:tcPr>
            <w:tcW w:type="dxa" w:w="4320"/>
          </w:tcPr>
          <w:p>
            <w:pPr/>
            <w:r>
              <w:rPr>
                <w:sz w:val="18"/>
              </w:rPr>
              <w:t>Protocol</w:t>
            </w:r>
          </w:p>
        </w:tc>
        <w:tc>
          <w:tcPr>
            <w:tcW w:type="dxa" w:w="4320"/>
          </w:tcPr>
          <w:p>
            <w:pPr/>
            <w:r>
              <w:rPr>
                <w:sz w:val="18"/>
              </w:rPr>
              <w:t>MDP 3.0 — FIX SBE (Simple Binary Encoding) based on FIX 5.0 SP2</w:t>
            </w:r>
          </w:p>
        </w:tc>
      </w:tr>
      <w:tr>
        <w:tc>
          <w:tcPr>
            <w:tcW w:type="dxa" w:w="4320"/>
          </w:tcPr>
          <w:p>
            <w:pPr/>
            <w:r>
              <w:rPr>
                <w:sz w:val="18"/>
              </w:rPr>
              <w:t>Encoding</w:t>
            </w:r>
          </w:p>
        </w:tc>
        <w:tc>
          <w:tcPr>
            <w:tcW w:type="dxa" w:w="4320"/>
          </w:tcPr>
          <w:p>
            <w:pPr/>
            <w:r>
              <w:rPr>
                <w:sz w:val="18"/>
              </w:rPr>
              <w:t>Fixed-position, fixed-field-length binary encoding for direct data access</w:t>
            </w:r>
          </w:p>
        </w:tc>
      </w:tr>
      <w:tr>
        <w:tc>
          <w:tcPr>
            <w:tcW w:type="dxa" w:w="4320"/>
          </w:tcPr>
          <w:p>
            <w:pPr/>
            <w:r>
              <w:rPr>
                <w:sz w:val="18"/>
              </w:rPr>
              <w:t>Transport</w:t>
            </w:r>
          </w:p>
        </w:tc>
        <w:tc>
          <w:tcPr>
            <w:tcW w:type="dxa" w:w="4320"/>
          </w:tcPr>
          <w:p>
            <w:pPr/>
            <w:r>
              <w:rPr>
                <w:sz w:val="18"/>
              </w:rPr>
              <w:t>UDP multicast (primary) and TCP unicast (conflated)</w:t>
            </w:r>
          </w:p>
        </w:tc>
      </w:tr>
      <w:tr>
        <w:tc>
          <w:tcPr>
            <w:tcW w:type="dxa" w:w="4320"/>
          </w:tcPr>
          <w:p>
            <w:pPr/>
            <w:r>
              <w:rPr>
                <w:sz w:val="18"/>
              </w:rPr>
              <w:t>Redundancy</w:t>
            </w:r>
          </w:p>
        </w:tc>
        <w:tc>
          <w:tcPr>
            <w:tcW w:type="dxa" w:w="4320"/>
          </w:tcPr>
          <w:p>
            <w:pPr/>
            <w:r>
              <w:rPr>
                <w:sz w:val="18"/>
              </w:rPr>
              <w:t>Dual feeds — Feed A and Feed B — available at both Aurora and NYDC</w:t>
            </w:r>
          </w:p>
        </w:tc>
      </w:tr>
    </w:tbl>
    <w:p/>
    <w:p>
      <w:pPr>
        <w:pStyle w:val="Heading3"/>
      </w:pPr>
      <w:r>
        <w:t>6.2 Feed Types / Data Levels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Feed Type</w:t>
            </w:r>
          </w:p>
        </w:tc>
        <w:tc>
          <w:tcPr>
            <w:tcW w:type="dxa" w:w="2880"/>
          </w:tcPr>
          <w:p>
            <w:pPr/>
            <w:r>
              <w:rPr>
                <w:b/>
                <w:sz w:val="18"/>
              </w:rPr>
              <w:t>Description</w:t>
            </w:r>
          </w:p>
        </w:tc>
        <w:tc>
          <w:tcPr>
            <w:tcW w:type="dxa" w:w="2880"/>
          </w:tcPr>
          <w:p>
            <w:pPr/>
            <w:r>
              <w:rPr>
                <w:b/>
                <w:sz w:val="18"/>
              </w:rPr>
              <w:t>Transport</w:t>
            </w:r>
          </w:p>
        </w:tc>
      </w:tr>
      <w:tr>
        <w:tc>
          <w:tcPr>
            <w:tcW w:type="dxa" w:w="2880"/>
          </w:tcPr>
          <w:p>
            <w:pPr/>
            <w:r>
              <w:rPr>
                <w:sz w:val="18"/>
              </w:rPr>
              <w:t>**MDP Premium (MBOFD)**</w:t>
            </w:r>
          </w:p>
        </w:tc>
        <w:tc>
          <w:tcPr>
            <w:tcW w:type="dxa" w:w="2880"/>
          </w:tcPr>
          <w:p>
            <w:pPr/>
            <w:r>
              <w:rPr>
                <w:sz w:val="18"/>
              </w:rPr>
              <w:t>Market By Order — Full Depth: individual order-level data with order ID</w:t>
            </w:r>
          </w:p>
        </w:tc>
        <w:tc>
          <w:tcPr>
            <w:tcW w:type="dxa" w:w="2880"/>
          </w:tcPr>
          <w:p>
            <w:pPr/>
            <w:r>
              <w:rPr>
                <w:sz w:val="18"/>
              </w:rPr>
              <w:t>UDP multicast</w:t>
            </w:r>
          </w:p>
        </w:tc>
      </w:tr>
      <w:tr>
        <w:tc>
          <w:tcPr>
            <w:tcW w:type="dxa" w:w="2880"/>
          </w:tcPr>
          <w:p>
            <w:pPr/>
            <w:r>
              <w:rPr>
                <w:sz w:val="18"/>
              </w:rPr>
              <w:t>**MDP Premium (MBP)**</w:t>
            </w:r>
          </w:p>
        </w:tc>
        <w:tc>
          <w:tcPr>
            <w:tcW w:type="dxa" w:w="2880"/>
          </w:tcPr>
          <w:p>
            <w:pPr/>
            <w:r>
              <w:rPr>
                <w:sz w:val="18"/>
              </w:rPr>
              <w:t>Market By Price — aggregated depth at each price level (top 10 levels)</w:t>
            </w:r>
          </w:p>
        </w:tc>
        <w:tc>
          <w:tcPr>
            <w:tcW w:type="dxa" w:w="2880"/>
          </w:tcPr>
          <w:p>
            <w:pPr/>
            <w:r>
              <w:rPr>
                <w:sz w:val="18"/>
              </w:rPr>
              <w:t>UDP multicast</w:t>
            </w:r>
          </w:p>
        </w:tc>
      </w:tr>
      <w:tr>
        <w:tc>
          <w:tcPr>
            <w:tcW w:type="dxa" w:w="2880"/>
          </w:tcPr>
          <w:p>
            <w:pPr/>
            <w:r>
              <w:rPr>
                <w:sz w:val="18"/>
              </w:rPr>
              <w:t>**MDP Conflated**</w:t>
            </w:r>
          </w:p>
        </w:tc>
        <w:tc>
          <w:tcPr>
            <w:tcW w:type="dxa" w:w="2880"/>
          </w:tcPr>
          <w:p>
            <w:pPr/>
            <w:r>
              <w:rPr>
                <w:sz w:val="18"/>
              </w:rPr>
              <w:t>50-millisecond conflated snapshots</w:t>
            </w:r>
          </w:p>
        </w:tc>
        <w:tc>
          <w:tcPr>
            <w:tcW w:type="dxa" w:w="2880"/>
          </w:tcPr>
          <w:p>
            <w:pPr/>
            <w:r>
              <w:rPr>
                <w:sz w:val="18"/>
              </w:rPr>
              <w:t>UDP multicast or TCP unicast</w:t>
            </w:r>
          </w:p>
        </w:tc>
      </w:tr>
      <w:tr>
        <w:tc>
          <w:tcPr>
            <w:tcW w:type="dxa" w:w="2880"/>
          </w:tcPr>
          <w:p>
            <w:pPr/>
            <w:r>
              <w:rPr>
                <w:sz w:val="18"/>
              </w:rPr>
              <w:t>**MDP Recovery**</w:t>
            </w:r>
          </w:p>
        </w:tc>
        <w:tc>
          <w:tcPr>
            <w:tcW w:type="dxa" w:w="2880"/>
          </w:tcPr>
          <w:p>
            <w:pPr/>
            <w:r>
              <w:rPr>
                <w:sz w:val="18"/>
              </w:rPr>
              <w:t>Snapshot recovery feeds for rebuilding order books</w:t>
            </w:r>
          </w:p>
        </w:tc>
        <w:tc>
          <w:tcPr>
            <w:tcW w:type="dxa" w:w="2880"/>
          </w:tcPr>
          <w:p>
            <w:pPr/>
            <w:r>
              <w:rPr>
                <w:sz w:val="18"/>
              </w:rPr>
              <w:t>UDP multicast</w:t>
            </w:r>
          </w:p>
        </w:tc>
      </w:tr>
      <w:tr>
        <w:tc>
          <w:tcPr>
            <w:tcW w:type="dxa" w:w="2880"/>
          </w:tcPr>
          <w:p>
            <w:pPr/>
            <w:r>
              <w:rPr>
                <w:sz w:val="18"/>
              </w:rPr>
              <w:t>**CME STP**</w:t>
            </w:r>
          </w:p>
        </w:tc>
        <w:tc>
          <w:tcPr>
            <w:tcW w:type="dxa" w:w="2880"/>
          </w:tcPr>
          <w:p>
            <w:pPr/>
            <w:r>
              <w:rPr>
                <w:sz w:val="18"/>
              </w:rPr>
              <w:t>Trade notification / drop copy feed</w:t>
            </w:r>
          </w:p>
        </w:tc>
        <w:tc>
          <w:tcPr>
            <w:tcW w:type="dxa" w:w="2880"/>
          </w:tcPr>
          <w:p>
            <w:pPr/>
            <w:r>
              <w:rPr>
                <w:sz w:val="18"/>
              </w:rPr>
              <w:t>FIX over TCP</w:t>
            </w:r>
          </w:p>
        </w:tc>
      </w:tr>
    </w:tbl>
    <w:p/>
    <w:p>
      <w:pPr>
        <w:pStyle w:val="Heading3"/>
      </w:pPr>
      <w:r>
        <w:t>6.3 Data Distribution</w:t>
      </w:r>
    </w:p>
    <w:p>
      <w:pPr>
        <w:pStyle w:val="ListBullet"/>
      </w:pPr>
      <w:r>
        <w:t>Direct connectivity: Co-located participants receive data via multicast within the Aurora/NYDC data centers</w:t>
      </w:r>
    </w:p>
    <w:p>
      <w:pPr>
        <w:pStyle w:val="ListBullet"/>
      </w:pPr>
      <w:r>
        <w:t>Redistributors: Major data vendors (Bloomberg, Refinitiv, ICE, etc.) redistribute CME market data under license</w:t>
      </w:r>
    </w:p>
    <w:p>
      <w:pPr>
        <w:pStyle w:val="ListBullet"/>
      </w:pPr>
      <w:r>
        <w:t>CME DataMine: Historical data repository with 40+ years of tick-level, volume, and open interest data</w:t>
      </w:r>
    </w:p>
    <w:p>
      <w:pPr>
        <w:pStyle w:val="ListBullet"/>
      </w:pPr>
      <w:r>
        <w:t>CME QuikStrike: Web-based analytics tools for options (volatility surfaces, greeks, open interest profiles)</w:t>
      </w:r>
    </w:p>
    <w:p>
      <w:pPr>
        <w:pStyle w:val="Heading3"/>
      </w:pPr>
      <w:r>
        <w:t>6.4 Market Data Licensing</w:t>
      </w:r>
    </w:p>
    <w:p>
      <w:pPr>
        <w:pStyle w:val="ListBullet"/>
      </w:pPr>
      <w:r>
        <w:t>Professional fees: $140/month per exchange (CME, CBOT, NYMEX, COMEX) for real-time streaming data</w:t>
      </w:r>
    </w:p>
    <w:p>
      <w:pPr>
        <w:pStyle w:val="ListBullet"/>
      </w:pPr>
      <w:r>
        <w:t>Non-professional: Reduced fees for individual, non-commercial use</w:t>
      </w:r>
    </w:p>
    <w:p>
      <w:pPr>
        <w:pStyle w:val="ListBullet"/>
      </w:pPr>
      <w:r>
        <w:t>Delayed data: 10-minute delayed data available free of charge on cmegroup.com</w:t>
      </w:r>
    </w:p>
    <w:p>
      <w:pPr>
        <w:pStyle w:val="ListBullet"/>
      </w:pPr>
      <w:r>
        <w:t>Derived data and redistribution: Subject to separate licensing agreements and fees</w:t>
      </w:r>
    </w:p>
    <w:p>
      <w:r>
        <w:t>[Source: CME Group, "Market Data Platform"; CME Group Client Systems Wiki, "CME MDP 3.0 Market Data"; CME Group, "January 2026 Market Data Fee List"]</w:t>
      </w:r>
    </w:p>
    <w:p>
      <w:r>
        <w:t>────────────────────────────────────────────────────────────</w:t>
      </w:r>
    </w:p>
    <w:p>
      <w:pPr>
        <w:pStyle w:val="Heading2"/>
      </w:pPr>
      <w:r>
        <w:t>7. Connectivity &amp; Access</w:t>
      </w:r>
    </w:p>
    <w:p>
      <w:pPr>
        <w:pStyle w:val="Heading3"/>
      </w:pPr>
      <w:r>
        <w:t>7.1 Membership / Access Types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Membership Type</w:t>
            </w:r>
          </w:p>
        </w:tc>
        <w:tc>
          <w:tcPr>
            <w:tcW w:type="dxa" w:w="2880"/>
          </w:tcPr>
          <w:p>
            <w:pPr/>
            <w:r>
              <w:rPr>
                <w:b/>
                <w:sz w:val="18"/>
              </w:rPr>
              <w:t>Description</w:t>
            </w:r>
          </w:p>
        </w:tc>
        <w:tc>
          <w:tcPr>
            <w:tcW w:type="dxa" w:w="2880"/>
          </w:tcPr>
          <w:p>
            <w:pPr/>
            <w:r>
              <w:rPr>
                <w:b/>
                <w:sz w:val="18"/>
              </w:rPr>
              <w:t>Key Requirements</w:t>
            </w:r>
          </w:p>
        </w:tc>
      </w:tr>
      <w:tr>
        <w:tc>
          <w:tcPr>
            <w:tcW w:type="dxa" w:w="2880"/>
          </w:tcPr>
          <w:p>
            <w:pPr/>
            <w:r>
              <w:rPr>
                <w:sz w:val="18"/>
              </w:rPr>
              <w:t>**Clearing Member**</w:t>
            </w:r>
          </w:p>
        </w:tc>
        <w:tc>
          <w:tcPr>
            <w:tcW w:type="dxa" w:w="2880"/>
          </w:tcPr>
          <w:p>
            <w:pPr/>
            <w:r>
              <w:rPr>
                <w:sz w:val="18"/>
              </w:rPr>
              <w:t>Firms that clear trades through CME Clearing; assume full financial responsibility</w:t>
            </w:r>
          </w:p>
        </w:tc>
        <w:tc>
          <w:tcPr>
            <w:tcW w:type="dxa" w:w="2880"/>
          </w:tcPr>
          <w:p>
            <w:pPr/>
            <w:r>
              <w:rPr>
                <w:sz w:val="18"/>
              </w:rPr>
              <w:t>CFTC registration as FCM; minimum capital requirements ($50M for OTC); demonstrate fiscal integrity</w:t>
            </w:r>
          </w:p>
        </w:tc>
      </w:tr>
      <w:tr>
        <w:tc>
          <w:tcPr>
            <w:tcW w:type="dxa" w:w="2880"/>
          </w:tcPr>
          <w:p>
            <w:pPr/>
            <w:r>
              <w:rPr>
                <w:sz w:val="18"/>
              </w:rPr>
              <w:t>**Corporate Member**</w:t>
            </w:r>
          </w:p>
        </w:tc>
        <w:tc>
          <w:tcPr>
            <w:tcW w:type="dxa" w:w="2880"/>
          </w:tcPr>
          <w:p>
            <w:pPr/>
            <w:r>
              <w:rPr>
                <w:sz w:val="18"/>
              </w:rPr>
              <w:t>Firms receiving preferential proprietary trading fees</w:t>
            </w:r>
          </w:p>
        </w:tc>
        <w:tc>
          <w:tcPr>
            <w:tcW w:type="dxa" w:w="2880"/>
          </w:tcPr>
          <w:p>
            <w:pPr/>
            <w:r>
              <w:rPr>
                <w:sz w:val="18"/>
              </w:rPr>
              <w:t>Must trade eligible products in proprietary accounts</w:t>
            </w:r>
          </w:p>
        </w:tc>
      </w:tr>
      <w:tr>
        <w:tc>
          <w:tcPr>
            <w:tcW w:type="dxa" w:w="2880"/>
          </w:tcPr>
          <w:p>
            <w:pPr/>
            <w:r>
              <w:rPr>
                <w:sz w:val="18"/>
              </w:rPr>
              <w:t>**Individual Member**</w:t>
            </w:r>
          </w:p>
        </w:tc>
        <w:tc>
          <w:tcPr>
            <w:tcW w:type="dxa" w:w="2880"/>
          </w:tcPr>
          <w:p>
            <w:pPr/>
            <w:r>
              <w:rPr>
                <w:sz w:val="18"/>
              </w:rPr>
              <w:t>Persons with trading privileges at reduced fee rates</w:t>
            </w:r>
          </w:p>
        </w:tc>
        <w:tc>
          <w:tcPr>
            <w:tcW w:type="dxa" w:w="2880"/>
          </w:tcPr>
          <w:p>
            <w:pPr/>
            <w:r>
              <w:rPr>
                <w:sz w:val="18"/>
              </w:rPr>
              <w:t>Financial resources, good moral character; 4 divisions of CME individual memberships</w:t>
            </w:r>
          </w:p>
        </w:tc>
      </w:tr>
      <w:tr>
        <w:tc>
          <w:tcPr>
            <w:tcW w:type="dxa" w:w="2880"/>
          </w:tcPr>
          <w:p>
            <w:pPr/>
            <w:r>
              <w:rPr>
                <w:sz w:val="18"/>
              </w:rPr>
              <w:t>**Non-Member**</w:t>
            </w:r>
          </w:p>
        </w:tc>
        <w:tc>
          <w:tcPr>
            <w:tcW w:type="dxa" w:w="2880"/>
          </w:tcPr>
          <w:p>
            <w:pPr/>
            <w:r>
              <w:rPr>
                <w:sz w:val="18"/>
              </w:rPr>
              <w:t>Access via relationship with a clearing member/FCM</w:t>
            </w:r>
          </w:p>
        </w:tc>
        <w:tc>
          <w:tcPr>
            <w:tcW w:type="dxa" w:w="2880"/>
          </w:tcPr>
          <w:p>
            <w:pPr/>
            <w:r>
              <w:rPr>
                <w:sz w:val="18"/>
              </w:rPr>
              <w:t>Must have FCM/clearing firm relationship</w:t>
            </w:r>
          </w:p>
        </w:tc>
      </w:tr>
    </w:tbl>
    <w:p/>
    <w:p>
      <w:r>
        <w:t>Clearing Member Capital Requirements:</w:t>
      </w:r>
    </w:p>
    <w:p>
      <w:pPr>
        <w:pStyle w:val="ListBullet"/>
      </w:pPr>
      <w:r>
        <w:t>Base products: Greater of CFTC/SEC requirement or exchange-specific minimum</w:t>
      </w:r>
    </w:p>
    <w:p>
      <w:pPr>
        <w:pStyle w:val="ListBullet"/>
      </w:pPr>
      <w:r>
        <w:t>OTC derivatives clearing: $50 million minimum</w:t>
      </w:r>
    </w:p>
    <w:p>
      <w:pPr>
        <w:pStyle w:val="ListBullet"/>
      </w:pPr>
      <w:r>
        <w:t>IRS clearing: Guaranty fund contribution = greater of $15M or proportionate share of two largest IRS clearing member losses</w:t>
      </w:r>
    </w:p>
    <w:p>
      <w:r>
        <w:t>Memberships for CME, CBOT, NYMEX, and COMEX are entirely separate and can be bought, sold, or leased.</w:t>
      </w:r>
    </w:p>
    <w:p>
      <w:pPr>
        <w:pStyle w:val="Heading3"/>
      </w:pPr>
      <w:r>
        <w:t>7.2 Connection Methods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Connection Type</w:t>
            </w:r>
          </w:p>
        </w:tc>
        <w:tc>
          <w:tcPr>
            <w:tcW w:type="dxa" w:w="2160"/>
          </w:tcPr>
          <w:p>
            <w:pPr/>
            <w:r>
              <w:rPr>
                <w:b/>
                <w:sz w:val="18"/>
              </w:rPr>
              <w:t>Speed</w:t>
            </w:r>
          </w:p>
        </w:tc>
        <w:tc>
          <w:tcPr>
            <w:tcW w:type="dxa" w:w="2160"/>
          </w:tcPr>
          <w:p>
            <w:pPr/>
            <w:r>
              <w:rPr>
                <w:b/>
                <w:sz w:val="18"/>
              </w:rPr>
              <w:t>Description</w:t>
            </w:r>
          </w:p>
        </w:tc>
        <w:tc>
          <w:tcPr>
            <w:tcW w:type="dxa" w:w="2160"/>
          </w:tcPr>
          <w:p>
            <w:pPr/>
            <w:r>
              <w:rPr>
                <w:b/>
                <w:sz w:val="18"/>
              </w:rPr>
              <w:t>Monthly Cost</w:t>
            </w:r>
          </w:p>
        </w:tc>
      </w:tr>
      <w:tr>
        <w:tc>
          <w:tcPr>
            <w:tcW w:type="dxa" w:w="2160"/>
          </w:tcPr>
          <w:p>
            <w:pPr/>
            <w:r>
              <w:rPr>
                <w:sz w:val="18"/>
              </w:rPr>
              <w:t>**CME GLink**</w:t>
            </w:r>
          </w:p>
        </w:tc>
        <w:tc>
          <w:tcPr>
            <w:tcW w:type="dxa" w:w="2160"/>
          </w:tcPr>
          <w:p>
            <w:pPr/>
            <w:r>
              <w:rPr>
                <w:sz w:val="18"/>
              </w:rPr>
              <w:t>10 Gbps</w:t>
            </w:r>
          </w:p>
        </w:tc>
        <w:tc>
          <w:tcPr>
            <w:tcW w:type="dxa" w:w="2160"/>
          </w:tcPr>
          <w:p>
            <w:pPr/>
            <w:r>
              <w:rPr>
                <w:sz w:val="18"/>
              </w:rPr>
              <w:t>Equidistant, low-latency cross-connect within Aurora co-location facility</w:t>
            </w:r>
          </w:p>
        </w:tc>
        <w:tc>
          <w:tcPr>
            <w:tcW w:type="dxa" w:w="2160"/>
          </w:tcPr>
          <w:p>
            <w:pPr/>
            <w:r>
              <w:rPr>
                <w:sz w:val="18"/>
              </w:rPr>
              <w:t>~$2,000/month</w:t>
            </w:r>
          </w:p>
        </w:tc>
      </w:tr>
      <w:tr>
        <w:tc>
          <w:tcPr>
            <w:tcW w:type="dxa" w:w="2160"/>
          </w:tcPr>
          <w:p>
            <w:pPr/>
            <w:r>
              <w:rPr>
                <w:sz w:val="18"/>
              </w:rPr>
              <w:t>**CME EConnect**</w:t>
            </w:r>
          </w:p>
        </w:tc>
        <w:tc>
          <w:tcPr>
            <w:tcW w:type="dxa" w:w="2160"/>
          </w:tcPr>
          <w:p>
            <w:pPr/>
            <w:r>
              <w:rPr>
                <w:sz w:val="18"/>
              </w:rPr>
              <w:t>Various</w:t>
            </w:r>
          </w:p>
        </w:tc>
        <w:tc>
          <w:tcPr>
            <w:tcW w:type="dxa" w:w="2160"/>
          </w:tcPr>
          <w:p>
            <w:pPr/>
            <w:r>
              <w:rPr>
                <w:sz w:val="18"/>
              </w:rPr>
              <w:t>Managed network connectivity for non-co-located participants</w:t>
            </w:r>
          </w:p>
        </w:tc>
        <w:tc>
          <w:tcPr>
            <w:tcW w:type="dxa" w:w="2160"/>
          </w:tcPr>
          <w:p>
            <w:pPr/>
            <w:r>
              <w:rPr>
                <w:sz w:val="18"/>
              </w:rPr>
              <w:t>Varies</w:t>
            </w:r>
          </w:p>
        </w:tc>
      </w:tr>
      <w:tr>
        <w:tc>
          <w:tcPr>
            <w:tcW w:type="dxa" w:w="2160"/>
          </w:tcPr>
          <w:p>
            <w:pPr/>
            <w:r>
              <w:rPr>
                <w:sz w:val="18"/>
              </w:rPr>
              <w:t>**LNet**</w:t>
            </w:r>
          </w:p>
        </w:tc>
        <w:tc>
          <w:tcPr>
            <w:tcW w:type="dxa" w:w="2160"/>
          </w:tcPr>
          <w:p>
            <w:pPr/>
            <w:r>
              <w:rPr>
                <w:sz w:val="18"/>
              </w:rPr>
              <w:t>Various</w:t>
            </w:r>
          </w:p>
        </w:tc>
        <w:tc>
          <w:tcPr>
            <w:tcW w:type="dxa" w:w="2160"/>
          </w:tcPr>
          <w:p>
            <w:pPr/>
            <w:r>
              <w:rPr>
                <w:sz w:val="18"/>
              </w:rPr>
              <w:t>Shared network infrastructure</w:t>
            </w:r>
          </w:p>
        </w:tc>
        <w:tc>
          <w:tcPr>
            <w:tcW w:type="dxa" w:w="2160"/>
          </w:tcPr>
          <w:p>
            <w:pPr/>
            <w:r>
              <w:rPr>
                <w:sz w:val="18"/>
              </w:rPr>
              <w:t>Varies</w:t>
            </w:r>
          </w:p>
        </w:tc>
      </w:tr>
      <w:tr>
        <w:tc>
          <w:tcPr>
            <w:tcW w:type="dxa" w:w="2160"/>
          </w:tcPr>
          <w:p>
            <w:pPr/>
            <w:r>
              <w:rPr>
                <w:sz w:val="18"/>
              </w:rPr>
              <w:t>**Internet**</w:t>
            </w:r>
          </w:p>
        </w:tc>
        <w:tc>
          <w:tcPr>
            <w:tcW w:type="dxa" w:w="2160"/>
          </w:tcPr>
          <w:p>
            <w:pPr/>
            <w:r>
              <w:rPr>
                <w:sz w:val="18"/>
              </w:rPr>
              <w:t>Various</w:t>
            </w:r>
          </w:p>
        </w:tc>
        <w:tc>
          <w:tcPr>
            <w:tcW w:type="dxa" w:w="2160"/>
          </w:tcPr>
          <w:p>
            <w:pPr/>
            <w:r>
              <w:rPr>
                <w:sz w:val="18"/>
              </w:rPr>
              <w:t>For non-latency-sensitive applications (CME STP, risk tools)</w:t>
            </w:r>
          </w:p>
        </w:tc>
        <w:tc>
          <w:tcPr>
            <w:tcW w:type="dxa" w:w="2160"/>
          </w:tcPr>
          <w:p>
            <w:pPr/>
            <w:r>
              <w:rPr>
                <w:sz w:val="18"/>
              </w:rPr>
              <w:t>Varies</w:t>
            </w:r>
          </w:p>
        </w:tc>
      </w:tr>
      <w:tr>
        <w:tc>
          <w:tcPr>
            <w:tcW w:type="dxa" w:w="2160"/>
          </w:tcPr>
          <w:p>
            <w:pPr/>
            <w:r>
              <w:rPr>
                <w:sz w:val="18"/>
              </w:rPr>
              <w:t>**Third-Party Networks**</w:t>
            </w:r>
          </w:p>
        </w:tc>
        <w:tc>
          <w:tcPr>
            <w:tcW w:type="dxa" w:w="2160"/>
          </w:tcPr>
          <w:p>
            <w:pPr/>
            <w:r>
              <w:rPr>
                <w:sz w:val="18"/>
              </w:rPr>
              <w:t>Various</w:t>
            </w:r>
          </w:p>
        </w:tc>
        <w:tc>
          <w:tcPr>
            <w:tcW w:type="dxa" w:w="2160"/>
          </w:tcPr>
          <w:p>
            <w:pPr/>
            <w:r>
              <w:rPr>
                <w:sz w:val="18"/>
              </w:rPr>
              <w:t>Via telecom/network providers (e.g., BT Radianz, TNS, Avelacom)</w:t>
            </w:r>
          </w:p>
        </w:tc>
        <w:tc>
          <w:tcPr>
            <w:tcW w:type="dxa" w:w="2160"/>
          </w:tcPr>
          <w:p>
            <w:pPr/>
            <w:r>
              <w:rPr>
                <w:sz w:val="18"/>
              </w:rPr>
              <w:t>Varies by provider</w:t>
            </w:r>
          </w:p>
        </w:tc>
      </w:tr>
    </w:tbl>
    <w:p/>
    <w:p>
      <w:pPr>
        <w:pStyle w:val="Heading3"/>
      </w:pPr>
      <w:r>
        <w:t>7.3 Co-Location Services</w:t>
      </w:r>
    </w:p>
    <w:p>
      <w:pPr>
        <w:pStyle w:val="ListBullet"/>
      </w:pPr>
      <w:r>
        <w:t>Location: CyrusOne Aurora facility, Aurora, IL</w:t>
      </w:r>
    </w:p>
    <w:p>
      <w:pPr>
        <w:pStyle w:val="ListBullet"/>
      </w:pPr>
      <w:r>
        <w:t>Facility Size: ~428,000 sq ft (DC3)</w:t>
      </w:r>
    </w:p>
    <w:p>
      <w:pPr>
        <w:pStyle w:val="ListBullet"/>
      </w:pPr>
      <w:r>
        <w:t>Power Tiers: 4.25 kW, 8.5 kW, or 17 kW per cabinet</w:t>
      </w:r>
    </w:p>
    <w:p>
      <w:pPr>
        <w:pStyle w:val="ListBullet"/>
      </w:pPr>
      <w:r>
        <w:t>Power Infrastructure: Two 138 kV utility services through separate generation plants (92 MW redundant, 184 MW total)</w:t>
      </w:r>
    </w:p>
    <w:p>
      <w:pPr>
        <w:pStyle w:val="ListBullet"/>
      </w:pPr>
      <w:r>
        <w:t>Equidistant Cabling: All co-located participants have equal cable length to matching engines, ensuring fair access</w:t>
      </w:r>
    </w:p>
    <w:p>
      <w:pPr>
        <w:pStyle w:val="ListBullet"/>
      </w:pPr>
      <w:r>
        <w:t>Minimum Commitment: 12 months per connection</w:t>
      </w:r>
    </w:p>
    <w:p>
      <w:pPr>
        <w:pStyle w:val="Heading3"/>
      </w:pPr>
      <w:r>
        <w:t>7.4 API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API / Protocol</w:t>
            </w:r>
          </w:p>
        </w:tc>
        <w:tc>
          <w:tcPr>
            <w:tcW w:type="dxa" w:w="2880"/>
          </w:tcPr>
          <w:p>
            <w:pPr/>
            <w:r>
              <w:rPr>
                <w:b/>
                <w:sz w:val="18"/>
              </w:rPr>
              <w:t>Purpose</w:t>
            </w:r>
          </w:p>
        </w:tc>
        <w:tc>
          <w:tcPr>
            <w:tcW w:type="dxa" w:w="2880"/>
          </w:tcPr>
          <w:p>
            <w:pPr/>
            <w:r>
              <w:rPr>
                <w:b/>
                <w:sz w:val="18"/>
              </w:rPr>
              <w:t>Encoding</w:t>
            </w:r>
          </w:p>
        </w:tc>
      </w:tr>
      <w:tr>
        <w:tc>
          <w:tcPr>
            <w:tcW w:type="dxa" w:w="2880"/>
          </w:tcPr>
          <w:p>
            <w:pPr/>
            <w:r>
              <w:rPr>
                <w:sz w:val="18"/>
              </w:rPr>
              <w:t>**iLink 3**</w:t>
            </w:r>
          </w:p>
        </w:tc>
        <w:tc>
          <w:tcPr>
            <w:tcW w:type="dxa" w:w="2880"/>
          </w:tcPr>
          <w:p>
            <w:pPr/>
            <w:r>
              <w:rPr>
                <w:sz w:val="18"/>
              </w:rPr>
              <w:t>Order entry and execution</w:t>
            </w:r>
          </w:p>
        </w:tc>
        <w:tc>
          <w:tcPr>
            <w:tcW w:type="dxa" w:w="2880"/>
          </w:tcPr>
          <w:p>
            <w:pPr/>
            <w:r>
              <w:rPr>
                <w:sz w:val="18"/>
              </w:rPr>
              <w:t>FIX SBE (binary) / FIXP session</w:t>
            </w:r>
          </w:p>
        </w:tc>
      </w:tr>
      <w:tr>
        <w:tc>
          <w:tcPr>
            <w:tcW w:type="dxa" w:w="2880"/>
          </w:tcPr>
          <w:p>
            <w:pPr/>
            <w:r>
              <w:rPr>
                <w:sz w:val="18"/>
              </w:rPr>
              <w:t>**MDP 3.0**</w:t>
            </w:r>
          </w:p>
        </w:tc>
        <w:tc>
          <w:tcPr>
            <w:tcW w:type="dxa" w:w="2880"/>
          </w:tcPr>
          <w:p>
            <w:pPr/>
            <w:r>
              <w:rPr>
                <w:sz w:val="18"/>
              </w:rPr>
              <w:t>Market data dissemination</w:t>
            </w:r>
          </w:p>
        </w:tc>
        <w:tc>
          <w:tcPr>
            <w:tcW w:type="dxa" w:w="2880"/>
          </w:tcPr>
          <w:p>
            <w:pPr/>
            <w:r>
              <w:rPr>
                <w:sz w:val="18"/>
              </w:rPr>
              <w:t>FIX SBE / UDP multicast or TCP</w:t>
            </w:r>
          </w:p>
        </w:tc>
      </w:tr>
      <w:tr>
        <w:tc>
          <w:tcPr>
            <w:tcW w:type="dxa" w:w="2880"/>
          </w:tcPr>
          <w:p>
            <w:pPr/>
            <w:r>
              <w:rPr>
                <w:sz w:val="18"/>
              </w:rPr>
              <w:t>**CME STP FIX**</w:t>
            </w:r>
          </w:p>
        </w:tc>
        <w:tc>
          <w:tcPr>
            <w:tcW w:type="dxa" w:w="2880"/>
          </w:tcPr>
          <w:p>
            <w:pPr/>
            <w:r>
              <w:rPr>
                <w:sz w:val="18"/>
              </w:rPr>
              <w:t>Trade notification / drop copy</w:t>
            </w:r>
          </w:p>
        </w:tc>
        <w:tc>
          <w:tcPr>
            <w:tcW w:type="dxa" w:w="2880"/>
          </w:tcPr>
          <w:p>
            <w:pPr/>
            <w:r>
              <w:rPr>
                <w:sz w:val="18"/>
              </w:rPr>
              <w:t>FIX (text) over TCP</w:t>
            </w:r>
          </w:p>
        </w:tc>
      </w:tr>
      <w:tr>
        <w:tc>
          <w:tcPr>
            <w:tcW w:type="dxa" w:w="2880"/>
          </w:tcPr>
          <w:p>
            <w:pPr/>
            <w:r>
              <w:rPr>
                <w:sz w:val="18"/>
              </w:rPr>
              <w:t>**CME SmartStream**</w:t>
            </w:r>
          </w:p>
        </w:tc>
        <w:tc>
          <w:tcPr>
            <w:tcW w:type="dxa" w:w="2880"/>
          </w:tcPr>
          <w:p>
            <w:pPr/>
            <w:r>
              <w:rPr>
                <w:sz w:val="18"/>
              </w:rPr>
              <w:t>Reference data and instruments</w:t>
            </w:r>
          </w:p>
        </w:tc>
        <w:tc>
          <w:tcPr>
            <w:tcW w:type="dxa" w:w="2880"/>
          </w:tcPr>
          <w:p>
            <w:pPr/>
            <w:r>
              <w:rPr>
                <w:sz w:val="18"/>
              </w:rPr>
              <w:t>Proprietary</w:t>
            </w:r>
          </w:p>
        </w:tc>
      </w:tr>
      <w:tr>
        <w:tc>
          <w:tcPr>
            <w:tcW w:type="dxa" w:w="2880"/>
          </w:tcPr>
          <w:p>
            <w:pPr/>
            <w:r>
              <w:rPr>
                <w:sz w:val="18"/>
              </w:rPr>
              <w:t>**CME Core**</w:t>
            </w:r>
          </w:p>
        </w:tc>
        <w:tc>
          <w:tcPr>
            <w:tcW w:type="dxa" w:w="2880"/>
          </w:tcPr>
          <w:p>
            <w:pPr/>
            <w:r>
              <w:rPr>
                <w:sz w:val="18"/>
              </w:rPr>
              <w:t>Clearing/settlement/position management</w:t>
            </w:r>
          </w:p>
        </w:tc>
        <w:tc>
          <w:tcPr>
            <w:tcW w:type="dxa" w:w="2880"/>
          </w:tcPr>
          <w:p>
            <w:pPr/>
            <w:r>
              <w:rPr>
                <w:sz w:val="18"/>
              </w:rPr>
              <w:t>Web-based / API</w:t>
            </w:r>
          </w:p>
        </w:tc>
      </w:tr>
    </w:tbl>
    <w:p/>
    <w:p>
      <w:pPr>
        <w:pStyle w:val="Heading3"/>
      </w:pPr>
      <w:r>
        <w:t>7.5 Certification (AutoCert+)</w:t>
      </w:r>
    </w:p>
    <w:p>
      <w:pPr>
        <w:pStyle w:val="ListBullet"/>
      </w:pPr>
      <w:r>
        <w:t>Mandatory: All client systems using iLink 3 for CME Globex access must complete AutoCert+ certification</w:t>
      </w:r>
    </w:p>
    <w:p>
      <w:pPr>
        <w:pStyle w:val="ListBullet"/>
      </w:pPr>
      <w:r>
        <w:t>Process: Automated testing tool with web-based interface; validates order entry, modification, cancellation, and special order functionalities</w:t>
      </w:r>
    </w:p>
    <w:p>
      <w:pPr>
        <w:pStyle w:val="ListBullet"/>
      </w:pPr>
      <w:r>
        <w:t>Scope: Covers audit trail compliance, order handling, and trade reporting scenarios</w:t>
      </w:r>
    </w:p>
    <w:p>
      <w:pPr>
        <w:pStyle w:val="ListBullet"/>
      </w:pPr>
      <w:r>
        <w:t>Recertification: Required for significant system changes or protocol version upgrades (e.g., iLink SBE schema v9 effective January 2026)</w:t>
      </w:r>
    </w:p>
    <w:p>
      <w:r>
        <w:t>[Source: CME Group, "Connectivity Options"; CME Group, "Co-Location and Data Center Services"; CME Group, "Develop to Globex"]</w:t>
      </w:r>
    </w:p>
    <w:p>
      <w:r>
        <w:t>────────────────────────────────────────────────────────────</w:t>
      </w:r>
    </w:p>
    <w:p>
      <w:pPr>
        <w:pStyle w:val="Heading2"/>
      </w:pPr>
      <w:r>
        <w:t>8. Risk Controls &amp; Circuit Breakers</w:t>
      </w:r>
    </w:p>
    <w:p>
      <w:pPr>
        <w:pStyle w:val="Heading3"/>
      </w:pPr>
      <w:r>
        <w:t>8.1 Price Limits</w:t>
      </w:r>
    </w:p>
    <w:p>
      <w:r>
        <w:t>U.S. Equity Index Futures: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Limit</w:t>
            </w:r>
          </w:p>
        </w:tc>
        <w:tc>
          <w:tcPr>
            <w:tcW w:type="dxa" w:w="2880"/>
          </w:tcPr>
          <w:p>
            <w:pPr/>
            <w:r>
              <w:rPr>
                <w:b/>
                <w:sz w:val="18"/>
              </w:rPr>
              <w:t>Action</w:t>
            </w:r>
          </w:p>
        </w:tc>
      </w:tr>
      <w:tr>
        <w:tc>
          <w:tcPr>
            <w:tcW w:type="dxa" w:w="2880"/>
          </w:tcPr>
          <w:p>
            <w:pPr/>
            <w:r>
              <w:rPr>
                <w:sz w:val="18"/>
              </w:rPr>
              <w:t>Overnight (5:00 PM – 8:30 AM CT)</w:t>
            </w:r>
          </w:p>
        </w:tc>
        <w:tc>
          <w:tcPr>
            <w:tcW w:type="dxa" w:w="2880"/>
          </w:tcPr>
          <w:p>
            <w:pPr/>
            <w:r>
              <w:rPr>
                <w:sz w:val="18"/>
              </w:rPr>
              <w:t>+/- 7% from prior settlement</w:t>
            </w:r>
          </w:p>
        </w:tc>
        <w:tc>
          <w:tcPr>
            <w:tcW w:type="dxa" w:w="2880"/>
          </w:tcPr>
          <w:p>
            <w:pPr/>
            <w:r>
              <w:rPr>
                <w:sz w:val="18"/>
              </w:rPr>
              <w:t>Market remains open at the limit; cannot trade beyond</w:t>
            </w:r>
          </w:p>
        </w:tc>
      </w:tr>
      <w:tr>
        <w:tc>
          <w:tcPr>
            <w:tcW w:type="dxa" w:w="2880"/>
          </w:tcPr>
          <w:p>
            <w:pPr/>
            <w:r>
              <w:rPr>
                <w:sz w:val="18"/>
              </w:rPr>
              <w:t>RTH (8:30 AM – 2:25 PM CT)</w:t>
            </w:r>
          </w:p>
        </w:tc>
        <w:tc>
          <w:tcPr>
            <w:tcW w:type="dxa" w:w="2880"/>
          </w:tcPr>
          <w:p>
            <w:pPr/>
            <w:r>
              <w:rPr>
                <w:sz w:val="18"/>
              </w:rPr>
              <w:t>-7% (Level 1)</w:t>
            </w:r>
          </w:p>
        </w:tc>
        <w:tc>
          <w:tcPr>
            <w:tcW w:type="dxa" w:w="2880"/>
          </w:tcPr>
          <w:p>
            <w:pPr/>
            <w:r>
              <w:rPr>
                <w:sz w:val="18"/>
              </w:rPr>
              <w:t>10-minute trading halt coordinated with securities markets</w:t>
            </w:r>
          </w:p>
        </w:tc>
      </w:tr>
      <w:tr>
        <w:tc>
          <w:tcPr>
            <w:tcW w:type="dxa" w:w="2880"/>
          </w:tcPr>
          <w:p>
            <w:pPr/>
            <w:r>
              <w:rPr>
                <w:sz w:val="18"/>
              </w:rPr>
              <w:t>RTH</w:t>
            </w:r>
          </w:p>
        </w:tc>
        <w:tc>
          <w:tcPr>
            <w:tcW w:type="dxa" w:w="2880"/>
          </w:tcPr>
          <w:p>
            <w:pPr/>
            <w:r>
              <w:rPr>
                <w:sz w:val="18"/>
              </w:rPr>
              <w:t>-13% (Level 2)</w:t>
            </w:r>
          </w:p>
        </w:tc>
        <w:tc>
          <w:tcPr>
            <w:tcW w:type="dxa" w:w="2880"/>
          </w:tcPr>
          <w:p>
            <w:pPr/>
            <w:r>
              <w:rPr>
                <w:sz w:val="18"/>
              </w:rPr>
              <w:t>10-minute trading halt</w:t>
            </w:r>
          </w:p>
        </w:tc>
      </w:tr>
      <w:tr>
        <w:tc>
          <w:tcPr>
            <w:tcW w:type="dxa" w:w="2880"/>
          </w:tcPr>
          <w:p>
            <w:pPr/>
            <w:r>
              <w:rPr>
                <w:sz w:val="18"/>
              </w:rPr>
              <w:t>RTH</w:t>
            </w:r>
          </w:p>
        </w:tc>
        <w:tc>
          <w:tcPr>
            <w:tcW w:type="dxa" w:w="2880"/>
          </w:tcPr>
          <w:p>
            <w:pPr/>
            <w:r>
              <w:rPr>
                <w:sz w:val="18"/>
              </w:rPr>
              <w:t>-20% (Level 3)</w:t>
            </w:r>
          </w:p>
        </w:tc>
        <w:tc>
          <w:tcPr>
            <w:tcW w:type="dxa" w:w="2880"/>
          </w:tcPr>
          <w:p>
            <w:pPr/>
            <w:r>
              <w:rPr>
                <w:sz w:val="18"/>
              </w:rPr>
              <w:t>Market closes for the remainder of the trading day</w:t>
            </w:r>
          </w:p>
        </w:tc>
      </w:tr>
    </w:tbl>
    <w:p/>
    <w:p>
      <w:r>
        <w:t>Dynamic Circuit Breakers:</w:t>
      </w:r>
    </w:p>
    <w:p>
      <w:pPr>
        <w:pStyle w:val="ListBullet"/>
      </w:pPr>
      <w:r>
        <w:t>Width of +/- 3.5% on a rolling 60-minute lookback window</w:t>
      </w:r>
    </w:p>
    <w:p>
      <w:pPr>
        <w:pStyle w:val="ListBullet"/>
      </w:pPr>
      <w:r>
        <w:t>If a contract moves beyond +/- 3.5% within one hour, trading is paused for 2 minutes</w:t>
      </w:r>
    </w:p>
    <w:p>
      <w:pPr>
        <w:pStyle w:val="ListBullet"/>
      </w:pPr>
      <w:r>
        <w:t>Applies to equity index products during overnight and extended sessions</w:t>
      </w:r>
    </w:p>
    <w:p>
      <w:r>
        <w:t>Commodity Price Limits (Examples):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Daily Price Limit</w:t>
            </w:r>
          </w:p>
        </w:tc>
        <w:tc>
          <w:tcPr>
            <w:tcW w:type="dxa" w:w="2880"/>
          </w:tcPr>
          <w:p>
            <w:pPr/>
            <w:r>
              <w:rPr>
                <w:b/>
                <w:sz w:val="18"/>
              </w:rPr>
              <w:t>Expanded Limit</w:t>
            </w:r>
          </w:p>
        </w:tc>
      </w:tr>
      <w:tr>
        <w:tc>
          <w:tcPr>
            <w:tcW w:type="dxa" w:w="2880"/>
          </w:tcPr>
          <w:p>
            <w:pPr/>
            <w:r>
              <w:rPr>
                <w:sz w:val="18"/>
              </w:rPr>
              <w:t>WTI Crude Oil (CL)</w:t>
            </w:r>
          </w:p>
        </w:tc>
        <w:tc>
          <w:tcPr>
            <w:tcW w:type="dxa" w:w="2880"/>
          </w:tcPr>
          <w:p>
            <w:pPr/>
            <w:r>
              <w:rPr>
                <w:sz w:val="18"/>
              </w:rPr>
              <w:t>$10/barrel</w:t>
            </w:r>
          </w:p>
        </w:tc>
        <w:tc>
          <w:tcPr>
            <w:tcW w:type="dxa" w:w="2880"/>
          </w:tcPr>
          <w:p>
            <w:pPr/>
            <w:r>
              <w:rPr>
                <w:sz w:val="18"/>
              </w:rPr>
              <w:t>Expanded to $15 if limit hit</w:t>
            </w:r>
          </w:p>
        </w:tc>
      </w:tr>
      <w:tr>
        <w:tc>
          <w:tcPr>
            <w:tcW w:type="dxa" w:w="2880"/>
          </w:tcPr>
          <w:p>
            <w:pPr/>
            <w:r>
              <w:rPr>
                <w:sz w:val="18"/>
              </w:rPr>
              <w:t>Gold (GC)</w:t>
            </w:r>
          </w:p>
        </w:tc>
        <w:tc>
          <w:tcPr>
            <w:tcW w:type="dxa" w:w="2880"/>
          </w:tcPr>
          <w:p>
            <w:pPr/>
            <w:r>
              <w:rPr>
                <w:sz w:val="18"/>
              </w:rPr>
              <w:t>Dynamic circuit breaker (+/- 10% rolling 60-min)</w:t>
            </w:r>
          </w:p>
        </w:tc>
        <w:tc>
          <w:tcPr>
            <w:tcW w:type="dxa" w:w="2880"/>
          </w:tcPr>
          <w:p>
            <w:pPr/>
            <w:r>
              <w:rPr>
                <w:sz w:val="18"/>
              </w:rPr>
              <w:t>2-minute pause</w:t>
            </w:r>
          </w:p>
        </w:tc>
      </w:tr>
      <w:tr>
        <w:tc>
          <w:tcPr>
            <w:tcW w:type="dxa" w:w="2880"/>
          </w:tcPr>
          <w:p>
            <w:pPr/>
            <w:r>
              <w:rPr>
                <w:sz w:val="18"/>
              </w:rPr>
              <w:t>Corn (ZC)</w:t>
            </w:r>
          </w:p>
        </w:tc>
        <w:tc>
          <w:tcPr>
            <w:tcW w:type="dxa" w:w="2880"/>
          </w:tcPr>
          <w:p>
            <w:pPr/>
            <w:r>
              <w:rPr>
                <w:sz w:val="18"/>
              </w:rPr>
              <w:t>$0.40/bushel</w:t>
            </w:r>
          </w:p>
        </w:tc>
        <w:tc>
          <w:tcPr>
            <w:tcW w:type="dxa" w:w="2880"/>
          </w:tcPr>
          <w:p>
            <w:pPr/>
            <w:r>
              <w:rPr>
                <w:sz w:val="18"/>
              </w:rPr>
              <w:t>Expanded to $0.60, then $0.90</w:t>
            </w:r>
          </w:p>
        </w:tc>
      </w:tr>
      <w:tr>
        <w:tc>
          <w:tcPr>
            <w:tcW w:type="dxa" w:w="2880"/>
          </w:tcPr>
          <w:p>
            <w:pPr/>
            <w:r>
              <w:rPr>
                <w:sz w:val="18"/>
              </w:rPr>
              <w:t>Soybeans (ZS)</w:t>
            </w:r>
          </w:p>
        </w:tc>
        <w:tc>
          <w:tcPr>
            <w:tcW w:type="dxa" w:w="2880"/>
          </w:tcPr>
          <w:p>
            <w:pPr/>
            <w:r>
              <w:rPr>
                <w:sz w:val="18"/>
              </w:rPr>
              <w:t>$1.00/bushel</w:t>
            </w:r>
          </w:p>
        </w:tc>
        <w:tc>
          <w:tcPr>
            <w:tcW w:type="dxa" w:w="2880"/>
          </w:tcPr>
          <w:p>
            <w:pPr/>
            <w:r>
              <w:rPr>
                <w:sz w:val="18"/>
              </w:rPr>
              <w:t>Expanded to $1.50, then $2.25</w:t>
            </w:r>
          </w:p>
        </w:tc>
      </w:tr>
    </w:tbl>
    <w:p/>
    <w:p>
      <w:r>
        <w:t>[Source: CME Group, "Price Limits"; CME Group, "Understanding Price Limits and Circuit Breakers"]</w:t>
      </w:r>
    </w:p>
    <w:p>
      <w:pPr>
        <w:pStyle w:val="Heading3"/>
      </w:pPr>
      <w:r>
        <w:t>8.2 Pre-Trade Risk Controls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Control</w:t>
            </w:r>
          </w:p>
        </w:tc>
        <w:tc>
          <w:tcPr>
            <w:tcW w:type="dxa" w:w="4320"/>
          </w:tcPr>
          <w:p>
            <w:pPr/>
            <w:r>
              <w:rPr>
                <w:b/>
                <w:sz w:val="18"/>
              </w:rPr>
              <w:t>Description</w:t>
            </w:r>
          </w:p>
        </w:tc>
      </w:tr>
      <w:tr>
        <w:tc>
          <w:tcPr>
            <w:tcW w:type="dxa" w:w="4320"/>
          </w:tcPr>
          <w:p>
            <w:pPr/>
            <w:r>
              <w:rPr>
                <w:sz w:val="18"/>
              </w:rPr>
              <w:t>**Market Order Protection**</w:t>
            </w:r>
          </w:p>
        </w:tc>
        <w:tc>
          <w:tcPr>
            <w:tcW w:type="dxa" w:w="4320"/>
          </w:tcPr>
          <w:p>
            <w:pPr/>
            <w:r>
              <w:rPr>
                <w:sz w:val="18"/>
              </w:rPr>
              <w:t>"Protected range" prevents market/stop orders from filling at extreme prices beyond a pre-defined band</w:t>
            </w:r>
          </w:p>
        </w:tc>
      </w:tr>
      <w:tr>
        <w:tc>
          <w:tcPr>
            <w:tcW w:type="dxa" w:w="4320"/>
          </w:tcPr>
          <w:p>
            <w:pPr/>
            <w:r>
              <w:rPr>
                <w:sz w:val="18"/>
              </w:rPr>
              <w:t>**Maximum Order Size**</w:t>
            </w:r>
          </w:p>
        </w:tc>
        <w:tc>
          <w:tcPr>
            <w:tcW w:type="dxa" w:w="4320"/>
          </w:tcPr>
          <w:p>
            <w:pPr/>
            <w:r>
              <w:rPr>
                <w:sz w:val="18"/>
              </w:rPr>
              <w:t>Clearing firms set maximum order quantity limits per product per customer</w:t>
            </w:r>
          </w:p>
        </w:tc>
      </w:tr>
      <w:tr>
        <w:tc>
          <w:tcPr>
            <w:tcW w:type="dxa" w:w="4320"/>
          </w:tcPr>
          <w:p>
            <w:pPr/>
            <w:r>
              <w:rPr>
                <w:sz w:val="18"/>
              </w:rPr>
              <w:t>**Globex Credit Controls (GC2)**</w:t>
            </w:r>
          </w:p>
        </w:tc>
        <w:tc>
          <w:tcPr>
            <w:tcW w:type="dxa" w:w="4320"/>
          </w:tcPr>
          <w:p>
            <w:pPr/>
            <w:r>
              <w:rPr>
                <w:sz w:val="18"/>
              </w:rPr>
              <w:t>Exchange-provided GUI for clearing firms to set real-time, pre-execution risk limits per account</w:t>
            </w:r>
          </w:p>
        </w:tc>
      </w:tr>
      <w:tr>
        <w:tc>
          <w:tcPr>
            <w:tcW w:type="dxa" w:w="4320"/>
          </w:tcPr>
          <w:p>
            <w:pPr/>
            <w:r>
              <w:rPr>
                <w:sz w:val="18"/>
              </w:rPr>
              <w:t>**Inline Credit Controls (ICC)**</w:t>
            </w:r>
          </w:p>
        </w:tc>
        <w:tc>
          <w:tcPr>
            <w:tcW w:type="dxa" w:w="4320"/>
          </w:tcPr>
          <w:p>
            <w:pPr/>
            <w:r>
              <w:rPr>
                <w:sz w:val="18"/>
              </w:rPr>
              <w:t>Granular, per-product, account-level daily position limits set by clearing members and executing firms</w:t>
            </w:r>
          </w:p>
        </w:tc>
      </w:tr>
      <w:tr>
        <w:tc>
          <w:tcPr>
            <w:tcW w:type="dxa" w:w="4320"/>
          </w:tcPr>
          <w:p>
            <w:pPr/>
            <w:r>
              <w:rPr>
                <w:sz w:val="18"/>
              </w:rPr>
              <w:t>**Price Banding**</w:t>
            </w:r>
          </w:p>
        </w:tc>
        <w:tc>
          <w:tcPr>
            <w:tcW w:type="dxa" w:w="4320"/>
          </w:tcPr>
          <w:p>
            <w:pPr/>
            <w:r>
              <w:rPr>
                <w:sz w:val="18"/>
              </w:rPr>
              <w:t>Rejects orders outside a dynamic acceptable price range around the current market</w:t>
            </w:r>
          </w:p>
        </w:tc>
      </w:tr>
      <w:tr>
        <w:tc>
          <w:tcPr>
            <w:tcW w:type="dxa" w:w="4320"/>
          </w:tcPr>
          <w:p>
            <w:pPr/>
            <w:r>
              <w:rPr>
                <w:sz w:val="18"/>
              </w:rPr>
              <w:t>**Self-Trade Prevention (STP)**</w:t>
            </w:r>
          </w:p>
        </w:tc>
        <w:tc>
          <w:tcPr>
            <w:tcW w:type="dxa" w:w="4320"/>
          </w:tcPr>
          <w:p>
            <w:pPr/>
            <w:r>
              <w:rPr>
                <w:sz w:val="18"/>
              </w:rPr>
              <w:t>Configurable to prevent self-matching of orders from the same firm/account</w:t>
            </w:r>
          </w:p>
        </w:tc>
      </w:tr>
      <w:tr>
        <w:tc>
          <w:tcPr>
            <w:tcW w:type="dxa" w:w="4320"/>
          </w:tcPr>
          <w:p>
            <w:pPr/>
            <w:r>
              <w:rPr>
                <w:sz w:val="18"/>
              </w:rPr>
              <w:t>**Cancel on Disconnect**</w:t>
            </w:r>
          </w:p>
        </w:tc>
        <w:tc>
          <w:tcPr>
            <w:tcW w:type="dxa" w:w="4320"/>
          </w:tcPr>
          <w:p>
            <w:pPr/>
            <w:r>
              <w:rPr>
                <w:sz w:val="18"/>
              </w:rPr>
              <w:t>Automatically cancels all working orders upon iLink session disconnect</w:t>
            </w:r>
          </w:p>
        </w:tc>
      </w:tr>
    </w:tbl>
    <w:p/>
    <w:p>
      <w:pPr>
        <w:pStyle w:val="Heading3"/>
      </w:pPr>
      <w:r>
        <w:t>8.3 Kill Switch</w:t>
      </w:r>
    </w:p>
    <w:p>
      <w:r>
        <w:t>CME Group provides a multi-level Kill Switch facility: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Level</w:t>
            </w:r>
          </w:p>
        </w:tc>
        <w:tc>
          <w:tcPr>
            <w:tcW w:type="dxa" w:w="2880"/>
          </w:tcPr>
          <w:p>
            <w:pPr/>
            <w:r>
              <w:rPr>
                <w:b/>
                <w:sz w:val="18"/>
              </w:rPr>
              <w:t>Scope</w:t>
            </w:r>
          </w:p>
        </w:tc>
        <w:tc>
          <w:tcPr>
            <w:tcW w:type="dxa" w:w="2880"/>
          </w:tcPr>
          <w:p>
            <w:pPr/>
            <w:r>
              <w:rPr>
                <w:b/>
                <w:sz w:val="18"/>
              </w:rPr>
              <w:t>Description</w:t>
            </w:r>
          </w:p>
        </w:tc>
      </w:tr>
      <w:tr>
        <w:tc>
          <w:tcPr>
            <w:tcW w:type="dxa" w:w="2880"/>
          </w:tcPr>
          <w:p>
            <w:pPr/>
            <w:r>
              <w:rPr>
                <w:sz w:val="18"/>
              </w:rPr>
              <w:t>**SenderComp**</w:t>
            </w:r>
          </w:p>
        </w:tc>
        <w:tc>
          <w:tcPr>
            <w:tcW w:type="dxa" w:w="2880"/>
          </w:tcPr>
          <w:p>
            <w:pPr/>
            <w:r>
              <w:rPr>
                <w:sz w:val="18"/>
              </w:rPr>
              <w:t>Most granular</w:t>
            </w:r>
          </w:p>
        </w:tc>
        <w:tc>
          <w:tcPr>
            <w:tcW w:type="dxa" w:w="2880"/>
          </w:tcPr>
          <w:p>
            <w:pPr/>
            <w:r>
              <w:rPr>
                <w:sz w:val="18"/>
              </w:rPr>
              <w:t>Cancels all orders for a specific iLink session ID</w:t>
            </w:r>
          </w:p>
        </w:tc>
      </w:tr>
      <w:tr>
        <w:tc>
          <w:tcPr>
            <w:tcW w:type="dxa" w:w="2880"/>
          </w:tcPr>
          <w:p>
            <w:pPr/>
            <w:r>
              <w:rPr>
                <w:sz w:val="18"/>
              </w:rPr>
              <w:t>**Execution Firm (EF)**</w:t>
            </w:r>
          </w:p>
        </w:tc>
        <w:tc>
          <w:tcPr>
            <w:tcW w:type="dxa" w:w="2880"/>
          </w:tcPr>
          <w:p>
            <w:pPr/>
            <w:r>
              <w:rPr>
                <w:sz w:val="18"/>
              </w:rPr>
              <w:t>Mid-level</w:t>
            </w:r>
          </w:p>
        </w:tc>
        <w:tc>
          <w:tcPr>
            <w:tcW w:type="dxa" w:w="2880"/>
          </w:tcPr>
          <w:p>
            <w:pPr/>
            <w:r>
              <w:rPr>
                <w:sz w:val="18"/>
              </w:rPr>
              <w:t>Cancels all orders for all sessions under an execution firm</w:t>
            </w:r>
          </w:p>
        </w:tc>
      </w:tr>
      <w:tr>
        <w:tc>
          <w:tcPr>
            <w:tcW w:type="dxa" w:w="2880"/>
          </w:tcPr>
          <w:p>
            <w:pPr/>
            <w:r>
              <w:rPr>
                <w:sz w:val="18"/>
              </w:rPr>
              <w:t>**Legal Clearing Entity (LCE)**</w:t>
            </w:r>
          </w:p>
        </w:tc>
        <w:tc>
          <w:tcPr>
            <w:tcW w:type="dxa" w:w="2880"/>
          </w:tcPr>
          <w:p>
            <w:pPr/>
            <w:r>
              <w:rPr>
                <w:sz w:val="18"/>
              </w:rPr>
              <w:t>Highest level</w:t>
            </w:r>
          </w:p>
        </w:tc>
        <w:tc>
          <w:tcPr>
            <w:tcW w:type="dxa" w:w="2880"/>
          </w:tcPr>
          <w:p>
            <w:pPr/>
            <w:r>
              <w:rPr>
                <w:sz w:val="18"/>
              </w:rPr>
              <w:t>Cancels all orders across all execution firms under a clearing entity</w:t>
            </w:r>
          </w:p>
        </w:tc>
      </w:tr>
    </w:tbl>
    <w:p/>
    <w:p>
      <w:pPr>
        <w:pStyle w:val="ListBullet"/>
      </w:pPr>
      <w:r>
        <w:t>Blocking takes less than one second</w:t>
      </w:r>
    </w:p>
    <w:p>
      <w:pPr>
        <w:pStyle w:val="ListBullet"/>
      </w:pPr>
      <w:r>
        <w:t>Cascading cancellations of all resting orders follow</w:t>
      </w:r>
    </w:p>
    <w:p>
      <w:pPr>
        <w:pStyle w:val="ListBullet"/>
      </w:pPr>
      <w:r>
        <w:t>Available during Pre-Open, Open, Pause, Post Close, and Reserve market states</w:t>
      </w:r>
    </w:p>
    <w:p>
      <w:pPr>
        <w:pStyle w:val="ListBullet"/>
      </w:pPr>
      <w:r>
        <w:t>Accessible via GC2 GUI or API</w:t>
      </w:r>
    </w:p>
    <w:p>
      <w:pPr>
        <w:pStyle w:val="Heading3"/>
      </w:pPr>
      <w:r>
        <w:t>8.4 CME Clearing Financial Safeguards (Default Waterfall)</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Description</w:t>
            </w:r>
          </w:p>
        </w:tc>
      </w:tr>
      <w:tr>
        <w:tc>
          <w:tcPr>
            <w:tcW w:type="dxa" w:w="4320"/>
          </w:tcPr>
          <w:p>
            <w:pPr/>
            <w:r>
              <w:rPr>
                <w:sz w:val="18"/>
              </w:rPr>
              <w:t>1. Defaulted Member's Resources</w:t>
            </w:r>
          </w:p>
        </w:tc>
        <w:tc>
          <w:tcPr>
            <w:tcW w:type="dxa" w:w="4320"/>
          </w:tcPr>
          <w:p>
            <w:pPr/>
            <w:r>
              <w:rPr>
                <w:sz w:val="18"/>
              </w:rPr>
              <w:t>Performance bond collateral + guaranty fund contribution of the defaulted member</w:t>
            </w:r>
          </w:p>
        </w:tc>
      </w:tr>
      <w:tr>
        <w:tc>
          <w:tcPr>
            <w:tcW w:type="dxa" w:w="4320"/>
          </w:tcPr>
          <w:p>
            <w:pPr/>
            <w:r>
              <w:rPr>
                <w:sz w:val="18"/>
              </w:rPr>
              <w:t>2. CME Clearing's Contribution</w:t>
            </w:r>
          </w:p>
        </w:tc>
        <w:tc>
          <w:tcPr>
            <w:tcW w:type="dxa" w:w="4320"/>
          </w:tcPr>
          <w:p>
            <w:pPr/>
            <w:r>
              <w:rPr>
                <w:sz w:val="18"/>
              </w:rPr>
              <w:t>Pre-funded at $100M (Base products) / $150M (IRS products)</w:t>
            </w:r>
          </w:p>
        </w:tc>
      </w:tr>
      <w:tr>
        <w:tc>
          <w:tcPr>
            <w:tcW w:type="dxa" w:w="4320"/>
          </w:tcPr>
          <w:p>
            <w:pPr/>
            <w:r>
              <w:rPr>
                <w:sz w:val="18"/>
              </w:rPr>
              <w:t>3. Guaranty Fund (Non-Defaulting Members)</w:t>
            </w:r>
          </w:p>
        </w:tc>
        <w:tc>
          <w:tcPr>
            <w:tcW w:type="dxa" w:w="4320"/>
          </w:tcPr>
          <w:p>
            <w:pPr/>
            <w:r>
              <w:rPr>
                <w:sz w:val="18"/>
              </w:rPr>
              <w:t>Mutualized fund contributions from all non-defaulting clearing members</w:t>
            </w:r>
          </w:p>
        </w:tc>
      </w:tr>
      <w:tr>
        <w:tc>
          <w:tcPr>
            <w:tcW w:type="dxa" w:w="4320"/>
          </w:tcPr>
          <w:p>
            <w:pPr/>
            <w:r>
              <w:rPr>
                <w:sz w:val="18"/>
              </w:rPr>
              <w:t>4. Assessments</w:t>
            </w:r>
          </w:p>
        </w:tc>
        <w:tc>
          <w:tcPr>
            <w:tcW w:type="dxa" w:w="4320"/>
          </w:tcPr>
          <w:p>
            <w:pPr/>
            <w:r>
              <w:rPr>
                <w:sz w:val="18"/>
              </w:rPr>
              <w:t>Additional capped financial contributions from clearing members</w:t>
            </w:r>
          </w:p>
        </w:tc>
      </w:tr>
    </w:tbl>
    <w:p/>
    <w:p>
      <w:pPr>
        <w:pStyle w:val="ListBullet"/>
      </w:pPr>
      <w:r>
        <w:t>Guaranty fund sized to Cover 2 standard (two largest clearing members and affiliates)</w:t>
      </w:r>
    </w:p>
    <w:p>
      <w:pPr>
        <w:pStyle w:val="ListBullet"/>
      </w:pPr>
      <w:r>
        <w:t>CME Clearing has never utilized layers beyond the defaulted member's own resources to cure losses in any historical default</w:t>
      </w:r>
    </w:p>
    <w:p>
      <w:r>
        <w:t>[Source: CME Group, "Financial Safeguards"; CME Group, "Risk Management Tools"; CME Group, "Kill Switch"]</w:t>
      </w:r>
    </w:p>
    <w:p>
      <w:r>
        <w:t>────────────────────────────────────────────────────────────</w:t>
      </w:r>
    </w:p>
    <w:p>
      <w:pPr>
        <w:pStyle w:val="Heading2"/>
      </w:pPr>
      <w:r>
        <w:t>9. Regulatory Framework</w:t>
      </w:r>
    </w:p>
    <w:p>
      <w:pPr>
        <w:pStyle w:val="Heading3"/>
      </w:pPr>
      <w:r>
        <w:t>9.1 Primary Regulator</w:t>
      </w:r>
    </w:p>
    <w:p>
      <w:pPr>
        <w:pStyle w:val="ListBullet"/>
      </w:pPr>
      <w:r>
        <w:t>CFTC (Commodity Futures Trading Commission): Primary federal regulator for U.S. derivatives markets</w:t>
      </w:r>
    </w:p>
    <w:p>
      <w:pPr>
        <w:pStyle w:val="ListBullet"/>
      </w:pPr>
      <w:r>
        <w:t>CME, CBOT, NYMEX, and COMEX are each separately registered as Designated Contract Markets (DCMs)</w:t>
      </w:r>
    </w:p>
    <w:p>
      <w:pPr>
        <w:pStyle w:val="ListBullet"/>
      </w:pPr>
      <w:r>
        <w:t>CME Clearing is registered as a Derivatives Clearing Organization (DCO) and designated as a Systemically Important Financial Market Utility (SIFMU) under the Dodd-Frank Act</w:t>
      </w:r>
    </w:p>
    <w:p>
      <w:pPr>
        <w:pStyle w:val="Heading3"/>
      </w:pPr>
      <w:r>
        <w:t>9.2 Self-Regulatory Organization (SRO) Functions</w:t>
      </w:r>
    </w:p>
    <w:p>
      <w:r>
        <w:t>As SROs, CME Group exchanges perform:</w:t>
      </w:r>
    </w:p>
    <w:p>
      <w:pPr>
        <w:pStyle w:val="ListBullet"/>
      </w:pPr>
      <w:r>
        <w:t>Market surveillance: Real-time monitoring of trading activity for manipulation, spoofing, wash trading</w:t>
      </w:r>
    </w:p>
    <w:p>
      <w:pPr>
        <w:pStyle w:val="ListBullet"/>
      </w:pPr>
      <w:r>
        <w:t>Financial surveillance: Monitoring of clearing member capital adequacy, segregation compliance, and risk exposure</w:t>
      </w:r>
    </w:p>
    <w:p>
      <w:pPr>
        <w:pStyle w:val="ListBullet"/>
      </w:pPr>
      <w:r>
        <w:t>Rule enforcement: Investigation and discipline of rule violations</w:t>
      </w:r>
    </w:p>
    <w:p>
      <w:pPr>
        <w:pStyle w:val="ListBullet"/>
      </w:pPr>
      <w:r>
        <w:t>Audit and compliance: Regular examinations of member firms' operations, internal controls, and risk management</w:t>
      </w:r>
    </w:p>
    <w:p>
      <w:pPr>
        <w:pStyle w:val="ListBullet"/>
      </w:pPr>
      <w:r>
        <w:t>Joint Audit Committee (JAC): CME Group participates in the JAC, which coordinates financial surveillance across multiple U.S. futures exchanges to reduce regulatory burden on FCMs</w:t>
      </w:r>
    </w:p>
    <w:p>
      <w:pPr>
        <w:pStyle w:val="Heading3"/>
      </w:pPr>
      <w:r>
        <w:t>9.3 Key Regulations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Regulation</w:t>
            </w:r>
          </w:p>
        </w:tc>
        <w:tc>
          <w:tcPr>
            <w:tcW w:type="dxa" w:w="4320"/>
          </w:tcPr>
          <w:p>
            <w:pPr/>
            <w:r>
              <w:rPr>
                <w:b/>
                <w:sz w:val="18"/>
              </w:rPr>
              <w:t>Description</w:t>
            </w:r>
          </w:p>
        </w:tc>
      </w:tr>
      <w:tr>
        <w:tc>
          <w:tcPr>
            <w:tcW w:type="dxa" w:w="4320"/>
          </w:tcPr>
          <w:p>
            <w:pPr/>
            <w:r>
              <w:rPr>
                <w:sz w:val="18"/>
              </w:rPr>
              <w:t>**Commodity Exchange Act (CEA)**</w:t>
            </w:r>
          </w:p>
        </w:tc>
        <w:tc>
          <w:tcPr>
            <w:tcW w:type="dxa" w:w="4320"/>
          </w:tcPr>
          <w:p>
            <w:pPr/>
            <w:r>
              <w:rPr>
                <w:sz w:val="18"/>
              </w:rPr>
              <w:t>Federal law governing commodity futures and options trading in the U.S.</w:t>
            </w:r>
          </w:p>
        </w:tc>
      </w:tr>
      <w:tr>
        <w:tc>
          <w:tcPr>
            <w:tcW w:type="dxa" w:w="4320"/>
          </w:tcPr>
          <w:p>
            <w:pPr/>
            <w:r>
              <w:rPr>
                <w:sz w:val="18"/>
              </w:rPr>
              <w:t>**Dodd-Frank Wall Street Reform Act (2010)**</w:t>
            </w:r>
          </w:p>
        </w:tc>
        <w:tc>
          <w:tcPr>
            <w:tcW w:type="dxa" w:w="4320"/>
          </w:tcPr>
          <w:p>
            <w:pPr/>
            <w:r>
              <w:rPr>
                <w:sz w:val="18"/>
              </w:rPr>
              <w:t>Mandated clearing for standardized OTC swaps; enhanced position limits; swap reporting; registration of swap dealers</w:t>
            </w:r>
          </w:p>
        </w:tc>
      </w:tr>
      <w:tr>
        <w:tc>
          <w:tcPr>
            <w:tcW w:type="dxa" w:w="4320"/>
          </w:tcPr>
          <w:p>
            <w:pPr/>
            <w:r>
              <w:rPr>
                <w:sz w:val="18"/>
              </w:rPr>
              <w:t>**CFTC Regulation Part 39**</w:t>
            </w:r>
          </w:p>
        </w:tc>
        <w:tc>
          <w:tcPr>
            <w:tcW w:type="dxa" w:w="4320"/>
          </w:tcPr>
          <w:p>
            <w:pPr/>
            <w:r>
              <w:rPr>
                <w:sz w:val="18"/>
              </w:rPr>
              <w:t>Requirements for DCOs (clearinghouses) — risk management, financial resources, governance</w:t>
            </w:r>
          </w:p>
        </w:tc>
      </w:tr>
      <w:tr>
        <w:tc>
          <w:tcPr>
            <w:tcW w:type="dxa" w:w="4320"/>
          </w:tcPr>
          <w:p>
            <w:pPr/>
            <w:r>
              <w:rPr>
                <w:sz w:val="18"/>
              </w:rPr>
              <w:t>**CFTC Regulation Part 38**</w:t>
            </w:r>
          </w:p>
        </w:tc>
        <w:tc>
          <w:tcPr>
            <w:tcW w:type="dxa" w:w="4320"/>
          </w:tcPr>
          <w:p>
            <w:pPr/>
            <w:r>
              <w:rPr>
                <w:sz w:val="18"/>
              </w:rPr>
              <w:t>Requirements for DCMs — core principles including fair access, trade execution, market surveillance</w:t>
            </w:r>
          </w:p>
        </w:tc>
      </w:tr>
      <w:tr>
        <w:tc>
          <w:tcPr>
            <w:tcW w:type="dxa" w:w="4320"/>
          </w:tcPr>
          <w:p>
            <w:pPr/>
            <w:r>
              <w:rPr>
                <w:sz w:val="18"/>
              </w:rPr>
              <w:t>**CFTC Regulation Part 150**</w:t>
            </w:r>
          </w:p>
        </w:tc>
        <w:tc>
          <w:tcPr>
            <w:tcW w:type="dxa" w:w="4320"/>
          </w:tcPr>
          <w:p>
            <w:pPr/>
            <w:r>
              <w:rPr>
                <w:sz w:val="18"/>
              </w:rPr>
              <w:t>Federal speculative position limits for 25 referenced physical commodity contracts</w:t>
            </w:r>
          </w:p>
        </w:tc>
      </w:tr>
      <w:tr>
        <w:tc>
          <w:tcPr>
            <w:tcW w:type="dxa" w:w="4320"/>
          </w:tcPr>
          <w:p>
            <w:pPr/>
            <w:r>
              <w:rPr>
                <w:sz w:val="18"/>
              </w:rPr>
              <w:t>**CFTC Regulation Part 17/18**</w:t>
            </w:r>
          </w:p>
        </w:tc>
        <w:tc>
          <w:tcPr>
            <w:tcW w:type="dxa" w:w="4320"/>
          </w:tcPr>
          <w:p>
            <w:pPr/>
            <w:r>
              <w:rPr>
                <w:sz w:val="18"/>
              </w:rPr>
              <w:t>Large trader reporting requirements</w:t>
            </w:r>
          </w:p>
        </w:tc>
      </w:tr>
      <w:tr>
        <w:tc>
          <w:tcPr>
            <w:tcW w:type="dxa" w:w="4320"/>
          </w:tcPr>
          <w:p>
            <w:pPr/>
            <w:r>
              <w:rPr>
                <w:sz w:val="18"/>
              </w:rPr>
              <w:t>**Regulation AT (proposed)**</w:t>
            </w:r>
          </w:p>
        </w:tc>
        <w:tc>
          <w:tcPr>
            <w:tcW w:type="dxa" w:w="4320"/>
          </w:tcPr>
          <w:p>
            <w:pPr/>
            <w:r>
              <w:rPr>
                <w:sz w:val="18"/>
              </w:rPr>
              <w:t>Proposed rules for automated trading — risk controls, source code repository (not finalized)</w:t>
            </w:r>
          </w:p>
        </w:tc>
      </w:tr>
    </w:tbl>
    <w:p/>
    <w:p>
      <w:pPr>
        <w:pStyle w:val="Heading3"/>
      </w:pPr>
      <w:r>
        <w:t>9.4 Reporting Requirements</w:t>
      </w:r>
    </w:p>
    <w:p>
      <w:pPr>
        <w:pStyle w:val="ListBullet"/>
      </w:pPr>
      <w:r>
        <w:t>Daily Segregation Reports: Clearing members must calculate and report customer segregation and secured amounts daily</w:t>
      </w:r>
    </w:p>
    <w:p>
      <w:pPr>
        <w:pStyle w:val="ListBullet"/>
      </w:pPr>
      <w:r>
        <w:t>Large Trader Reports: Filed by FCMs/clearing members when customer positions exceed CFTC reportable levels (ranging from 25 contracts for smaller markets to 125,000+ contracts for the largest)</w:t>
      </w:r>
    </w:p>
    <w:p>
      <w:pPr>
        <w:pStyle w:val="ListBullet"/>
      </w:pPr>
      <w:r>
        <w:t>CFTC Form 40: Statement of Reporting Trader — detailed identification filed by traders exceeding reportable thresholds</w:t>
      </w:r>
    </w:p>
    <w:p>
      <w:pPr>
        <w:pStyle w:val="ListBullet"/>
      </w:pPr>
      <w:r>
        <w:t>Part 20 Reports: Large trader reporting for physical commodity swaps</w:t>
      </w:r>
    </w:p>
    <w:p>
      <w:pPr>
        <w:pStyle w:val="ListBullet"/>
      </w:pPr>
      <w:r>
        <w:t>Swap Data Reporting: Real-time and post-trade swap data reporting to registered Swap Data Repositories</w:t>
      </w:r>
    </w:p>
    <w:p>
      <w:pPr>
        <w:pStyle w:val="Heading3"/>
      </w:pPr>
      <w:r>
        <w:t>9.5 Cross-Border Recognition</w:t>
      </w:r>
    </w:p>
    <w:p>
      <w:pPr>
        <w:pStyle w:val="ListBullet"/>
      </w:pPr>
      <w:r>
        <w:t>EU/EMIR: CME Clearing is recognized as a Tier 1 third-country CCP by ESMA under EMIR Article 25 (since March 2022) — first U.S. CCP under the new regime</w:t>
      </w:r>
    </w:p>
    <w:p>
      <w:pPr>
        <w:pStyle w:val="ListBullet"/>
      </w:pPr>
      <w:r>
        <w:t>MOU with ESMA: CFTC and ESMA signed a Memorandum of Understanding on clearinghouse oversight</w:t>
      </w:r>
    </w:p>
    <w:p>
      <w:pPr>
        <w:pStyle w:val="ListBullet"/>
      </w:pPr>
      <w:r>
        <w:t>UK: CME Clearing recognized by the Bank of England/FCA post-Brexit</w:t>
      </w:r>
    </w:p>
    <w:p>
      <w:pPr>
        <w:pStyle w:val="ListBullet"/>
      </w:pPr>
      <w:r>
        <w:t>APAC: Various recognition arrangements with regulators in Singapore (MAS), Hong Kong (SFC), Japan (FSA), Australia (ASIC), etc.</w:t>
      </w:r>
    </w:p>
    <w:p>
      <w:pPr>
        <w:pStyle w:val="ListBullet"/>
      </w:pPr>
      <w:r>
        <w:t>CPMI-IOSCO: CME Clearing publishes Principles for Financial Market Infrastructures (PFMI) disclosure documents</w:t>
      </w:r>
    </w:p>
    <w:p>
      <w:r>
        <w:t>[Source: CME Group, "Rules and Regulation Overview"; CME Group, "Financial and Regulatory Surveillance"; CFTC.gov, "Large Trader Reporting Program"]</w:t>
      </w:r>
    </w:p>
    <w:p>
      <w:r>
        <w:t>────────────────────────────────────────────────────────────</w:t>
      </w:r>
    </w:p>
    <w:p>
      <w:pPr>
        <w:pStyle w:val="Heading2"/>
      </w:pPr>
      <w:r>
        <w:t>10. Fees &amp; Revenue Model</w:t>
      </w:r>
    </w:p>
    <w:p>
      <w:pPr>
        <w:pStyle w:val="Heading3"/>
      </w:pPr>
      <w:r>
        <w:t>10.1 Trading &amp; Clearing Fees</w:t>
      </w:r>
    </w:p>
    <w:p>
      <w:r>
        <w:t>Fees vary by product, membership status, venue, and transaction type. Representative rates (non-member, electronic):</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 Category</w:t>
            </w:r>
          </w:p>
        </w:tc>
        <w:tc>
          <w:tcPr>
            <w:tcW w:type="dxa" w:w="2880"/>
          </w:tcPr>
          <w:p>
            <w:pPr/>
            <w:r>
              <w:rPr>
                <w:b/>
                <w:sz w:val="18"/>
              </w:rPr>
              <w:t>Approximate Fee per Side</w:t>
            </w:r>
          </w:p>
        </w:tc>
        <w:tc>
          <w:tcPr>
            <w:tcW w:type="dxa" w:w="2880"/>
          </w:tcPr>
          <w:p>
            <w:pPr/>
            <w:r>
              <w:rPr>
                <w:b/>
                <w:sz w:val="18"/>
              </w:rPr>
              <w:t>Notes</w:t>
            </w:r>
          </w:p>
        </w:tc>
      </w:tr>
      <w:tr>
        <w:tc>
          <w:tcPr>
            <w:tcW w:type="dxa" w:w="2880"/>
          </w:tcPr>
          <w:p>
            <w:pPr/>
            <w:r>
              <w:rPr>
                <w:sz w:val="18"/>
              </w:rPr>
              <w:t>Equity Index Futures (E-mini)</w:t>
            </w:r>
          </w:p>
        </w:tc>
        <w:tc>
          <w:tcPr>
            <w:tcW w:type="dxa" w:w="2880"/>
          </w:tcPr>
          <w:p>
            <w:pPr/>
            <w:r>
              <w:rPr>
                <w:sz w:val="18"/>
              </w:rPr>
              <w:t>$1.18–$1.28</w:t>
            </w:r>
          </w:p>
        </w:tc>
        <w:tc>
          <w:tcPr>
            <w:tcW w:type="dxa" w:w="2880"/>
          </w:tcPr>
          <w:p>
            <w:pPr/>
            <w:r>
              <w:rPr>
                <w:sz w:val="18"/>
              </w:rPr>
              <w:t>Members significantly lower (~$0.20–$0.65)</w:t>
            </w:r>
          </w:p>
        </w:tc>
      </w:tr>
      <w:tr>
        <w:tc>
          <w:tcPr>
            <w:tcW w:type="dxa" w:w="2880"/>
          </w:tcPr>
          <w:p>
            <w:pPr/>
            <w:r>
              <w:rPr>
                <w:sz w:val="18"/>
              </w:rPr>
              <w:t>Micro E-mini Futures</w:t>
            </w:r>
          </w:p>
        </w:tc>
        <w:tc>
          <w:tcPr>
            <w:tcW w:type="dxa" w:w="2880"/>
          </w:tcPr>
          <w:p>
            <w:pPr/>
            <w:r>
              <w:rPr>
                <w:sz w:val="18"/>
              </w:rPr>
              <w:t>$0.25–$0.30</w:t>
            </w:r>
          </w:p>
        </w:tc>
        <w:tc>
          <w:tcPr>
            <w:tcW w:type="dxa" w:w="2880"/>
          </w:tcPr>
          <w:p>
            <w:pPr/>
            <w:r>
              <w:rPr>
                <w:sz w:val="18"/>
              </w:rPr>
              <w:t>Designed for retail accessibility</w:t>
            </w:r>
          </w:p>
        </w:tc>
      </w:tr>
      <w:tr>
        <w:tc>
          <w:tcPr>
            <w:tcW w:type="dxa" w:w="2880"/>
          </w:tcPr>
          <w:p>
            <w:pPr/>
            <w:r>
              <w:rPr>
                <w:sz w:val="18"/>
              </w:rPr>
              <w:t>Interest Rate Futures (Treasuries)</w:t>
            </w:r>
          </w:p>
        </w:tc>
        <w:tc>
          <w:tcPr>
            <w:tcW w:type="dxa" w:w="2880"/>
          </w:tcPr>
          <w:p>
            <w:pPr/>
            <w:r>
              <w:rPr>
                <w:sz w:val="18"/>
              </w:rPr>
              <w:t>$0.80–$1.28</w:t>
            </w:r>
          </w:p>
        </w:tc>
        <w:tc>
          <w:tcPr>
            <w:tcW w:type="dxa" w:w="2880"/>
          </w:tcPr>
          <w:p>
            <w:pPr/>
            <w:r>
              <w:rPr>
                <w:sz w:val="18"/>
              </w:rPr>
            </w:r>
          </w:p>
        </w:tc>
      </w:tr>
      <w:tr>
        <w:tc>
          <w:tcPr>
            <w:tcW w:type="dxa" w:w="2880"/>
          </w:tcPr>
          <w:p>
            <w:pPr/>
            <w:r>
              <w:rPr>
                <w:sz w:val="18"/>
              </w:rPr>
              <w:t>SOFR Futures</w:t>
            </w:r>
          </w:p>
        </w:tc>
        <w:tc>
          <w:tcPr>
            <w:tcW w:type="dxa" w:w="2880"/>
          </w:tcPr>
          <w:p>
            <w:pPr/>
            <w:r>
              <w:rPr>
                <w:sz w:val="18"/>
              </w:rPr>
              <w:t>$0.80–$1.28</w:t>
            </w:r>
          </w:p>
        </w:tc>
        <w:tc>
          <w:tcPr>
            <w:tcW w:type="dxa" w:w="2880"/>
          </w:tcPr>
          <w:p>
            <w:pPr/>
            <w:r>
              <w:rPr>
                <w:sz w:val="18"/>
              </w:rPr>
            </w:r>
          </w:p>
        </w:tc>
      </w:tr>
      <w:tr>
        <w:tc>
          <w:tcPr>
            <w:tcW w:type="dxa" w:w="2880"/>
          </w:tcPr>
          <w:p>
            <w:pPr/>
            <w:r>
              <w:rPr>
                <w:sz w:val="18"/>
              </w:rPr>
              <w:t>Energy Futures (CL, NG)</w:t>
            </w:r>
          </w:p>
        </w:tc>
        <w:tc>
          <w:tcPr>
            <w:tcW w:type="dxa" w:w="2880"/>
          </w:tcPr>
          <w:p>
            <w:pPr/>
            <w:r>
              <w:rPr>
                <w:sz w:val="18"/>
              </w:rPr>
              <w:t>$1.28–$1.50</w:t>
            </w:r>
          </w:p>
        </w:tc>
        <w:tc>
          <w:tcPr>
            <w:tcW w:type="dxa" w:w="2880"/>
          </w:tcPr>
          <w:p>
            <w:pPr/>
            <w:r>
              <w:rPr>
                <w:sz w:val="18"/>
              </w:rPr>
            </w:r>
          </w:p>
        </w:tc>
      </w:tr>
      <w:tr>
        <w:tc>
          <w:tcPr>
            <w:tcW w:type="dxa" w:w="2880"/>
          </w:tcPr>
          <w:p>
            <w:pPr/>
            <w:r>
              <w:rPr>
                <w:sz w:val="18"/>
              </w:rPr>
              <w:t>Metals Futures (GC, SI)</w:t>
            </w:r>
          </w:p>
        </w:tc>
        <w:tc>
          <w:tcPr>
            <w:tcW w:type="dxa" w:w="2880"/>
          </w:tcPr>
          <w:p>
            <w:pPr/>
            <w:r>
              <w:rPr>
                <w:sz w:val="18"/>
              </w:rPr>
              <w:t>$1.28–$1.50</w:t>
            </w:r>
          </w:p>
        </w:tc>
        <w:tc>
          <w:tcPr>
            <w:tcW w:type="dxa" w:w="2880"/>
          </w:tcPr>
          <w:p>
            <w:pPr/>
            <w:r>
              <w:rPr>
                <w:sz w:val="18"/>
              </w:rPr>
            </w:r>
          </w:p>
        </w:tc>
      </w:tr>
      <w:tr>
        <w:tc>
          <w:tcPr>
            <w:tcW w:type="dxa" w:w="2880"/>
          </w:tcPr>
          <w:p>
            <w:pPr/>
            <w:r>
              <w:rPr>
                <w:sz w:val="18"/>
              </w:rPr>
              <w:t>Agriculture Futures</w:t>
            </w:r>
          </w:p>
        </w:tc>
        <w:tc>
          <w:tcPr>
            <w:tcW w:type="dxa" w:w="2880"/>
          </w:tcPr>
          <w:p>
            <w:pPr/>
            <w:r>
              <w:rPr>
                <w:sz w:val="18"/>
              </w:rPr>
              <w:t>$1.28–$1.50</w:t>
            </w:r>
          </w:p>
        </w:tc>
        <w:tc>
          <w:tcPr>
            <w:tcW w:type="dxa" w:w="2880"/>
          </w:tcPr>
          <w:p>
            <w:pPr/>
            <w:r>
              <w:rPr>
                <w:sz w:val="18"/>
              </w:rPr>
            </w:r>
          </w:p>
        </w:tc>
      </w:tr>
      <w:tr>
        <w:tc>
          <w:tcPr>
            <w:tcW w:type="dxa" w:w="2880"/>
          </w:tcPr>
          <w:p>
            <w:pPr/>
            <w:r>
              <w:rPr>
                <w:sz w:val="18"/>
              </w:rPr>
              <w:t>Options on Futures</w:t>
            </w:r>
          </w:p>
        </w:tc>
        <w:tc>
          <w:tcPr>
            <w:tcW w:type="dxa" w:w="2880"/>
          </w:tcPr>
          <w:p>
            <w:pPr/>
            <w:r>
              <w:rPr>
                <w:sz w:val="18"/>
              </w:rPr>
              <w:t>$1.28–$1.50</w:t>
            </w:r>
          </w:p>
        </w:tc>
        <w:tc>
          <w:tcPr>
            <w:tcW w:type="dxa" w:w="2880"/>
          </w:tcPr>
          <w:p>
            <w:pPr/>
            <w:r>
              <w:rPr>
                <w:sz w:val="18"/>
              </w:rPr>
            </w:r>
          </w:p>
        </w:tc>
      </w:tr>
    </w:tbl>
    <w:p/>
    <w:p>
      <w:r>
        <w:t>Note: Exact fees change periodically. CME Group publishes a Non-Member Fee Finder tool and detailed fee schedules on cmegroup.com. Fee schedule changes effective April 1, 2026.</w:t>
      </w:r>
    </w:p>
    <w:p>
      <w:r>
        <w:t>Fee Tiers:</w:t>
      </w:r>
    </w:p>
    <w:p>
      <w:pPr>
        <w:pStyle w:val="ListBullet"/>
      </w:pPr>
      <w:r>
        <w:t>Member rates: Substantially reduced (50–80% lower than non-member)</w:t>
      </w:r>
    </w:p>
    <w:p>
      <w:pPr>
        <w:pStyle w:val="ListBullet"/>
      </w:pPr>
      <w:r>
        <w:t>Volume incentive programs: Tiered discounts for high-volume traders</w:t>
      </w:r>
    </w:p>
    <w:p>
      <w:pPr>
        <w:pStyle w:val="ListBullet"/>
      </w:pPr>
      <w:r>
        <w:t>Block trade fees: May differ from electronic exchange fees</w:t>
      </w:r>
    </w:p>
    <w:p>
      <w:pPr>
        <w:pStyle w:val="ListBullet"/>
      </w:pPr>
      <w:r>
        <w:t>Surcharges: Technology and facility fees may apply</w:t>
      </w:r>
    </w:p>
    <w:p>
      <w:pPr>
        <w:pStyle w:val="Heading3"/>
      </w:pPr>
      <w:r>
        <w:t>10.2 Market Data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Data Type</w:t>
            </w:r>
          </w:p>
        </w:tc>
        <w:tc>
          <w:tcPr>
            <w:tcW w:type="dxa" w:w="2880"/>
          </w:tcPr>
          <w:p>
            <w:pPr/>
            <w:r>
              <w:rPr>
                <w:b/>
                <w:sz w:val="18"/>
              </w:rPr>
              <w:t>Professional Fee</w:t>
            </w:r>
          </w:p>
        </w:tc>
        <w:tc>
          <w:tcPr>
            <w:tcW w:type="dxa" w:w="2880"/>
          </w:tcPr>
          <w:p>
            <w:pPr/>
            <w:r>
              <w:rPr>
                <w:b/>
                <w:sz w:val="18"/>
              </w:rPr>
              <w:t>Notes</w:t>
            </w:r>
          </w:p>
        </w:tc>
      </w:tr>
      <w:tr>
        <w:tc>
          <w:tcPr>
            <w:tcW w:type="dxa" w:w="2880"/>
          </w:tcPr>
          <w:p>
            <w:pPr/>
            <w:r>
              <w:rPr>
                <w:sz w:val="18"/>
              </w:rPr>
              <w:t>Real-time streaming (per exchange)</w:t>
            </w:r>
          </w:p>
        </w:tc>
        <w:tc>
          <w:tcPr>
            <w:tcW w:type="dxa" w:w="2880"/>
          </w:tcPr>
          <w:p>
            <w:pPr/>
            <w:r>
              <w:rPr>
                <w:sz w:val="18"/>
              </w:rPr>
              <w:t>$140/month per exchange</w:t>
            </w:r>
          </w:p>
        </w:tc>
        <w:tc>
          <w:tcPr>
            <w:tcW w:type="dxa" w:w="2880"/>
          </w:tcPr>
          <w:p>
            <w:pPr/>
            <w:r>
              <w:rPr>
                <w:sz w:val="18"/>
              </w:rPr>
              <w:t>CME, CBOT, NYMEX, COMEX priced separately</w:t>
            </w:r>
          </w:p>
        </w:tc>
      </w:tr>
      <w:tr>
        <w:tc>
          <w:tcPr>
            <w:tcW w:type="dxa" w:w="2880"/>
          </w:tcPr>
          <w:p>
            <w:pPr/>
            <w:r>
              <w:rPr>
                <w:sz w:val="18"/>
              </w:rPr>
              <w:t>Non-professional</w:t>
            </w:r>
          </w:p>
        </w:tc>
        <w:tc>
          <w:tcPr>
            <w:tcW w:type="dxa" w:w="2880"/>
          </w:tcPr>
          <w:p>
            <w:pPr/>
            <w:r>
              <w:rPr>
                <w:sz w:val="18"/>
              </w:rPr>
              <w:t>Reduced rates</w:t>
            </w:r>
          </w:p>
        </w:tc>
        <w:tc>
          <w:tcPr>
            <w:tcW w:type="dxa" w:w="2880"/>
          </w:tcPr>
          <w:p>
            <w:pPr/>
            <w:r>
              <w:rPr>
                <w:sz w:val="18"/>
              </w:rPr>
            </w:r>
          </w:p>
        </w:tc>
      </w:tr>
      <w:tr>
        <w:tc>
          <w:tcPr>
            <w:tcW w:type="dxa" w:w="2880"/>
          </w:tcPr>
          <w:p>
            <w:pPr/>
            <w:r>
              <w:rPr>
                <w:sz w:val="18"/>
              </w:rPr>
              <w:t>Historical data (DataMine)</w:t>
            </w:r>
          </w:p>
        </w:tc>
        <w:tc>
          <w:tcPr>
            <w:tcW w:type="dxa" w:w="2880"/>
          </w:tcPr>
          <w:p>
            <w:pPr/>
            <w:r>
              <w:rPr>
                <w:sz w:val="18"/>
              </w:rPr>
              <w:t>Varies by dataset</w:t>
            </w:r>
          </w:p>
        </w:tc>
        <w:tc>
          <w:tcPr>
            <w:tcW w:type="dxa" w:w="2880"/>
          </w:tcPr>
          <w:p>
            <w:pPr/>
            <w:r>
              <w:rPr>
                <w:sz w:val="18"/>
              </w:rPr>
              <w:t>40+ years of data available</w:t>
            </w:r>
          </w:p>
        </w:tc>
      </w:tr>
      <w:tr>
        <w:tc>
          <w:tcPr>
            <w:tcW w:type="dxa" w:w="2880"/>
          </w:tcPr>
          <w:p>
            <w:pPr/>
            <w:r>
              <w:rPr>
                <w:sz w:val="18"/>
              </w:rPr>
              <w:t>Analytics (QuikStrike)</w:t>
            </w:r>
          </w:p>
        </w:tc>
        <w:tc>
          <w:tcPr>
            <w:tcW w:type="dxa" w:w="2880"/>
          </w:tcPr>
          <w:p>
            <w:pPr/>
            <w:r>
              <w:rPr>
                <w:sz w:val="18"/>
              </w:rPr>
              <w:t>Varies</w:t>
            </w:r>
          </w:p>
        </w:tc>
        <w:tc>
          <w:tcPr>
            <w:tcW w:type="dxa" w:w="2880"/>
          </w:tcPr>
          <w:p>
            <w:pPr/>
            <w:r>
              <w:rPr>
                <w:sz w:val="18"/>
              </w:rPr>
              <w:t>Options analytics, volatility data</w:t>
            </w:r>
          </w:p>
        </w:tc>
      </w:tr>
      <w:tr>
        <w:tc>
          <w:tcPr>
            <w:tcW w:type="dxa" w:w="2880"/>
          </w:tcPr>
          <w:p>
            <w:pPr/>
            <w:r>
              <w:rPr>
                <w:sz w:val="18"/>
              </w:rPr>
              <w:t>Benchmark data (CME Term SOFR)</w:t>
            </w:r>
          </w:p>
        </w:tc>
        <w:tc>
          <w:tcPr>
            <w:tcW w:type="dxa" w:w="2880"/>
          </w:tcPr>
          <w:p>
            <w:pPr/>
            <w:r>
              <w:rPr>
                <w:sz w:val="18"/>
              </w:rPr>
              <w:t>Per fee schedule</w:t>
            </w:r>
          </w:p>
        </w:tc>
        <w:tc>
          <w:tcPr>
            <w:tcW w:type="dxa" w:w="2880"/>
          </w:tcPr>
          <w:p>
            <w:pPr/>
            <w:r>
              <w:rPr>
                <w:sz w:val="18"/>
              </w:rPr>
              <w:t>Effective January 1, 2026</w:t>
            </w:r>
          </w:p>
        </w:tc>
      </w:tr>
    </w:tbl>
    <w:p/>
    <w:p>
      <w:pPr>
        <w:pStyle w:val="Heading3"/>
      </w:pPr>
      <w:r>
        <w:t>10.3 Connectivity &amp; Co-Location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Service</w:t>
            </w:r>
          </w:p>
        </w:tc>
        <w:tc>
          <w:tcPr>
            <w:tcW w:type="dxa" w:w="2880"/>
          </w:tcPr>
          <w:p>
            <w:pPr/>
            <w:r>
              <w:rPr>
                <w:b/>
                <w:sz w:val="18"/>
              </w:rPr>
              <w:t>Fee</w:t>
            </w:r>
          </w:p>
        </w:tc>
        <w:tc>
          <w:tcPr>
            <w:tcW w:type="dxa" w:w="2880"/>
          </w:tcPr>
          <w:p>
            <w:pPr/>
            <w:r>
              <w:rPr>
                <w:b/>
                <w:sz w:val="18"/>
              </w:rPr>
              <w:t>Notes</w:t>
            </w:r>
          </w:p>
        </w:tc>
      </w:tr>
      <w:tr>
        <w:tc>
          <w:tcPr>
            <w:tcW w:type="dxa" w:w="2880"/>
          </w:tcPr>
          <w:p>
            <w:pPr/>
            <w:r>
              <w:rPr>
                <w:sz w:val="18"/>
              </w:rPr>
              <w:t>CME GLink (10 Gbps)</w:t>
            </w:r>
          </w:p>
        </w:tc>
        <w:tc>
          <w:tcPr>
            <w:tcW w:type="dxa" w:w="2880"/>
          </w:tcPr>
          <w:p>
            <w:pPr/>
            <w:r>
              <w:rPr>
                <w:sz w:val="18"/>
              </w:rPr>
              <w:t>~$2,000/month</w:t>
            </w:r>
          </w:p>
        </w:tc>
        <w:tc>
          <w:tcPr>
            <w:tcW w:type="dxa" w:w="2880"/>
          </w:tcPr>
          <w:p>
            <w:pPr/>
            <w:r>
              <w:rPr>
                <w:sz w:val="18"/>
              </w:rPr>
              <w:t>12-month minimum commitment</w:t>
            </w:r>
          </w:p>
        </w:tc>
      </w:tr>
      <w:tr>
        <w:tc>
          <w:tcPr>
            <w:tcW w:type="dxa" w:w="2880"/>
          </w:tcPr>
          <w:p>
            <w:pPr/>
            <w:r>
              <w:rPr>
                <w:sz w:val="18"/>
              </w:rPr>
              <w:t>Cabinet space (Aurora)</w:t>
            </w:r>
          </w:p>
        </w:tc>
        <w:tc>
          <w:tcPr>
            <w:tcW w:type="dxa" w:w="2880"/>
          </w:tcPr>
          <w:p>
            <w:pPr/>
            <w:r>
              <w:rPr>
                <w:sz w:val="18"/>
              </w:rPr>
              <w:t>Varies by power tier</w:t>
            </w:r>
          </w:p>
        </w:tc>
        <w:tc>
          <w:tcPr>
            <w:tcW w:type="dxa" w:w="2880"/>
          </w:tcPr>
          <w:p>
            <w:pPr/>
            <w:r>
              <w:rPr>
                <w:sz w:val="18"/>
              </w:rPr>
              <w:t>4.25 kW, 8.5 kW, 17 kW options</w:t>
            </w:r>
          </w:p>
        </w:tc>
      </w:tr>
      <w:tr>
        <w:tc>
          <w:tcPr>
            <w:tcW w:type="dxa" w:w="2880"/>
          </w:tcPr>
          <w:p>
            <w:pPr/>
            <w:r>
              <w:rPr>
                <w:sz w:val="18"/>
              </w:rPr>
              <w:t>Cross-connects</w:t>
            </w:r>
          </w:p>
        </w:tc>
        <w:tc>
          <w:tcPr>
            <w:tcW w:type="dxa" w:w="2880"/>
          </w:tcPr>
          <w:p>
            <w:pPr/>
            <w:r>
              <w:rPr>
                <w:sz w:val="18"/>
              </w:rPr>
              <w:t>Additional fees</w:t>
            </w:r>
          </w:p>
        </w:tc>
        <w:tc>
          <w:tcPr>
            <w:tcW w:type="dxa" w:w="2880"/>
          </w:tcPr>
          <w:p>
            <w:pPr/>
            <w:r>
              <w:rPr>
                <w:sz w:val="18"/>
              </w:rPr>
              <w:t>Within co-location facility</w:t>
            </w:r>
          </w:p>
        </w:tc>
      </w:tr>
    </w:tbl>
    <w:p/>
    <w:p>
      <w:pPr>
        <w:pStyle w:val="Heading3"/>
      </w:pPr>
      <w:r>
        <w:t>10.4 Revenue Breakdown (2025)</w:t>
      </w:r>
    </w:p>
    <w:p>
      <w:r>
        <w:t>CME Group's $6.51 billion revenue is derived primarily from:</w:t>
      </w:r>
    </w:p>
    <w:p>
      <w:pPr>
        <w:pStyle w:val="ListBullet"/>
      </w:pPr>
      <w:r>
        <w:t>Clearing and transaction fees: Largest component (~80%); driven by trading volume</w:t>
      </w:r>
    </w:p>
    <w:p>
      <w:pPr>
        <w:pStyle w:val="ListBullet"/>
      </w:pPr>
      <w:r>
        <w:t>Market data and information services: Significant and growing (~10%)</w:t>
      </w:r>
    </w:p>
    <w:p>
      <w:pPr>
        <w:pStyle w:val="ListBullet"/>
      </w:pPr>
      <w:r>
        <w:t>Other revenues: Connectivity, co-location, licensing (S&amp;P, NASDAQ, FTSE Russell index fees)</w:t>
      </w:r>
    </w:p>
    <w:p>
      <w:r>
        <w:t>[Source: CME Group, "Exchange Fees for Clearing &amp; Trading"; CME Group, "January 2026 Market Data Fee List"; CME Group annual reports]</w:t>
      </w:r>
    </w:p>
    <w:p>
      <w:r>
        <w:t>────────────────────────────────────────────────────────────</w:t>
      </w:r>
    </w:p>
    <w:p>
      <w:pPr>
        <w:pStyle w:val="Heading2"/>
      </w:pPr>
      <w:r>
        <w:t>11. Recent Developments</w:t>
      </w:r>
    </w:p>
    <w:p>
      <w:pPr>
        <w:pStyle w:val="Heading3"/>
      </w:pPr>
      <w:r>
        <w:t>11.1 System Upgrades &amp; Technology</w:t>
      </w:r>
    </w:p>
    <w:p>
      <w:pPr>
        <w:pStyle w:val="ListBullet"/>
      </w:pPr>
      <w:r>
        <w:t>Google Cloud Migration (2026–2028): 10-year strategic partnership; dedicated private Google Cloud Chicago region; production migration from Aurora beginning mid-2026; sandbox environment in Dallas region available mid-2026</w:t>
      </w:r>
    </w:p>
    <w:p>
      <w:pPr>
        <w:pStyle w:val="ListBullet"/>
      </w:pPr>
      <w:r>
        <w:t>iLink SBE Schema v9: Effective January 2026 — new features and performance improvements</w:t>
      </w:r>
    </w:p>
    <w:p>
      <w:pPr>
        <w:pStyle w:val="ListBullet"/>
      </w:pPr>
      <w:r>
        <w:t>10 Gbps Mandate: Effective March 2026, 1 Gbps connections no longer support MDP 3.0 multicast market data; all multicast users must upgrade to 10 Gbps</w:t>
      </w:r>
    </w:p>
    <w:p>
      <w:pPr>
        <w:pStyle w:val="ListBullet"/>
      </w:pPr>
      <w:r>
        <w:t>Network Equipment Refresh: Starting April 2026, replacement of end-of-life network equipment at CME Globex Hubs</w:t>
      </w:r>
    </w:p>
    <w:p>
      <w:pPr>
        <w:pStyle w:val="ListBullet"/>
      </w:pPr>
      <w:r>
        <w:t>CME STP Migration: Phased migration of STP FIX API to Google Cloud; all clients must connect via Google Cloud hostnames by April 2026</w:t>
      </w:r>
    </w:p>
    <w:p>
      <w:pPr>
        <w:pStyle w:val="Heading3"/>
      </w:pPr>
      <w:r>
        <w:t>11.2 New Products &amp; Market Developments</w:t>
      </w:r>
    </w:p>
    <w:p>
      <w:pPr>
        <w:pStyle w:val="ListBullet"/>
      </w:pPr>
      <w:r>
        <w:t>24/7 Crypto Trading: CME Group plans to offer Bitcoin, Micro Bitcoin, Ether, and Micro Ether futures and options for 24/7 trading starting May 2026, pending CFTC approval</w:t>
      </w:r>
    </w:p>
    <w:p>
      <w:pPr>
        <w:pStyle w:val="ListBullet"/>
      </w:pPr>
      <w:r>
        <w:t>New Equity Index Multicast Group: New market data multicast group for a new futures product suite in equity indexes and alternative products (Q1 2026)</w:t>
      </w:r>
    </w:p>
    <w:p>
      <w:pPr>
        <w:pStyle w:val="ListBullet"/>
      </w:pPr>
      <w:r>
        <w:t>Variable Tick Expansion: Equity index options (Russell 2000, Nasdaq-100, S&amp;P 500) expanded from 2 to 4 variable tick levels on Globex (January 2026)</w:t>
      </w:r>
    </w:p>
    <w:p>
      <w:pPr>
        <w:pStyle w:val="ListBullet"/>
      </w:pPr>
      <w:r>
        <w:t>Record Volumes: Q1 2026 ADV of 36.2 million contracts — all-time quarterly record driven by growth across all asset classes; March 2026 ADV of 41.1 million contracts (+33% YoY)</w:t>
      </w:r>
    </w:p>
    <w:p>
      <w:pPr>
        <w:pStyle w:val="Heading3"/>
      </w:pPr>
      <w:r>
        <w:t>11.3 Regulatory Changes</w:t>
      </w:r>
    </w:p>
    <w:p>
      <w:pPr>
        <w:pStyle w:val="ListBullet"/>
      </w:pPr>
      <w:r>
        <w:t>SPAN 2 Rollout: Migration to SPAN 2 (HVaR-based) margin methodology completed for energy and equity contracts in 2025; full rollout for all commodities targeted by end of 2025</w:t>
      </w:r>
    </w:p>
    <w:p>
      <w:pPr>
        <w:pStyle w:val="ListBullet"/>
      </w:pPr>
      <w:r>
        <w:t>Position Limit Rule Amendments: Rules 559, 560, 562 amended effective August 2025 — updates to exemption filing procedures and violation definitions</w:t>
      </w:r>
    </w:p>
    <w:p>
      <w:pPr>
        <w:pStyle w:val="ListBullet"/>
      </w:pPr>
      <w:r>
        <w:t>CFTC No-Action Relief: Extended relief from aggregation requirements under Regulation 150.4(a)(2), effective July 2025</w:t>
      </w:r>
    </w:p>
    <w:p>
      <w:pPr>
        <w:pStyle w:val="Heading3"/>
      </w:pPr>
      <w:r>
        <w:t>11.4 Strategic Initiatives</w:t>
      </w:r>
    </w:p>
    <w:p>
      <w:pPr>
        <w:pStyle w:val="ListBullet"/>
      </w:pPr>
      <w:r>
        <w:t>AI and Data Analytics: Leveraging Google Cloud's machine learning for real-time risk management tools, analytics services, and user-centric platforms</w:t>
      </w:r>
    </w:p>
    <w:p>
      <w:pPr>
        <w:pStyle w:val="ListBullet"/>
      </w:pPr>
      <w:r>
        <w:t>CME Securities Clearing: Filed application in January 2025 for registration as a clearing agency under the Securities Exchange Act — potential expansion into securities clearing</w:t>
      </w:r>
    </w:p>
    <w:p>
      <w:pPr>
        <w:pStyle w:val="ListBullet"/>
      </w:pPr>
      <w:r>
        <w:t>International Growth: International ADV reached record 8.4 million contracts in 2025 (+8% YoY), reflecting continued global expansion</w:t>
      </w:r>
    </w:p>
    <w:p>
      <w:pPr>
        <w:pStyle w:val="ListBullet"/>
      </w:pPr>
      <w:r>
        <w:t>Micro Products Expansion: Micro contracts (Micro E-mini, Micro Bitcoin, Micro Gold, Micro Silver) continue to attract retail participation and set volume records</w:t>
      </w:r>
    </w:p>
    <w:p>
      <w:r>
        <w:t>[Source: CME Group press releases, 2025-2026; CME Group Client Systems Wiki; CME Group Globex Notices]</w:t>
      </w:r>
    </w:p>
    <w:p>
      <w:r>
        <w:t>────────────────────────────────────────────────────────────</w:t>
      </w:r>
    </w:p>
    <w:p>
      <w:pPr>
        <w:pStyle w:val="Heading2"/>
      </w:pPr>
      <w:r>
        <w:t>Derivatives-Specific Sections</w:t>
      </w:r>
    </w:p>
    <w:p>
      <w:r>
        <w:t>────────────────────────────────────────────────────────────</w:t>
      </w:r>
    </w:p>
    <w:p>
      <w:pPr>
        <w:pStyle w:val="Heading2"/>
      </w:pPr>
      <w:r>
        <w:t>D1. Product Catalog</w:t>
      </w:r>
    </w:p>
    <w:p>
      <w:pPr>
        <w:pStyle w:val="Heading3"/>
      </w:pPr>
      <w:r>
        <w:t>By Asset Class and Sub-Exchange</w:t>
      </w:r>
    </w:p>
    <w:p>
      <w:pPr>
        <w:pStyle w:val="Heading4"/>
      </w:pPr>
      <w:r>
        <w:t>Equity Index Products (CME)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Exchange</w:t>
            </w:r>
          </w:p>
        </w:tc>
      </w:tr>
      <w:tr>
        <w:tc>
          <w:tcPr>
            <w:tcW w:type="dxa" w:w="2160"/>
          </w:tcPr>
          <w:p>
            <w:pPr/>
            <w:r>
              <w:rPr>
                <w:sz w:val="18"/>
              </w:rPr>
              <w:t>E-mini S&amp;P 500</w:t>
            </w:r>
          </w:p>
        </w:tc>
        <w:tc>
          <w:tcPr>
            <w:tcW w:type="dxa" w:w="2160"/>
          </w:tcPr>
          <w:p>
            <w:pPr/>
            <w:r>
              <w:rPr>
                <w:sz w:val="18"/>
              </w:rPr>
              <w:t>ES</w:t>
            </w:r>
          </w:p>
        </w:tc>
        <w:tc>
          <w:tcPr>
            <w:tcW w:type="dxa" w:w="2160"/>
          </w:tcPr>
          <w:p>
            <w:pPr/>
            <w:r>
              <w:rPr>
                <w:sz w:val="18"/>
              </w:rPr>
              <w:t>$50 x Index</w:t>
            </w:r>
          </w:p>
        </w:tc>
        <w:tc>
          <w:tcPr>
            <w:tcW w:type="dxa" w:w="2160"/>
          </w:tcPr>
          <w:p>
            <w:pPr/>
            <w:r>
              <w:rPr>
                <w:sz w:val="18"/>
              </w:rPr>
              <w:t>CME</w:t>
            </w:r>
          </w:p>
        </w:tc>
      </w:tr>
      <w:tr>
        <w:tc>
          <w:tcPr>
            <w:tcW w:type="dxa" w:w="2160"/>
          </w:tcPr>
          <w:p>
            <w:pPr/>
            <w:r>
              <w:rPr>
                <w:sz w:val="18"/>
              </w:rPr>
              <w:t>Micro E-mini S&amp;P 500</w:t>
            </w:r>
          </w:p>
        </w:tc>
        <w:tc>
          <w:tcPr>
            <w:tcW w:type="dxa" w:w="2160"/>
          </w:tcPr>
          <w:p>
            <w:pPr/>
            <w:r>
              <w:rPr>
                <w:sz w:val="18"/>
              </w:rPr>
              <w:t>MES</w:t>
            </w:r>
          </w:p>
        </w:tc>
        <w:tc>
          <w:tcPr>
            <w:tcW w:type="dxa" w:w="2160"/>
          </w:tcPr>
          <w:p>
            <w:pPr/>
            <w:r>
              <w:rPr>
                <w:sz w:val="18"/>
              </w:rPr>
              <w:t>$5 x Index</w:t>
            </w:r>
          </w:p>
        </w:tc>
        <w:tc>
          <w:tcPr>
            <w:tcW w:type="dxa" w:w="2160"/>
          </w:tcPr>
          <w:p>
            <w:pPr/>
            <w:r>
              <w:rPr>
                <w:sz w:val="18"/>
              </w:rPr>
              <w:t>CME</w:t>
            </w:r>
          </w:p>
        </w:tc>
      </w:tr>
      <w:tr>
        <w:tc>
          <w:tcPr>
            <w:tcW w:type="dxa" w:w="2160"/>
          </w:tcPr>
          <w:p>
            <w:pPr/>
            <w:r>
              <w:rPr>
                <w:sz w:val="18"/>
              </w:rPr>
              <w:t>E-mini NASDAQ-100</w:t>
            </w:r>
          </w:p>
        </w:tc>
        <w:tc>
          <w:tcPr>
            <w:tcW w:type="dxa" w:w="2160"/>
          </w:tcPr>
          <w:p>
            <w:pPr/>
            <w:r>
              <w:rPr>
                <w:sz w:val="18"/>
              </w:rPr>
              <w:t>NQ</w:t>
            </w:r>
          </w:p>
        </w:tc>
        <w:tc>
          <w:tcPr>
            <w:tcW w:type="dxa" w:w="2160"/>
          </w:tcPr>
          <w:p>
            <w:pPr/>
            <w:r>
              <w:rPr>
                <w:sz w:val="18"/>
              </w:rPr>
              <w:t>$20 x Index</w:t>
            </w:r>
          </w:p>
        </w:tc>
        <w:tc>
          <w:tcPr>
            <w:tcW w:type="dxa" w:w="2160"/>
          </w:tcPr>
          <w:p>
            <w:pPr/>
            <w:r>
              <w:rPr>
                <w:sz w:val="18"/>
              </w:rPr>
              <w:t>CME</w:t>
            </w:r>
          </w:p>
        </w:tc>
      </w:tr>
      <w:tr>
        <w:tc>
          <w:tcPr>
            <w:tcW w:type="dxa" w:w="2160"/>
          </w:tcPr>
          <w:p>
            <w:pPr/>
            <w:r>
              <w:rPr>
                <w:sz w:val="18"/>
              </w:rPr>
              <w:t>Micro E-mini NASDAQ-100</w:t>
            </w:r>
          </w:p>
        </w:tc>
        <w:tc>
          <w:tcPr>
            <w:tcW w:type="dxa" w:w="2160"/>
          </w:tcPr>
          <w:p>
            <w:pPr/>
            <w:r>
              <w:rPr>
                <w:sz w:val="18"/>
              </w:rPr>
              <w:t>MNQ</w:t>
            </w:r>
          </w:p>
        </w:tc>
        <w:tc>
          <w:tcPr>
            <w:tcW w:type="dxa" w:w="2160"/>
          </w:tcPr>
          <w:p>
            <w:pPr/>
            <w:r>
              <w:rPr>
                <w:sz w:val="18"/>
              </w:rPr>
              <w:t>$2 x Index</w:t>
            </w:r>
          </w:p>
        </w:tc>
        <w:tc>
          <w:tcPr>
            <w:tcW w:type="dxa" w:w="2160"/>
          </w:tcPr>
          <w:p>
            <w:pPr/>
            <w:r>
              <w:rPr>
                <w:sz w:val="18"/>
              </w:rPr>
              <w:t>CME</w:t>
            </w:r>
          </w:p>
        </w:tc>
      </w:tr>
      <w:tr>
        <w:tc>
          <w:tcPr>
            <w:tcW w:type="dxa" w:w="2160"/>
          </w:tcPr>
          <w:p>
            <w:pPr/>
            <w:r>
              <w:rPr>
                <w:sz w:val="18"/>
              </w:rPr>
              <w:t>E-mini Dow ($5)</w:t>
            </w:r>
          </w:p>
        </w:tc>
        <w:tc>
          <w:tcPr>
            <w:tcW w:type="dxa" w:w="2160"/>
          </w:tcPr>
          <w:p>
            <w:pPr/>
            <w:r>
              <w:rPr>
                <w:sz w:val="18"/>
              </w:rPr>
              <w:t>YM</w:t>
            </w:r>
          </w:p>
        </w:tc>
        <w:tc>
          <w:tcPr>
            <w:tcW w:type="dxa" w:w="2160"/>
          </w:tcPr>
          <w:p>
            <w:pPr/>
            <w:r>
              <w:rPr>
                <w:sz w:val="18"/>
              </w:rPr>
              <w:t>$5 x Index</w:t>
            </w:r>
          </w:p>
        </w:tc>
        <w:tc>
          <w:tcPr>
            <w:tcW w:type="dxa" w:w="2160"/>
          </w:tcPr>
          <w:p>
            <w:pPr/>
            <w:r>
              <w:rPr>
                <w:sz w:val="18"/>
              </w:rPr>
              <w:t>CBOT</w:t>
            </w:r>
          </w:p>
        </w:tc>
      </w:tr>
      <w:tr>
        <w:tc>
          <w:tcPr>
            <w:tcW w:type="dxa" w:w="2160"/>
          </w:tcPr>
          <w:p>
            <w:pPr/>
            <w:r>
              <w:rPr>
                <w:sz w:val="18"/>
              </w:rPr>
              <w:t>Micro E-mini Dow</w:t>
            </w:r>
          </w:p>
        </w:tc>
        <w:tc>
          <w:tcPr>
            <w:tcW w:type="dxa" w:w="2160"/>
          </w:tcPr>
          <w:p>
            <w:pPr/>
            <w:r>
              <w:rPr>
                <w:sz w:val="18"/>
              </w:rPr>
              <w:t>MYM</w:t>
            </w:r>
          </w:p>
        </w:tc>
        <w:tc>
          <w:tcPr>
            <w:tcW w:type="dxa" w:w="2160"/>
          </w:tcPr>
          <w:p>
            <w:pPr/>
            <w:r>
              <w:rPr>
                <w:sz w:val="18"/>
              </w:rPr>
              <w:t>$0.50 x Index</w:t>
            </w:r>
          </w:p>
        </w:tc>
        <w:tc>
          <w:tcPr>
            <w:tcW w:type="dxa" w:w="2160"/>
          </w:tcPr>
          <w:p>
            <w:pPr/>
            <w:r>
              <w:rPr>
                <w:sz w:val="18"/>
              </w:rPr>
              <w:t>CBOT</w:t>
            </w:r>
          </w:p>
        </w:tc>
      </w:tr>
      <w:tr>
        <w:tc>
          <w:tcPr>
            <w:tcW w:type="dxa" w:w="2160"/>
          </w:tcPr>
          <w:p>
            <w:pPr/>
            <w:r>
              <w:rPr>
                <w:sz w:val="18"/>
              </w:rPr>
              <w:t>E-mini Russell 2000</w:t>
            </w:r>
          </w:p>
        </w:tc>
        <w:tc>
          <w:tcPr>
            <w:tcW w:type="dxa" w:w="2160"/>
          </w:tcPr>
          <w:p>
            <w:pPr/>
            <w:r>
              <w:rPr>
                <w:sz w:val="18"/>
              </w:rPr>
              <w:t>RTY</w:t>
            </w:r>
          </w:p>
        </w:tc>
        <w:tc>
          <w:tcPr>
            <w:tcW w:type="dxa" w:w="2160"/>
          </w:tcPr>
          <w:p>
            <w:pPr/>
            <w:r>
              <w:rPr>
                <w:sz w:val="18"/>
              </w:rPr>
              <w:t>$50 x Index</w:t>
            </w:r>
          </w:p>
        </w:tc>
        <w:tc>
          <w:tcPr>
            <w:tcW w:type="dxa" w:w="2160"/>
          </w:tcPr>
          <w:p>
            <w:pPr/>
            <w:r>
              <w:rPr>
                <w:sz w:val="18"/>
              </w:rPr>
              <w:t>CME</w:t>
            </w:r>
          </w:p>
        </w:tc>
      </w:tr>
      <w:tr>
        <w:tc>
          <w:tcPr>
            <w:tcW w:type="dxa" w:w="2160"/>
          </w:tcPr>
          <w:p>
            <w:pPr/>
            <w:r>
              <w:rPr>
                <w:sz w:val="18"/>
              </w:rPr>
              <w:t>Micro E-mini Russell 2000</w:t>
            </w:r>
          </w:p>
        </w:tc>
        <w:tc>
          <w:tcPr>
            <w:tcW w:type="dxa" w:w="2160"/>
          </w:tcPr>
          <w:p>
            <w:pPr/>
            <w:r>
              <w:rPr>
                <w:sz w:val="18"/>
              </w:rPr>
              <w:t>M2K</w:t>
            </w:r>
          </w:p>
        </w:tc>
        <w:tc>
          <w:tcPr>
            <w:tcW w:type="dxa" w:w="2160"/>
          </w:tcPr>
          <w:p>
            <w:pPr/>
            <w:r>
              <w:rPr>
                <w:sz w:val="18"/>
              </w:rPr>
              <w:t>$5 x Index</w:t>
            </w:r>
          </w:p>
        </w:tc>
        <w:tc>
          <w:tcPr>
            <w:tcW w:type="dxa" w:w="2160"/>
          </w:tcPr>
          <w:p>
            <w:pPr/>
            <w:r>
              <w:rPr>
                <w:sz w:val="18"/>
              </w:rPr>
              <w:t>CME</w:t>
            </w:r>
          </w:p>
        </w:tc>
      </w:tr>
      <w:tr>
        <w:tc>
          <w:tcPr>
            <w:tcW w:type="dxa" w:w="2160"/>
          </w:tcPr>
          <w:p>
            <w:pPr/>
            <w:r>
              <w:rPr>
                <w:sz w:val="18"/>
              </w:rPr>
              <w:t>E-mini S&amp;P MidCap 400</w:t>
            </w:r>
          </w:p>
        </w:tc>
        <w:tc>
          <w:tcPr>
            <w:tcW w:type="dxa" w:w="2160"/>
          </w:tcPr>
          <w:p>
            <w:pPr/>
            <w:r>
              <w:rPr>
                <w:sz w:val="18"/>
              </w:rPr>
              <w:t>EMD</w:t>
            </w:r>
          </w:p>
        </w:tc>
        <w:tc>
          <w:tcPr>
            <w:tcW w:type="dxa" w:w="2160"/>
          </w:tcPr>
          <w:p>
            <w:pPr/>
            <w:r>
              <w:rPr>
                <w:sz w:val="18"/>
              </w:rPr>
              <w:t>$100 x Index</w:t>
            </w:r>
          </w:p>
        </w:tc>
        <w:tc>
          <w:tcPr>
            <w:tcW w:type="dxa" w:w="2160"/>
          </w:tcPr>
          <w:p>
            <w:pPr/>
            <w:r>
              <w:rPr>
                <w:sz w:val="18"/>
              </w:rPr>
              <w:t>CME</w:t>
            </w:r>
          </w:p>
        </w:tc>
      </w:tr>
      <w:tr>
        <w:tc>
          <w:tcPr>
            <w:tcW w:type="dxa" w:w="2160"/>
          </w:tcPr>
          <w:p>
            <w:pPr/>
            <w:r>
              <w:rPr>
                <w:sz w:val="18"/>
              </w:rPr>
              <w:t>Nikkei 225 (Dollar)</w:t>
            </w:r>
          </w:p>
        </w:tc>
        <w:tc>
          <w:tcPr>
            <w:tcW w:type="dxa" w:w="2160"/>
          </w:tcPr>
          <w:p>
            <w:pPr/>
            <w:r>
              <w:rPr>
                <w:sz w:val="18"/>
              </w:rPr>
              <w:t>NKD</w:t>
            </w:r>
          </w:p>
        </w:tc>
        <w:tc>
          <w:tcPr>
            <w:tcW w:type="dxa" w:w="2160"/>
          </w:tcPr>
          <w:p>
            <w:pPr/>
            <w:r>
              <w:rPr>
                <w:sz w:val="18"/>
              </w:rPr>
              <w:t>$5 x Index</w:t>
            </w:r>
          </w:p>
        </w:tc>
        <w:tc>
          <w:tcPr>
            <w:tcW w:type="dxa" w:w="2160"/>
          </w:tcPr>
          <w:p>
            <w:pPr/>
            <w:r>
              <w:rPr>
                <w:sz w:val="18"/>
              </w:rPr>
              <w:t>CME</w:t>
            </w:r>
          </w:p>
        </w:tc>
      </w:tr>
      <w:tr>
        <w:tc>
          <w:tcPr>
            <w:tcW w:type="dxa" w:w="2160"/>
          </w:tcPr>
          <w:p>
            <w:pPr/>
            <w:r>
              <w:rPr>
                <w:sz w:val="18"/>
              </w:rPr>
              <w:t>Nikkei 225 (Yen)</w:t>
            </w:r>
          </w:p>
        </w:tc>
        <w:tc>
          <w:tcPr>
            <w:tcW w:type="dxa" w:w="2160"/>
          </w:tcPr>
          <w:p>
            <w:pPr/>
            <w:r>
              <w:rPr>
                <w:sz w:val="18"/>
              </w:rPr>
              <w:t>NIY</w:t>
            </w:r>
          </w:p>
        </w:tc>
        <w:tc>
          <w:tcPr>
            <w:tcW w:type="dxa" w:w="2160"/>
          </w:tcPr>
          <w:p>
            <w:pPr/>
            <w:r>
              <w:rPr>
                <w:sz w:val="18"/>
              </w:rPr>
              <w:t>JPY 500 x Index</w:t>
            </w:r>
          </w:p>
        </w:tc>
        <w:tc>
          <w:tcPr>
            <w:tcW w:type="dxa" w:w="2160"/>
          </w:tcPr>
          <w:p>
            <w:pPr/>
            <w:r>
              <w:rPr>
                <w:sz w:val="18"/>
              </w:rPr>
              <w:t>CME</w:t>
            </w:r>
          </w:p>
        </w:tc>
      </w:tr>
      <w:tr>
        <w:tc>
          <w:tcPr>
            <w:tcW w:type="dxa" w:w="2160"/>
          </w:tcPr>
          <w:p>
            <w:pPr/>
            <w:r>
              <w:rPr>
                <w:sz w:val="18"/>
              </w:rPr>
              <w:t>S&amp;P 500 ESG Index</w:t>
            </w:r>
          </w:p>
        </w:tc>
        <w:tc>
          <w:tcPr>
            <w:tcW w:type="dxa" w:w="2160"/>
          </w:tcPr>
          <w:p>
            <w:pPr/>
            <w:r>
              <w:rPr>
                <w:sz w:val="18"/>
              </w:rPr>
              <w:t>SPESG</w:t>
            </w:r>
          </w:p>
        </w:tc>
        <w:tc>
          <w:tcPr>
            <w:tcW w:type="dxa" w:w="2160"/>
          </w:tcPr>
          <w:p>
            <w:pPr/>
            <w:r>
              <w:rPr>
                <w:sz w:val="18"/>
              </w:rPr>
              <w:t>$50 x Index</w:t>
            </w:r>
          </w:p>
        </w:tc>
        <w:tc>
          <w:tcPr>
            <w:tcW w:type="dxa" w:w="2160"/>
          </w:tcPr>
          <w:p>
            <w:pPr/>
            <w:r>
              <w:rPr>
                <w:sz w:val="18"/>
              </w:rPr>
              <w:t>CME</w:t>
            </w:r>
          </w:p>
        </w:tc>
      </w:tr>
      <w:tr>
        <w:tc>
          <w:tcPr>
            <w:tcW w:type="dxa" w:w="2160"/>
          </w:tcPr>
          <w:p>
            <w:pPr/>
            <w:r>
              <w:rPr>
                <w:sz w:val="18"/>
              </w:rPr>
              <w:t>E-mini S&amp;P 500 options</w:t>
            </w:r>
          </w:p>
        </w:tc>
        <w:tc>
          <w:tcPr>
            <w:tcW w:type="dxa" w:w="2160"/>
          </w:tcPr>
          <w:p>
            <w:pPr/>
            <w:r>
              <w:rPr>
                <w:sz w:val="18"/>
              </w:rPr>
              <w:t>—</w:t>
            </w:r>
          </w:p>
        </w:tc>
        <w:tc>
          <w:tcPr>
            <w:tcW w:type="dxa" w:w="2160"/>
          </w:tcPr>
          <w:p>
            <w:pPr/>
            <w:r>
              <w:rPr>
                <w:sz w:val="18"/>
              </w:rPr>
              <w:t>On ES futures</w:t>
            </w:r>
          </w:p>
        </w:tc>
        <w:tc>
          <w:tcPr>
            <w:tcW w:type="dxa" w:w="2160"/>
          </w:tcPr>
          <w:p>
            <w:pPr/>
            <w:r>
              <w:rPr>
                <w:sz w:val="18"/>
              </w:rPr>
              <w:t>CME</w:t>
            </w:r>
          </w:p>
        </w:tc>
      </w:tr>
      <w:tr>
        <w:tc>
          <w:tcPr>
            <w:tcW w:type="dxa" w:w="2160"/>
          </w:tcPr>
          <w:p>
            <w:pPr/>
            <w:r>
              <w:rPr>
                <w:sz w:val="18"/>
              </w:rPr>
              <w:t>Micro E-mini S&amp;P 500 options</w:t>
            </w:r>
          </w:p>
        </w:tc>
        <w:tc>
          <w:tcPr>
            <w:tcW w:type="dxa" w:w="2160"/>
          </w:tcPr>
          <w:p>
            <w:pPr/>
            <w:r>
              <w:rPr>
                <w:sz w:val="18"/>
              </w:rPr>
              <w:t>—</w:t>
            </w:r>
          </w:p>
        </w:tc>
        <w:tc>
          <w:tcPr>
            <w:tcW w:type="dxa" w:w="2160"/>
          </w:tcPr>
          <w:p>
            <w:pPr/>
            <w:r>
              <w:rPr>
                <w:sz w:val="18"/>
              </w:rPr>
              <w:t>On MES futures</w:t>
            </w:r>
          </w:p>
        </w:tc>
        <w:tc>
          <w:tcPr>
            <w:tcW w:type="dxa" w:w="2160"/>
          </w:tcPr>
          <w:p>
            <w:pPr/>
            <w:r>
              <w:rPr>
                <w:sz w:val="18"/>
              </w:rPr>
              <w:t>CME</w:t>
            </w:r>
          </w:p>
        </w:tc>
      </w:tr>
      <w:tr>
        <w:tc>
          <w:tcPr>
            <w:tcW w:type="dxa" w:w="2160"/>
          </w:tcPr>
          <w:p>
            <w:pPr/>
            <w:r>
              <w:rPr>
                <w:sz w:val="18"/>
              </w:rPr>
              <w:t>Weekly options on E-mini S&amp;P 500</w:t>
            </w:r>
          </w:p>
        </w:tc>
        <w:tc>
          <w:tcPr>
            <w:tcW w:type="dxa" w:w="2160"/>
          </w:tcPr>
          <w:p>
            <w:pPr/>
            <w:r>
              <w:rPr>
                <w:sz w:val="18"/>
              </w:rPr>
              <w:t>—</w:t>
            </w:r>
          </w:p>
        </w:tc>
        <w:tc>
          <w:tcPr>
            <w:tcW w:type="dxa" w:w="2160"/>
          </w:tcPr>
          <w:p>
            <w:pPr/>
            <w:r>
              <w:rPr>
                <w:sz w:val="18"/>
              </w:rPr>
              <w:t>Monday, Wednesday, Friday expiries</w:t>
            </w:r>
          </w:p>
        </w:tc>
        <w:tc>
          <w:tcPr>
            <w:tcW w:type="dxa" w:w="2160"/>
          </w:tcPr>
          <w:p>
            <w:pPr/>
            <w:r>
              <w:rPr>
                <w:sz w:val="18"/>
              </w:rPr>
              <w:t>CME</w:t>
            </w:r>
          </w:p>
        </w:tc>
      </w:tr>
    </w:tbl>
    <w:p/>
    <w:p>
      <w:pPr>
        <w:pStyle w:val="Heading4"/>
      </w:pPr>
      <w:r>
        <w:t>Interest Rate Products (CBOT / CME)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Exchange</w:t>
            </w:r>
          </w:p>
        </w:tc>
      </w:tr>
      <w:tr>
        <w:tc>
          <w:tcPr>
            <w:tcW w:type="dxa" w:w="2160"/>
          </w:tcPr>
          <w:p>
            <w:pPr/>
            <w:r>
              <w:rPr>
                <w:sz w:val="18"/>
              </w:rPr>
              <w:t>3-Month SOFR Futures</w:t>
            </w:r>
          </w:p>
        </w:tc>
        <w:tc>
          <w:tcPr>
            <w:tcW w:type="dxa" w:w="2160"/>
          </w:tcPr>
          <w:p>
            <w:pPr/>
            <w:r>
              <w:rPr>
                <w:sz w:val="18"/>
              </w:rPr>
              <w:t>SR3</w:t>
            </w:r>
          </w:p>
        </w:tc>
        <w:tc>
          <w:tcPr>
            <w:tcW w:type="dxa" w:w="2160"/>
          </w:tcPr>
          <w:p>
            <w:pPr/>
            <w:r>
              <w:rPr>
                <w:sz w:val="18"/>
              </w:rPr>
              <w:t>$2,500 x (100 - rate)</w:t>
            </w:r>
          </w:p>
        </w:tc>
        <w:tc>
          <w:tcPr>
            <w:tcW w:type="dxa" w:w="2160"/>
          </w:tcPr>
          <w:p>
            <w:pPr/>
            <w:r>
              <w:rPr>
                <w:sz w:val="18"/>
              </w:rPr>
              <w:t>CME</w:t>
            </w:r>
          </w:p>
        </w:tc>
      </w:tr>
      <w:tr>
        <w:tc>
          <w:tcPr>
            <w:tcW w:type="dxa" w:w="2160"/>
          </w:tcPr>
          <w:p>
            <w:pPr/>
            <w:r>
              <w:rPr>
                <w:sz w:val="18"/>
              </w:rPr>
              <w:t>1-Month SOFR Futures</w:t>
            </w:r>
          </w:p>
        </w:tc>
        <w:tc>
          <w:tcPr>
            <w:tcW w:type="dxa" w:w="2160"/>
          </w:tcPr>
          <w:p>
            <w:pPr/>
            <w:r>
              <w:rPr>
                <w:sz w:val="18"/>
              </w:rPr>
              <w:t>SR1</w:t>
            </w:r>
          </w:p>
        </w:tc>
        <w:tc>
          <w:tcPr>
            <w:tcW w:type="dxa" w:w="2160"/>
          </w:tcPr>
          <w:p>
            <w:pPr/>
            <w:r>
              <w:rPr>
                <w:sz w:val="18"/>
              </w:rPr>
              <w:t>$41,667 x (100 - rate)</w:t>
            </w:r>
          </w:p>
        </w:tc>
        <w:tc>
          <w:tcPr>
            <w:tcW w:type="dxa" w:w="2160"/>
          </w:tcPr>
          <w:p>
            <w:pPr/>
            <w:r>
              <w:rPr>
                <w:sz w:val="18"/>
              </w:rPr>
              <w:t>CME</w:t>
            </w:r>
          </w:p>
        </w:tc>
      </w:tr>
      <w:tr>
        <w:tc>
          <w:tcPr>
            <w:tcW w:type="dxa" w:w="2160"/>
          </w:tcPr>
          <w:p>
            <w:pPr/>
            <w:r>
              <w:rPr>
                <w:sz w:val="18"/>
              </w:rPr>
              <w:t>SOFR Options</w:t>
            </w:r>
          </w:p>
        </w:tc>
        <w:tc>
          <w:tcPr>
            <w:tcW w:type="dxa" w:w="2160"/>
          </w:tcPr>
          <w:p>
            <w:pPr/>
            <w:r>
              <w:rPr>
                <w:sz w:val="18"/>
              </w:rPr>
              <w:t>—</w:t>
            </w:r>
          </w:p>
        </w:tc>
        <w:tc>
          <w:tcPr>
            <w:tcW w:type="dxa" w:w="2160"/>
          </w:tcPr>
          <w:p>
            <w:pPr/>
            <w:r>
              <w:rPr>
                <w:sz w:val="18"/>
              </w:rPr>
              <w:t>On SR3 futures</w:t>
            </w:r>
          </w:p>
        </w:tc>
        <w:tc>
          <w:tcPr>
            <w:tcW w:type="dxa" w:w="2160"/>
          </w:tcPr>
          <w:p>
            <w:pPr/>
            <w:r>
              <w:rPr>
                <w:sz w:val="18"/>
              </w:rPr>
              <w:t>CME</w:t>
            </w:r>
          </w:p>
        </w:tc>
      </w:tr>
      <w:tr>
        <w:tc>
          <w:tcPr>
            <w:tcW w:type="dxa" w:w="2160"/>
          </w:tcPr>
          <w:p>
            <w:pPr/>
            <w:r>
              <w:rPr>
                <w:sz w:val="18"/>
              </w:rPr>
              <w:t>2-Year T-Note</w:t>
            </w:r>
          </w:p>
        </w:tc>
        <w:tc>
          <w:tcPr>
            <w:tcW w:type="dxa" w:w="2160"/>
          </w:tcPr>
          <w:p>
            <w:pPr/>
            <w:r>
              <w:rPr>
                <w:sz w:val="18"/>
              </w:rPr>
              <w:t>ZT</w:t>
            </w:r>
          </w:p>
        </w:tc>
        <w:tc>
          <w:tcPr>
            <w:tcW w:type="dxa" w:w="2160"/>
          </w:tcPr>
          <w:p>
            <w:pPr/>
            <w:r>
              <w:rPr>
                <w:sz w:val="18"/>
              </w:rPr>
              <w:t>$200,000 face value</w:t>
            </w:r>
          </w:p>
        </w:tc>
        <w:tc>
          <w:tcPr>
            <w:tcW w:type="dxa" w:w="2160"/>
          </w:tcPr>
          <w:p>
            <w:pPr/>
            <w:r>
              <w:rPr>
                <w:sz w:val="18"/>
              </w:rPr>
              <w:t>CBOT</w:t>
            </w:r>
          </w:p>
        </w:tc>
      </w:tr>
      <w:tr>
        <w:tc>
          <w:tcPr>
            <w:tcW w:type="dxa" w:w="2160"/>
          </w:tcPr>
          <w:p>
            <w:pPr/>
            <w:r>
              <w:rPr>
                <w:sz w:val="18"/>
              </w:rPr>
              <w:t>5-Year T-Note</w:t>
            </w:r>
          </w:p>
        </w:tc>
        <w:tc>
          <w:tcPr>
            <w:tcW w:type="dxa" w:w="2160"/>
          </w:tcPr>
          <w:p>
            <w:pPr/>
            <w:r>
              <w:rPr>
                <w:sz w:val="18"/>
              </w:rPr>
              <w:t>ZF</w:t>
            </w:r>
          </w:p>
        </w:tc>
        <w:tc>
          <w:tcPr>
            <w:tcW w:type="dxa" w:w="2160"/>
          </w:tcPr>
          <w:p>
            <w:pPr/>
            <w:r>
              <w:rPr>
                <w:sz w:val="18"/>
              </w:rPr>
              <w:t>$100,000 face value</w:t>
            </w:r>
          </w:p>
        </w:tc>
        <w:tc>
          <w:tcPr>
            <w:tcW w:type="dxa" w:w="2160"/>
          </w:tcPr>
          <w:p>
            <w:pPr/>
            <w:r>
              <w:rPr>
                <w:sz w:val="18"/>
              </w:rPr>
              <w:t>CBOT</w:t>
            </w:r>
          </w:p>
        </w:tc>
      </w:tr>
      <w:tr>
        <w:tc>
          <w:tcPr>
            <w:tcW w:type="dxa" w:w="2160"/>
          </w:tcPr>
          <w:p>
            <w:pPr/>
            <w:r>
              <w:rPr>
                <w:sz w:val="18"/>
              </w:rPr>
              <w:t>10-Year T-Note</w:t>
            </w:r>
          </w:p>
        </w:tc>
        <w:tc>
          <w:tcPr>
            <w:tcW w:type="dxa" w:w="2160"/>
          </w:tcPr>
          <w:p>
            <w:pPr/>
            <w:r>
              <w:rPr>
                <w:sz w:val="18"/>
              </w:rPr>
              <w:t>ZN</w:t>
            </w:r>
          </w:p>
        </w:tc>
        <w:tc>
          <w:tcPr>
            <w:tcW w:type="dxa" w:w="2160"/>
          </w:tcPr>
          <w:p>
            <w:pPr/>
            <w:r>
              <w:rPr>
                <w:sz w:val="18"/>
              </w:rPr>
              <w:t>$100,000 face value</w:t>
            </w:r>
          </w:p>
        </w:tc>
        <w:tc>
          <w:tcPr>
            <w:tcW w:type="dxa" w:w="2160"/>
          </w:tcPr>
          <w:p>
            <w:pPr/>
            <w:r>
              <w:rPr>
                <w:sz w:val="18"/>
              </w:rPr>
              <w:t>CBOT</w:t>
            </w:r>
          </w:p>
        </w:tc>
      </w:tr>
      <w:tr>
        <w:tc>
          <w:tcPr>
            <w:tcW w:type="dxa" w:w="2160"/>
          </w:tcPr>
          <w:p>
            <w:pPr/>
            <w:r>
              <w:rPr>
                <w:sz w:val="18"/>
              </w:rPr>
              <w:t>Ultra 10-Year T-Note</w:t>
            </w:r>
          </w:p>
        </w:tc>
        <w:tc>
          <w:tcPr>
            <w:tcW w:type="dxa" w:w="2160"/>
          </w:tcPr>
          <w:p>
            <w:pPr/>
            <w:r>
              <w:rPr>
                <w:sz w:val="18"/>
              </w:rPr>
              <w:t>TN</w:t>
            </w:r>
          </w:p>
        </w:tc>
        <w:tc>
          <w:tcPr>
            <w:tcW w:type="dxa" w:w="2160"/>
          </w:tcPr>
          <w:p>
            <w:pPr/>
            <w:r>
              <w:rPr>
                <w:sz w:val="18"/>
              </w:rPr>
              <w:t>$100,000 face value</w:t>
            </w:r>
          </w:p>
        </w:tc>
        <w:tc>
          <w:tcPr>
            <w:tcW w:type="dxa" w:w="2160"/>
          </w:tcPr>
          <w:p>
            <w:pPr/>
            <w:r>
              <w:rPr>
                <w:sz w:val="18"/>
              </w:rPr>
              <w:t>CBOT</w:t>
            </w:r>
          </w:p>
        </w:tc>
      </w:tr>
      <w:tr>
        <w:tc>
          <w:tcPr>
            <w:tcW w:type="dxa" w:w="2160"/>
          </w:tcPr>
          <w:p>
            <w:pPr/>
            <w:r>
              <w:rPr>
                <w:sz w:val="18"/>
              </w:rPr>
              <w:t>U.S. Treasury Bond (30-Year)</w:t>
            </w:r>
          </w:p>
        </w:tc>
        <w:tc>
          <w:tcPr>
            <w:tcW w:type="dxa" w:w="2160"/>
          </w:tcPr>
          <w:p>
            <w:pPr/>
            <w:r>
              <w:rPr>
                <w:sz w:val="18"/>
              </w:rPr>
              <w:t>ZB</w:t>
            </w:r>
          </w:p>
        </w:tc>
        <w:tc>
          <w:tcPr>
            <w:tcW w:type="dxa" w:w="2160"/>
          </w:tcPr>
          <w:p>
            <w:pPr/>
            <w:r>
              <w:rPr>
                <w:sz w:val="18"/>
              </w:rPr>
              <w:t>$100,000 face value</w:t>
            </w:r>
          </w:p>
        </w:tc>
        <w:tc>
          <w:tcPr>
            <w:tcW w:type="dxa" w:w="2160"/>
          </w:tcPr>
          <w:p>
            <w:pPr/>
            <w:r>
              <w:rPr>
                <w:sz w:val="18"/>
              </w:rPr>
              <w:t>CBOT</w:t>
            </w:r>
          </w:p>
        </w:tc>
      </w:tr>
      <w:tr>
        <w:tc>
          <w:tcPr>
            <w:tcW w:type="dxa" w:w="2160"/>
          </w:tcPr>
          <w:p>
            <w:pPr/>
            <w:r>
              <w:rPr>
                <w:sz w:val="18"/>
              </w:rPr>
              <w:t>Ultra T-Bond</w:t>
            </w:r>
          </w:p>
        </w:tc>
        <w:tc>
          <w:tcPr>
            <w:tcW w:type="dxa" w:w="2160"/>
          </w:tcPr>
          <w:p>
            <w:pPr/>
            <w:r>
              <w:rPr>
                <w:sz w:val="18"/>
              </w:rPr>
              <w:t>UB</w:t>
            </w:r>
          </w:p>
        </w:tc>
        <w:tc>
          <w:tcPr>
            <w:tcW w:type="dxa" w:w="2160"/>
          </w:tcPr>
          <w:p>
            <w:pPr/>
            <w:r>
              <w:rPr>
                <w:sz w:val="18"/>
              </w:rPr>
              <w:t>$100,000 face value</w:t>
            </w:r>
          </w:p>
        </w:tc>
        <w:tc>
          <w:tcPr>
            <w:tcW w:type="dxa" w:w="2160"/>
          </w:tcPr>
          <w:p>
            <w:pPr/>
            <w:r>
              <w:rPr>
                <w:sz w:val="18"/>
              </w:rPr>
              <w:t>CBOT</w:t>
            </w:r>
          </w:p>
        </w:tc>
      </w:tr>
      <w:tr>
        <w:tc>
          <w:tcPr>
            <w:tcW w:type="dxa" w:w="2160"/>
          </w:tcPr>
          <w:p>
            <w:pPr/>
            <w:r>
              <w:rPr>
                <w:sz w:val="18"/>
              </w:rPr>
              <w:t>Micro Treasury Futures</w:t>
            </w:r>
          </w:p>
        </w:tc>
        <w:tc>
          <w:tcPr>
            <w:tcW w:type="dxa" w:w="2160"/>
          </w:tcPr>
          <w:p>
            <w:pPr/>
            <w:r>
              <w:rPr>
                <w:sz w:val="18"/>
              </w:rPr>
              <w:t>Various</w:t>
            </w:r>
          </w:p>
        </w:tc>
        <w:tc>
          <w:tcPr>
            <w:tcW w:type="dxa" w:w="2160"/>
          </w:tcPr>
          <w:p>
            <w:pPr/>
            <w:r>
              <w:rPr>
                <w:sz w:val="18"/>
              </w:rPr>
              <w:t>$10,000 face value</w:t>
            </w:r>
          </w:p>
        </w:tc>
        <w:tc>
          <w:tcPr>
            <w:tcW w:type="dxa" w:w="2160"/>
          </w:tcPr>
          <w:p>
            <w:pPr/>
            <w:r>
              <w:rPr>
                <w:sz w:val="18"/>
              </w:rPr>
              <w:t>CBOT</w:t>
            </w:r>
          </w:p>
        </w:tc>
      </w:tr>
      <w:tr>
        <w:tc>
          <w:tcPr>
            <w:tcW w:type="dxa" w:w="2160"/>
          </w:tcPr>
          <w:p>
            <w:pPr/>
            <w:r>
              <w:rPr>
                <w:sz w:val="18"/>
              </w:rPr>
              <w:t>Fed Funds Futures</w:t>
            </w:r>
          </w:p>
        </w:tc>
        <w:tc>
          <w:tcPr>
            <w:tcW w:type="dxa" w:w="2160"/>
          </w:tcPr>
          <w:p>
            <w:pPr/>
            <w:r>
              <w:rPr>
                <w:sz w:val="18"/>
              </w:rPr>
              <w:t>ZQ</w:t>
            </w:r>
          </w:p>
        </w:tc>
        <w:tc>
          <w:tcPr>
            <w:tcW w:type="dxa" w:w="2160"/>
          </w:tcPr>
          <w:p>
            <w:pPr/>
            <w:r>
              <w:rPr>
                <w:sz w:val="18"/>
              </w:rPr>
              <w:t>$4,167 x (100 - rate)</w:t>
            </w:r>
          </w:p>
        </w:tc>
        <w:tc>
          <w:tcPr>
            <w:tcW w:type="dxa" w:w="2160"/>
          </w:tcPr>
          <w:p>
            <w:pPr/>
            <w:r>
              <w:rPr>
                <w:sz w:val="18"/>
              </w:rPr>
              <w:t>CBOT</w:t>
            </w:r>
          </w:p>
        </w:tc>
      </w:tr>
    </w:tbl>
    <w:p/>
    <w:p>
      <w:pPr>
        <w:pStyle w:val="Heading4"/>
      </w:pPr>
      <w:r>
        <w:t>Foreign Exchange Products (CME)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Exchange</w:t>
            </w:r>
          </w:p>
        </w:tc>
      </w:tr>
      <w:tr>
        <w:tc>
          <w:tcPr>
            <w:tcW w:type="dxa" w:w="2160"/>
          </w:tcPr>
          <w:p>
            <w:pPr/>
            <w:r>
              <w:rPr>
                <w:sz w:val="18"/>
              </w:rPr>
              <w:t>EUR/USD</w:t>
            </w:r>
          </w:p>
        </w:tc>
        <w:tc>
          <w:tcPr>
            <w:tcW w:type="dxa" w:w="2160"/>
          </w:tcPr>
          <w:p>
            <w:pPr/>
            <w:r>
              <w:rPr>
                <w:sz w:val="18"/>
              </w:rPr>
              <w:t>6E</w:t>
            </w:r>
          </w:p>
        </w:tc>
        <w:tc>
          <w:tcPr>
            <w:tcW w:type="dxa" w:w="2160"/>
          </w:tcPr>
          <w:p>
            <w:pPr/>
            <w:r>
              <w:rPr>
                <w:sz w:val="18"/>
              </w:rPr>
              <w:t>125,000 EUR</w:t>
            </w:r>
          </w:p>
        </w:tc>
        <w:tc>
          <w:tcPr>
            <w:tcW w:type="dxa" w:w="2160"/>
          </w:tcPr>
          <w:p>
            <w:pPr/>
            <w:r>
              <w:rPr>
                <w:sz w:val="18"/>
              </w:rPr>
              <w:t>CME</w:t>
            </w:r>
          </w:p>
        </w:tc>
      </w:tr>
      <w:tr>
        <w:tc>
          <w:tcPr>
            <w:tcW w:type="dxa" w:w="2160"/>
          </w:tcPr>
          <w:p>
            <w:pPr/>
            <w:r>
              <w:rPr>
                <w:sz w:val="18"/>
              </w:rPr>
              <w:t>JPY/USD</w:t>
            </w:r>
          </w:p>
        </w:tc>
        <w:tc>
          <w:tcPr>
            <w:tcW w:type="dxa" w:w="2160"/>
          </w:tcPr>
          <w:p>
            <w:pPr/>
            <w:r>
              <w:rPr>
                <w:sz w:val="18"/>
              </w:rPr>
              <w:t>6J</w:t>
            </w:r>
          </w:p>
        </w:tc>
        <w:tc>
          <w:tcPr>
            <w:tcW w:type="dxa" w:w="2160"/>
          </w:tcPr>
          <w:p>
            <w:pPr/>
            <w:r>
              <w:rPr>
                <w:sz w:val="18"/>
              </w:rPr>
              <w:t>12,500,000 JPY</w:t>
            </w:r>
          </w:p>
        </w:tc>
        <w:tc>
          <w:tcPr>
            <w:tcW w:type="dxa" w:w="2160"/>
          </w:tcPr>
          <w:p>
            <w:pPr/>
            <w:r>
              <w:rPr>
                <w:sz w:val="18"/>
              </w:rPr>
              <w:t>CME</w:t>
            </w:r>
          </w:p>
        </w:tc>
      </w:tr>
      <w:tr>
        <w:tc>
          <w:tcPr>
            <w:tcW w:type="dxa" w:w="2160"/>
          </w:tcPr>
          <w:p>
            <w:pPr/>
            <w:r>
              <w:rPr>
                <w:sz w:val="18"/>
              </w:rPr>
              <w:t>GBP/USD</w:t>
            </w:r>
          </w:p>
        </w:tc>
        <w:tc>
          <w:tcPr>
            <w:tcW w:type="dxa" w:w="2160"/>
          </w:tcPr>
          <w:p>
            <w:pPr/>
            <w:r>
              <w:rPr>
                <w:sz w:val="18"/>
              </w:rPr>
              <w:t>6B</w:t>
            </w:r>
          </w:p>
        </w:tc>
        <w:tc>
          <w:tcPr>
            <w:tcW w:type="dxa" w:w="2160"/>
          </w:tcPr>
          <w:p>
            <w:pPr/>
            <w:r>
              <w:rPr>
                <w:sz w:val="18"/>
              </w:rPr>
              <w:t>62,500 GBP</w:t>
            </w:r>
          </w:p>
        </w:tc>
        <w:tc>
          <w:tcPr>
            <w:tcW w:type="dxa" w:w="2160"/>
          </w:tcPr>
          <w:p>
            <w:pPr/>
            <w:r>
              <w:rPr>
                <w:sz w:val="18"/>
              </w:rPr>
              <w:t>CME</w:t>
            </w:r>
          </w:p>
        </w:tc>
      </w:tr>
      <w:tr>
        <w:tc>
          <w:tcPr>
            <w:tcW w:type="dxa" w:w="2160"/>
          </w:tcPr>
          <w:p>
            <w:pPr/>
            <w:r>
              <w:rPr>
                <w:sz w:val="18"/>
              </w:rPr>
              <w:t>AUD/USD</w:t>
            </w:r>
          </w:p>
        </w:tc>
        <w:tc>
          <w:tcPr>
            <w:tcW w:type="dxa" w:w="2160"/>
          </w:tcPr>
          <w:p>
            <w:pPr/>
            <w:r>
              <w:rPr>
                <w:sz w:val="18"/>
              </w:rPr>
              <w:t>6A</w:t>
            </w:r>
          </w:p>
        </w:tc>
        <w:tc>
          <w:tcPr>
            <w:tcW w:type="dxa" w:w="2160"/>
          </w:tcPr>
          <w:p>
            <w:pPr/>
            <w:r>
              <w:rPr>
                <w:sz w:val="18"/>
              </w:rPr>
              <w:t>100,000 AUD</w:t>
            </w:r>
          </w:p>
        </w:tc>
        <w:tc>
          <w:tcPr>
            <w:tcW w:type="dxa" w:w="2160"/>
          </w:tcPr>
          <w:p>
            <w:pPr/>
            <w:r>
              <w:rPr>
                <w:sz w:val="18"/>
              </w:rPr>
              <w:t>CME</w:t>
            </w:r>
          </w:p>
        </w:tc>
      </w:tr>
      <w:tr>
        <w:tc>
          <w:tcPr>
            <w:tcW w:type="dxa" w:w="2160"/>
          </w:tcPr>
          <w:p>
            <w:pPr/>
            <w:r>
              <w:rPr>
                <w:sz w:val="18"/>
              </w:rPr>
              <w:t>CAD/USD</w:t>
            </w:r>
          </w:p>
        </w:tc>
        <w:tc>
          <w:tcPr>
            <w:tcW w:type="dxa" w:w="2160"/>
          </w:tcPr>
          <w:p>
            <w:pPr/>
            <w:r>
              <w:rPr>
                <w:sz w:val="18"/>
              </w:rPr>
              <w:t>6C</w:t>
            </w:r>
          </w:p>
        </w:tc>
        <w:tc>
          <w:tcPr>
            <w:tcW w:type="dxa" w:w="2160"/>
          </w:tcPr>
          <w:p>
            <w:pPr/>
            <w:r>
              <w:rPr>
                <w:sz w:val="18"/>
              </w:rPr>
              <w:t>100,000 CAD</w:t>
            </w:r>
          </w:p>
        </w:tc>
        <w:tc>
          <w:tcPr>
            <w:tcW w:type="dxa" w:w="2160"/>
          </w:tcPr>
          <w:p>
            <w:pPr/>
            <w:r>
              <w:rPr>
                <w:sz w:val="18"/>
              </w:rPr>
              <w:t>CME</w:t>
            </w:r>
          </w:p>
        </w:tc>
      </w:tr>
      <w:tr>
        <w:tc>
          <w:tcPr>
            <w:tcW w:type="dxa" w:w="2160"/>
          </w:tcPr>
          <w:p>
            <w:pPr/>
            <w:r>
              <w:rPr>
                <w:sz w:val="18"/>
              </w:rPr>
              <w:t>CHF/USD</w:t>
            </w:r>
          </w:p>
        </w:tc>
        <w:tc>
          <w:tcPr>
            <w:tcW w:type="dxa" w:w="2160"/>
          </w:tcPr>
          <w:p>
            <w:pPr/>
            <w:r>
              <w:rPr>
                <w:sz w:val="18"/>
              </w:rPr>
              <w:t>6S</w:t>
            </w:r>
          </w:p>
        </w:tc>
        <w:tc>
          <w:tcPr>
            <w:tcW w:type="dxa" w:w="2160"/>
          </w:tcPr>
          <w:p>
            <w:pPr/>
            <w:r>
              <w:rPr>
                <w:sz w:val="18"/>
              </w:rPr>
              <w:t>125,000 CHF</w:t>
            </w:r>
          </w:p>
        </w:tc>
        <w:tc>
          <w:tcPr>
            <w:tcW w:type="dxa" w:w="2160"/>
          </w:tcPr>
          <w:p>
            <w:pPr/>
            <w:r>
              <w:rPr>
                <w:sz w:val="18"/>
              </w:rPr>
              <w:t>CME</w:t>
            </w:r>
          </w:p>
        </w:tc>
      </w:tr>
      <w:tr>
        <w:tc>
          <w:tcPr>
            <w:tcW w:type="dxa" w:w="2160"/>
          </w:tcPr>
          <w:p>
            <w:pPr/>
            <w:r>
              <w:rPr>
                <w:sz w:val="18"/>
              </w:rPr>
              <w:t>E-micro EUR/USD</w:t>
            </w:r>
          </w:p>
        </w:tc>
        <w:tc>
          <w:tcPr>
            <w:tcW w:type="dxa" w:w="2160"/>
          </w:tcPr>
          <w:p>
            <w:pPr/>
            <w:r>
              <w:rPr>
                <w:sz w:val="18"/>
              </w:rPr>
              <w:t>M6E</w:t>
            </w:r>
          </w:p>
        </w:tc>
        <w:tc>
          <w:tcPr>
            <w:tcW w:type="dxa" w:w="2160"/>
          </w:tcPr>
          <w:p>
            <w:pPr/>
            <w:r>
              <w:rPr>
                <w:sz w:val="18"/>
              </w:rPr>
              <w:t>12,500 EUR</w:t>
            </w:r>
          </w:p>
        </w:tc>
        <w:tc>
          <w:tcPr>
            <w:tcW w:type="dxa" w:w="2160"/>
          </w:tcPr>
          <w:p>
            <w:pPr/>
            <w:r>
              <w:rPr>
                <w:sz w:val="18"/>
              </w:rPr>
              <w:t>CME</w:t>
            </w:r>
          </w:p>
        </w:tc>
      </w:tr>
      <w:tr>
        <w:tc>
          <w:tcPr>
            <w:tcW w:type="dxa" w:w="2160"/>
          </w:tcPr>
          <w:p>
            <w:pPr/>
            <w:r>
              <w:rPr>
                <w:sz w:val="18"/>
              </w:rPr>
              <w:t>CNH/USD</w:t>
            </w:r>
          </w:p>
        </w:tc>
        <w:tc>
          <w:tcPr>
            <w:tcW w:type="dxa" w:w="2160"/>
          </w:tcPr>
          <w:p>
            <w:pPr/>
            <w:r>
              <w:rPr>
                <w:sz w:val="18"/>
              </w:rPr>
              <w:t>CNH</w:t>
            </w:r>
          </w:p>
        </w:tc>
        <w:tc>
          <w:tcPr>
            <w:tcW w:type="dxa" w:w="2160"/>
          </w:tcPr>
          <w:p>
            <w:pPr/>
            <w:r>
              <w:rPr>
                <w:sz w:val="18"/>
              </w:rPr>
              <w:t>1,000,000 CNH</w:t>
            </w:r>
          </w:p>
        </w:tc>
        <w:tc>
          <w:tcPr>
            <w:tcW w:type="dxa" w:w="2160"/>
          </w:tcPr>
          <w:p>
            <w:pPr/>
            <w:r>
              <w:rPr>
                <w:sz w:val="18"/>
              </w:rPr>
              <w:t>CME</w:t>
            </w:r>
          </w:p>
        </w:tc>
      </w:tr>
      <w:tr>
        <w:tc>
          <w:tcPr>
            <w:tcW w:type="dxa" w:w="2160"/>
          </w:tcPr>
          <w:p>
            <w:pPr/>
            <w:r>
              <w:rPr>
                <w:sz w:val="18"/>
              </w:rPr>
              <w:t>BRL/USD</w:t>
            </w:r>
          </w:p>
        </w:tc>
        <w:tc>
          <w:tcPr>
            <w:tcW w:type="dxa" w:w="2160"/>
          </w:tcPr>
          <w:p>
            <w:pPr/>
            <w:r>
              <w:rPr>
                <w:sz w:val="18"/>
              </w:rPr>
              <w:t>6L</w:t>
            </w:r>
          </w:p>
        </w:tc>
        <w:tc>
          <w:tcPr>
            <w:tcW w:type="dxa" w:w="2160"/>
          </w:tcPr>
          <w:p>
            <w:pPr/>
            <w:r>
              <w:rPr>
                <w:sz w:val="18"/>
              </w:rPr>
              <w:t>100,000 BRL</w:t>
            </w:r>
          </w:p>
        </w:tc>
        <w:tc>
          <w:tcPr>
            <w:tcW w:type="dxa" w:w="2160"/>
          </w:tcPr>
          <w:p>
            <w:pPr/>
            <w:r>
              <w:rPr>
                <w:sz w:val="18"/>
              </w:rPr>
              <w:t>CME</w:t>
            </w:r>
          </w:p>
        </w:tc>
      </w:tr>
      <w:tr>
        <w:tc>
          <w:tcPr>
            <w:tcW w:type="dxa" w:w="2160"/>
          </w:tcPr>
          <w:p>
            <w:pPr/>
            <w:r>
              <w:rPr>
                <w:sz w:val="18"/>
              </w:rPr>
              <w:t>MXN/USD</w:t>
            </w:r>
          </w:p>
        </w:tc>
        <w:tc>
          <w:tcPr>
            <w:tcW w:type="dxa" w:w="2160"/>
          </w:tcPr>
          <w:p>
            <w:pPr/>
            <w:r>
              <w:rPr>
                <w:sz w:val="18"/>
              </w:rPr>
              <w:t>6M</w:t>
            </w:r>
          </w:p>
        </w:tc>
        <w:tc>
          <w:tcPr>
            <w:tcW w:type="dxa" w:w="2160"/>
          </w:tcPr>
          <w:p>
            <w:pPr/>
            <w:r>
              <w:rPr>
                <w:sz w:val="18"/>
              </w:rPr>
              <w:t>500,000 MXN</w:t>
            </w:r>
          </w:p>
        </w:tc>
        <w:tc>
          <w:tcPr>
            <w:tcW w:type="dxa" w:w="2160"/>
          </w:tcPr>
          <w:p>
            <w:pPr/>
            <w:r>
              <w:rPr>
                <w:sz w:val="18"/>
              </w:rPr>
              <w:t>CME</w:t>
            </w:r>
          </w:p>
        </w:tc>
      </w:tr>
    </w:tbl>
    <w:p/>
    <w:p>
      <w:pPr>
        <w:pStyle w:val="Heading4"/>
      </w:pPr>
      <w:r>
        <w:t>Energy Products (NYMEX)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Exchange</w:t>
            </w:r>
          </w:p>
        </w:tc>
      </w:tr>
      <w:tr>
        <w:tc>
          <w:tcPr>
            <w:tcW w:type="dxa" w:w="2160"/>
          </w:tcPr>
          <w:p>
            <w:pPr/>
            <w:r>
              <w:rPr>
                <w:sz w:val="18"/>
              </w:rPr>
              <w:t>WTI Crude Oil</w:t>
            </w:r>
          </w:p>
        </w:tc>
        <w:tc>
          <w:tcPr>
            <w:tcW w:type="dxa" w:w="2160"/>
          </w:tcPr>
          <w:p>
            <w:pPr/>
            <w:r>
              <w:rPr>
                <w:sz w:val="18"/>
              </w:rPr>
              <w:t>CL</w:t>
            </w:r>
          </w:p>
        </w:tc>
        <w:tc>
          <w:tcPr>
            <w:tcW w:type="dxa" w:w="2160"/>
          </w:tcPr>
          <w:p>
            <w:pPr/>
            <w:r>
              <w:rPr>
                <w:sz w:val="18"/>
              </w:rPr>
              <w:t>1,000 barrels</w:t>
            </w:r>
          </w:p>
        </w:tc>
        <w:tc>
          <w:tcPr>
            <w:tcW w:type="dxa" w:w="2160"/>
          </w:tcPr>
          <w:p>
            <w:pPr/>
            <w:r>
              <w:rPr>
                <w:sz w:val="18"/>
              </w:rPr>
              <w:t>NYMEX</w:t>
            </w:r>
          </w:p>
        </w:tc>
      </w:tr>
      <w:tr>
        <w:tc>
          <w:tcPr>
            <w:tcW w:type="dxa" w:w="2160"/>
          </w:tcPr>
          <w:p>
            <w:pPr/>
            <w:r>
              <w:rPr>
                <w:sz w:val="18"/>
              </w:rPr>
              <w:t>Micro WTI Crude Oil</w:t>
            </w:r>
          </w:p>
        </w:tc>
        <w:tc>
          <w:tcPr>
            <w:tcW w:type="dxa" w:w="2160"/>
          </w:tcPr>
          <w:p>
            <w:pPr/>
            <w:r>
              <w:rPr>
                <w:sz w:val="18"/>
              </w:rPr>
              <w:t>MCL</w:t>
            </w:r>
          </w:p>
        </w:tc>
        <w:tc>
          <w:tcPr>
            <w:tcW w:type="dxa" w:w="2160"/>
          </w:tcPr>
          <w:p>
            <w:pPr/>
            <w:r>
              <w:rPr>
                <w:sz w:val="18"/>
              </w:rPr>
              <w:t>100 barrels</w:t>
            </w:r>
          </w:p>
        </w:tc>
        <w:tc>
          <w:tcPr>
            <w:tcW w:type="dxa" w:w="2160"/>
          </w:tcPr>
          <w:p>
            <w:pPr/>
            <w:r>
              <w:rPr>
                <w:sz w:val="18"/>
              </w:rPr>
              <w:t>NYMEX</w:t>
            </w:r>
          </w:p>
        </w:tc>
      </w:tr>
      <w:tr>
        <w:tc>
          <w:tcPr>
            <w:tcW w:type="dxa" w:w="2160"/>
          </w:tcPr>
          <w:p>
            <w:pPr/>
            <w:r>
              <w:rPr>
                <w:sz w:val="18"/>
              </w:rPr>
              <w:t>Brent Crude Oil (Financial)</w:t>
            </w:r>
          </w:p>
        </w:tc>
        <w:tc>
          <w:tcPr>
            <w:tcW w:type="dxa" w:w="2160"/>
          </w:tcPr>
          <w:p>
            <w:pPr/>
            <w:r>
              <w:rPr>
                <w:sz w:val="18"/>
              </w:rPr>
              <w:t>BZ</w:t>
            </w:r>
          </w:p>
        </w:tc>
        <w:tc>
          <w:tcPr>
            <w:tcW w:type="dxa" w:w="2160"/>
          </w:tcPr>
          <w:p>
            <w:pPr/>
            <w:r>
              <w:rPr>
                <w:sz w:val="18"/>
              </w:rPr>
              <w:t>1,000 barrels</w:t>
            </w:r>
          </w:p>
        </w:tc>
        <w:tc>
          <w:tcPr>
            <w:tcW w:type="dxa" w:w="2160"/>
          </w:tcPr>
          <w:p>
            <w:pPr/>
            <w:r>
              <w:rPr>
                <w:sz w:val="18"/>
              </w:rPr>
              <w:t>NYMEX</w:t>
            </w:r>
          </w:p>
        </w:tc>
      </w:tr>
      <w:tr>
        <w:tc>
          <w:tcPr>
            <w:tcW w:type="dxa" w:w="2160"/>
          </w:tcPr>
          <w:p>
            <w:pPr/>
            <w:r>
              <w:rPr>
                <w:sz w:val="18"/>
              </w:rPr>
              <w:t>Henry Hub Natural Gas</w:t>
            </w:r>
          </w:p>
        </w:tc>
        <w:tc>
          <w:tcPr>
            <w:tcW w:type="dxa" w:w="2160"/>
          </w:tcPr>
          <w:p>
            <w:pPr/>
            <w:r>
              <w:rPr>
                <w:sz w:val="18"/>
              </w:rPr>
              <w:t>NG</w:t>
            </w:r>
          </w:p>
        </w:tc>
        <w:tc>
          <w:tcPr>
            <w:tcW w:type="dxa" w:w="2160"/>
          </w:tcPr>
          <w:p>
            <w:pPr/>
            <w:r>
              <w:rPr>
                <w:sz w:val="18"/>
              </w:rPr>
              <w:t>10,000 MMBtu</w:t>
            </w:r>
          </w:p>
        </w:tc>
        <w:tc>
          <w:tcPr>
            <w:tcW w:type="dxa" w:w="2160"/>
          </w:tcPr>
          <w:p>
            <w:pPr/>
            <w:r>
              <w:rPr>
                <w:sz w:val="18"/>
              </w:rPr>
              <w:t>NYMEX</w:t>
            </w:r>
          </w:p>
        </w:tc>
      </w:tr>
      <w:tr>
        <w:tc>
          <w:tcPr>
            <w:tcW w:type="dxa" w:w="2160"/>
          </w:tcPr>
          <w:p>
            <w:pPr/>
            <w:r>
              <w:rPr>
                <w:sz w:val="18"/>
              </w:rPr>
              <w:t>RBOB Gasoline</w:t>
            </w:r>
          </w:p>
        </w:tc>
        <w:tc>
          <w:tcPr>
            <w:tcW w:type="dxa" w:w="2160"/>
          </w:tcPr>
          <w:p>
            <w:pPr/>
            <w:r>
              <w:rPr>
                <w:sz w:val="18"/>
              </w:rPr>
              <w:t>RB</w:t>
            </w:r>
          </w:p>
        </w:tc>
        <w:tc>
          <w:tcPr>
            <w:tcW w:type="dxa" w:w="2160"/>
          </w:tcPr>
          <w:p>
            <w:pPr/>
            <w:r>
              <w:rPr>
                <w:sz w:val="18"/>
              </w:rPr>
              <w:t>42,000 gallons</w:t>
            </w:r>
          </w:p>
        </w:tc>
        <w:tc>
          <w:tcPr>
            <w:tcW w:type="dxa" w:w="2160"/>
          </w:tcPr>
          <w:p>
            <w:pPr/>
            <w:r>
              <w:rPr>
                <w:sz w:val="18"/>
              </w:rPr>
              <w:t>NYMEX</w:t>
            </w:r>
          </w:p>
        </w:tc>
      </w:tr>
      <w:tr>
        <w:tc>
          <w:tcPr>
            <w:tcW w:type="dxa" w:w="2160"/>
          </w:tcPr>
          <w:p>
            <w:pPr/>
            <w:r>
              <w:rPr>
                <w:sz w:val="18"/>
              </w:rPr>
              <w:t>NY Harbor ULSD (Heating Oil)</w:t>
            </w:r>
          </w:p>
        </w:tc>
        <w:tc>
          <w:tcPr>
            <w:tcW w:type="dxa" w:w="2160"/>
          </w:tcPr>
          <w:p>
            <w:pPr/>
            <w:r>
              <w:rPr>
                <w:sz w:val="18"/>
              </w:rPr>
              <w:t>HO</w:t>
            </w:r>
          </w:p>
        </w:tc>
        <w:tc>
          <w:tcPr>
            <w:tcW w:type="dxa" w:w="2160"/>
          </w:tcPr>
          <w:p>
            <w:pPr/>
            <w:r>
              <w:rPr>
                <w:sz w:val="18"/>
              </w:rPr>
              <w:t>42,000 gallons</w:t>
            </w:r>
          </w:p>
        </w:tc>
        <w:tc>
          <w:tcPr>
            <w:tcW w:type="dxa" w:w="2160"/>
          </w:tcPr>
          <w:p>
            <w:pPr/>
            <w:r>
              <w:rPr>
                <w:sz w:val="18"/>
              </w:rPr>
              <w:t>NYMEX</w:t>
            </w:r>
          </w:p>
        </w:tc>
      </w:tr>
      <w:tr>
        <w:tc>
          <w:tcPr>
            <w:tcW w:type="dxa" w:w="2160"/>
          </w:tcPr>
          <w:p>
            <w:pPr/>
            <w:r>
              <w:rPr>
                <w:sz w:val="18"/>
              </w:rPr>
              <w:t>WTI Crude Oil Options</w:t>
            </w:r>
          </w:p>
        </w:tc>
        <w:tc>
          <w:tcPr>
            <w:tcW w:type="dxa" w:w="2160"/>
          </w:tcPr>
          <w:p>
            <w:pPr/>
            <w:r>
              <w:rPr>
                <w:sz w:val="18"/>
              </w:rPr>
              <w:t>—</w:t>
            </w:r>
          </w:p>
        </w:tc>
        <w:tc>
          <w:tcPr>
            <w:tcW w:type="dxa" w:w="2160"/>
          </w:tcPr>
          <w:p>
            <w:pPr/>
            <w:r>
              <w:rPr>
                <w:sz w:val="18"/>
              </w:rPr>
              <w:t>On CL futures</w:t>
            </w:r>
          </w:p>
        </w:tc>
        <w:tc>
          <w:tcPr>
            <w:tcW w:type="dxa" w:w="2160"/>
          </w:tcPr>
          <w:p>
            <w:pPr/>
            <w:r>
              <w:rPr>
                <w:sz w:val="18"/>
              </w:rPr>
              <w:t>NYMEX</w:t>
            </w:r>
          </w:p>
        </w:tc>
      </w:tr>
      <w:tr>
        <w:tc>
          <w:tcPr>
            <w:tcW w:type="dxa" w:w="2160"/>
          </w:tcPr>
          <w:p>
            <w:pPr/>
            <w:r>
              <w:rPr>
                <w:sz w:val="18"/>
              </w:rPr>
              <w:t>Natural Gas Options</w:t>
            </w:r>
          </w:p>
        </w:tc>
        <w:tc>
          <w:tcPr>
            <w:tcW w:type="dxa" w:w="2160"/>
          </w:tcPr>
          <w:p>
            <w:pPr/>
            <w:r>
              <w:rPr>
                <w:sz w:val="18"/>
              </w:rPr>
              <w:t>—</w:t>
            </w:r>
          </w:p>
        </w:tc>
        <w:tc>
          <w:tcPr>
            <w:tcW w:type="dxa" w:w="2160"/>
          </w:tcPr>
          <w:p>
            <w:pPr/>
            <w:r>
              <w:rPr>
                <w:sz w:val="18"/>
              </w:rPr>
              <w:t>On NG futures</w:t>
            </w:r>
          </w:p>
        </w:tc>
        <w:tc>
          <w:tcPr>
            <w:tcW w:type="dxa" w:w="2160"/>
          </w:tcPr>
          <w:p>
            <w:pPr/>
            <w:r>
              <w:rPr>
                <w:sz w:val="18"/>
              </w:rPr>
              <w:t>NYMEX</w:t>
            </w:r>
          </w:p>
        </w:tc>
      </w:tr>
      <w:tr>
        <w:tc>
          <w:tcPr>
            <w:tcW w:type="dxa" w:w="2160"/>
          </w:tcPr>
          <w:p>
            <w:pPr/>
            <w:r>
              <w:rPr>
                <w:sz w:val="18"/>
              </w:rPr>
              <w:t>E-mini Natural Gas</w:t>
            </w:r>
          </w:p>
        </w:tc>
        <w:tc>
          <w:tcPr>
            <w:tcW w:type="dxa" w:w="2160"/>
          </w:tcPr>
          <w:p>
            <w:pPr/>
            <w:r>
              <w:rPr>
                <w:sz w:val="18"/>
              </w:rPr>
              <w:t>QG</w:t>
            </w:r>
          </w:p>
        </w:tc>
        <w:tc>
          <w:tcPr>
            <w:tcW w:type="dxa" w:w="2160"/>
          </w:tcPr>
          <w:p>
            <w:pPr/>
            <w:r>
              <w:rPr>
                <w:sz w:val="18"/>
              </w:rPr>
              <w:t>2,500 MMBtu</w:t>
            </w:r>
          </w:p>
        </w:tc>
        <w:tc>
          <w:tcPr>
            <w:tcW w:type="dxa" w:w="2160"/>
          </w:tcPr>
          <w:p>
            <w:pPr/>
            <w:r>
              <w:rPr>
                <w:sz w:val="18"/>
              </w:rPr>
              <w:t>NYMEX</w:t>
            </w:r>
          </w:p>
        </w:tc>
      </w:tr>
    </w:tbl>
    <w:p/>
    <w:p>
      <w:pPr>
        <w:pStyle w:val="Heading4"/>
      </w:pPr>
      <w:r>
        <w:t>Metals Products (COMEX / NYMEX)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Exchange</w:t>
            </w:r>
          </w:p>
        </w:tc>
      </w:tr>
      <w:tr>
        <w:tc>
          <w:tcPr>
            <w:tcW w:type="dxa" w:w="2160"/>
          </w:tcPr>
          <w:p>
            <w:pPr/>
            <w:r>
              <w:rPr>
                <w:sz w:val="18"/>
              </w:rPr>
              <w:t>Gold</w:t>
            </w:r>
          </w:p>
        </w:tc>
        <w:tc>
          <w:tcPr>
            <w:tcW w:type="dxa" w:w="2160"/>
          </w:tcPr>
          <w:p>
            <w:pPr/>
            <w:r>
              <w:rPr>
                <w:sz w:val="18"/>
              </w:rPr>
              <w:t>GC</w:t>
            </w:r>
          </w:p>
        </w:tc>
        <w:tc>
          <w:tcPr>
            <w:tcW w:type="dxa" w:w="2160"/>
          </w:tcPr>
          <w:p>
            <w:pPr/>
            <w:r>
              <w:rPr>
                <w:sz w:val="18"/>
              </w:rPr>
              <w:t>100 troy oz</w:t>
            </w:r>
          </w:p>
        </w:tc>
        <w:tc>
          <w:tcPr>
            <w:tcW w:type="dxa" w:w="2160"/>
          </w:tcPr>
          <w:p>
            <w:pPr/>
            <w:r>
              <w:rPr>
                <w:sz w:val="18"/>
              </w:rPr>
              <w:t>COMEX</w:t>
            </w:r>
          </w:p>
        </w:tc>
      </w:tr>
      <w:tr>
        <w:tc>
          <w:tcPr>
            <w:tcW w:type="dxa" w:w="2160"/>
          </w:tcPr>
          <w:p>
            <w:pPr/>
            <w:r>
              <w:rPr>
                <w:sz w:val="18"/>
              </w:rPr>
              <w:t>Micro Gold</w:t>
            </w:r>
          </w:p>
        </w:tc>
        <w:tc>
          <w:tcPr>
            <w:tcW w:type="dxa" w:w="2160"/>
          </w:tcPr>
          <w:p>
            <w:pPr/>
            <w:r>
              <w:rPr>
                <w:sz w:val="18"/>
              </w:rPr>
              <w:t>MGC</w:t>
            </w:r>
          </w:p>
        </w:tc>
        <w:tc>
          <w:tcPr>
            <w:tcW w:type="dxa" w:w="2160"/>
          </w:tcPr>
          <w:p>
            <w:pPr/>
            <w:r>
              <w:rPr>
                <w:sz w:val="18"/>
              </w:rPr>
              <w:t>10 troy oz</w:t>
            </w:r>
          </w:p>
        </w:tc>
        <w:tc>
          <w:tcPr>
            <w:tcW w:type="dxa" w:w="2160"/>
          </w:tcPr>
          <w:p>
            <w:pPr/>
            <w:r>
              <w:rPr>
                <w:sz w:val="18"/>
              </w:rPr>
              <w:t>COMEX</w:t>
            </w:r>
          </w:p>
        </w:tc>
      </w:tr>
      <w:tr>
        <w:tc>
          <w:tcPr>
            <w:tcW w:type="dxa" w:w="2160"/>
          </w:tcPr>
          <w:p>
            <w:pPr/>
            <w:r>
              <w:rPr>
                <w:sz w:val="18"/>
              </w:rPr>
              <w:t>1-oz Gold</w:t>
            </w:r>
          </w:p>
        </w:tc>
        <w:tc>
          <w:tcPr>
            <w:tcW w:type="dxa" w:w="2160"/>
          </w:tcPr>
          <w:p>
            <w:pPr/>
            <w:r>
              <w:rPr>
                <w:sz w:val="18"/>
              </w:rPr>
              <w:t>—</w:t>
            </w:r>
          </w:p>
        </w:tc>
        <w:tc>
          <w:tcPr>
            <w:tcW w:type="dxa" w:w="2160"/>
          </w:tcPr>
          <w:p>
            <w:pPr/>
            <w:r>
              <w:rPr>
                <w:sz w:val="18"/>
              </w:rPr>
              <w:t>1 troy oz</w:t>
            </w:r>
          </w:p>
        </w:tc>
        <w:tc>
          <w:tcPr>
            <w:tcW w:type="dxa" w:w="2160"/>
          </w:tcPr>
          <w:p>
            <w:pPr/>
            <w:r>
              <w:rPr>
                <w:sz w:val="18"/>
              </w:rPr>
              <w:t>COMEX</w:t>
            </w:r>
          </w:p>
        </w:tc>
      </w:tr>
      <w:tr>
        <w:tc>
          <w:tcPr>
            <w:tcW w:type="dxa" w:w="2160"/>
          </w:tcPr>
          <w:p>
            <w:pPr/>
            <w:r>
              <w:rPr>
                <w:sz w:val="18"/>
              </w:rPr>
              <w:t>Silver</w:t>
            </w:r>
          </w:p>
        </w:tc>
        <w:tc>
          <w:tcPr>
            <w:tcW w:type="dxa" w:w="2160"/>
          </w:tcPr>
          <w:p>
            <w:pPr/>
            <w:r>
              <w:rPr>
                <w:sz w:val="18"/>
              </w:rPr>
              <w:t>SI</w:t>
            </w:r>
          </w:p>
        </w:tc>
        <w:tc>
          <w:tcPr>
            <w:tcW w:type="dxa" w:w="2160"/>
          </w:tcPr>
          <w:p>
            <w:pPr/>
            <w:r>
              <w:rPr>
                <w:sz w:val="18"/>
              </w:rPr>
              <w:t>5,000 troy oz</w:t>
            </w:r>
          </w:p>
        </w:tc>
        <w:tc>
          <w:tcPr>
            <w:tcW w:type="dxa" w:w="2160"/>
          </w:tcPr>
          <w:p>
            <w:pPr/>
            <w:r>
              <w:rPr>
                <w:sz w:val="18"/>
              </w:rPr>
              <w:t>COMEX</w:t>
            </w:r>
          </w:p>
        </w:tc>
      </w:tr>
      <w:tr>
        <w:tc>
          <w:tcPr>
            <w:tcW w:type="dxa" w:w="2160"/>
          </w:tcPr>
          <w:p>
            <w:pPr/>
            <w:r>
              <w:rPr>
                <w:sz w:val="18"/>
              </w:rPr>
              <w:t>Micro Silver</w:t>
            </w:r>
          </w:p>
        </w:tc>
        <w:tc>
          <w:tcPr>
            <w:tcW w:type="dxa" w:w="2160"/>
          </w:tcPr>
          <w:p>
            <w:pPr/>
            <w:r>
              <w:rPr>
                <w:sz w:val="18"/>
              </w:rPr>
              <w:t>SIL</w:t>
            </w:r>
          </w:p>
        </w:tc>
        <w:tc>
          <w:tcPr>
            <w:tcW w:type="dxa" w:w="2160"/>
          </w:tcPr>
          <w:p>
            <w:pPr/>
            <w:r>
              <w:rPr>
                <w:sz w:val="18"/>
              </w:rPr>
              <w:t>1,000 troy oz</w:t>
            </w:r>
          </w:p>
        </w:tc>
        <w:tc>
          <w:tcPr>
            <w:tcW w:type="dxa" w:w="2160"/>
          </w:tcPr>
          <w:p>
            <w:pPr/>
            <w:r>
              <w:rPr>
                <w:sz w:val="18"/>
              </w:rPr>
              <w:t>COMEX</w:t>
            </w:r>
          </w:p>
        </w:tc>
      </w:tr>
      <w:tr>
        <w:tc>
          <w:tcPr>
            <w:tcW w:type="dxa" w:w="2160"/>
          </w:tcPr>
          <w:p>
            <w:pPr/>
            <w:r>
              <w:rPr>
                <w:sz w:val="18"/>
              </w:rPr>
              <w:t>Copper</w:t>
            </w:r>
          </w:p>
        </w:tc>
        <w:tc>
          <w:tcPr>
            <w:tcW w:type="dxa" w:w="2160"/>
          </w:tcPr>
          <w:p>
            <w:pPr/>
            <w:r>
              <w:rPr>
                <w:sz w:val="18"/>
              </w:rPr>
              <w:t>HG</w:t>
            </w:r>
          </w:p>
        </w:tc>
        <w:tc>
          <w:tcPr>
            <w:tcW w:type="dxa" w:w="2160"/>
          </w:tcPr>
          <w:p>
            <w:pPr/>
            <w:r>
              <w:rPr>
                <w:sz w:val="18"/>
              </w:rPr>
              <w:t>25,000 lbs</w:t>
            </w:r>
          </w:p>
        </w:tc>
        <w:tc>
          <w:tcPr>
            <w:tcW w:type="dxa" w:w="2160"/>
          </w:tcPr>
          <w:p>
            <w:pPr/>
            <w:r>
              <w:rPr>
                <w:sz w:val="18"/>
              </w:rPr>
              <w:t>COMEX</w:t>
            </w:r>
          </w:p>
        </w:tc>
      </w:tr>
      <w:tr>
        <w:tc>
          <w:tcPr>
            <w:tcW w:type="dxa" w:w="2160"/>
          </w:tcPr>
          <w:p>
            <w:pPr/>
            <w:r>
              <w:rPr>
                <w:sz w:val="18"/>
              </w:rPr>
              <w:t>Platinum</w:t>
            </w:r>
          </w:p>
        </w:tc>
        <w:tc>
          <w:tcPr>
            <w:tcW w:type="dxa" w:w="2160"/>
          </w:tcPr>
          <w:p>
            <w:pPr/>
            <w:r>
              <w:rPr>
                <w:sz w:val="18"/>
              </w:rPr>
              <w:t>PL</w:t>
            </w:r>
          </w:p>
        </w:tc>
        <w:tc>
          <w:tcPr>
            <w:tcW w:type="dxa" w:w="2160"/>
          </w:tcPr>
          <w:p>
            <w:pPr/>
            <w:r>
              <w:rPr>
                <w:sz w:val="18"/>
              </w:rPr>
              <w:t>50 troy oz</w:t>
            </w:r>
          </w:p>
        </w:tc>
        <w:tc>
          <w:tcPr>
            <w:tcW w:type="dxa" w:w="2160"/>
          </w:tcPr>
          <w:p>
            <w:pPr/>
            <w:r>
              <w:rPr>
                <w:sz w:val="18"/>
              </w:rPr>
              <w:t>NYMEX</w:t>
            </w:r>
          </w:p>
        </w:tc>
      </w:tr>
      <w:tr>
        <w:tc>
          <w:tcPr>
            <w:tcW w:type="dxa" w:w="2160"/>
          </w:tcPr>
          <w:p>
            <w:pPr/>
            <w:r>
              <w:rPr>
                <w:sz w:val="18"/>
              </w:rPr>
              <w:t>Palladium</w:t>
            </w:r>
          </w:p>
        </w:tc>
        <w:tc>
          <w:tcPr>
            <w:tcW w:type="dxa" w:w="2160"/>
          </w:tcPr>
          <w:p>
            <w:pPr/>
            <w:r>
              <w:rPr>
                <w:sz w:val="18"/>
              </w:rPr>
              <w:t>PA</w:t>
            </w:r>
          </w:p>
        </w:tc>
        <w:tc>
          <w:tcPr>
            <w:tcW w:type="dxa" w:w="2160"/>
          </w:tcPr>
          <w:p>
            <w:pPr/>
            <w:r>
              <w:rPr>
                <w:sz w:val="18"/>
              </w:rPr>
              <w:t>100 troy oz</w:t>
            </w:r>
          </w:p>
        </w:tc>
        <w:tc>
          <w:tcPr>
            <w:tcW w:type="dxa" w:w="2160"/>
          </w:tcPr>
          <w:p>
            <w:pPr/>
            <w:r>
              <w:rPr>
                <w:sz w:val="18"/>
              </w:rPr>
              <w:t>NYMEX</w:t>
            </w:r>
          </w:p>
        </w:tc>
      </w:tr>
      <w:tr>
        <w:tc>
          <w:tcPr>
            <w:tcW w:type="dxa" w:w="2160"/>
          </w:tcPr>
          <w:p>
            <w:pPr/>
            <w:r>
              <w:rPr>
                <w:sz w:val="18"/>
              </w:rPr>
              <w:t>Aluminum</w:t>
            </w:r>
          </w:p>
        </w:tc>
        <w:tc>
          <w:tcPr>
            <w:tcW w:type="dxa" w:w="2160"/>
          </w:tcPr>
          <w:p>
            <w:pPr/>
            <w:r>
              <w:rPr>
                <w:sz w:val="18"/>
              </w:rPr>
              <w:t>ALI</w:t>
            </w:r>
          </w:p>
        </w:tc>
        <w:tc>
          <w:tcPr>
            <w:tcW w:type="dxa" w:w="2160"/>
          </w:tcPr>
          <w:p>
            <w:pPr/>
            <w:r>
              <w:rPr>
                <w:sz w:val="18"/>
              </w:rPr>
              <w:t>25 metric tons</w:t>
            </w:r>
          </w:p>
        </w:tc>
        <w:tc>
          <w:tcPr>
            <w:tcW w:type="dxa" w:w="2160"/>
          </w:tcPr>
          <w:p>
            <w:pPr/>
            <w:r>
              <w:rPr>
                <w:sz w:val="18"/>
              </w:rPr>
              <w:t>COMEX</w:t>
            </w:r>
          </w:p>
        </w:tc>
      </w:tr>
      <w:tr>
        <w:tc>
          <w:tcPr>
            <w:tcW w:type="dxa" w:w="2160"/>
          </w:tcPr>
          <w:p>
            <w:pPr/>
            <w:r>
              <w:rPr>
                <w:sz w:val="18"/>
              </w:rPr>
              <w:t>Gold Options</w:t>
            </w:r>
          </w:p>
        </w:tc>
        <w:tc>
          <w:tcPr>
            <w:tcW w:type="dxa" w:w="2160"/>
          </w:tcPr>
          <w:p>
            <w:pPr/>
            <w:r>
              <w:rPr>
                <w:sz w:val="18"/>
              </w:rPr>
              <w:t>—</w:t>
            </w:r>
          </w:p>
        </w:tc>
        <w:tc>
          <w:tcPr>
            <w:tcW w:type="dxa" w:w="2160"/>
          </w:tcPr>
          <w:p>
            <w:pPr/>
            <w:r>
              <w:rPr>
                <w:sz w:val="18"/>
              </w:rPr>
              <w:t>On GC futures</w:t>
            </w:r>
          </w:p>
        </w:tc>
        <w:tc>
          <w:tcPr>
            <w:tcW w:type="dxa" w:w="2160"/>
          </w:tcPr>
          <w:p>
            <w:pPr/>
            <w:r>
              <w:rPr>
                <w:sz w:val="18"/>
              </w:rPr>
              <w:t>COMEX</w:t>
            </w:r>
          </w:p>
        </w:tc>
      </w:tr>
      <w:tr>
        <w:tc>
          <w:tcPr>
            <w:tcW w:type="dxa" w:w="2160"/>
          </w:tcPr>
          <w:p>
            <w:pPr/>
            <w:r>
              <w:rPr>
                <w:sz w:val="18"/>
              </w:rPr>
              <w:t>Gold (Enhanced Delivery)</w:t>
            </w:r>
          </w:p>
        </w:tc>
        <w:tc>
          <w:tcPr>
            <w:tcW w:type="dxa" w:w="2160"/>
          </w:tcPr>
          <w:p>
            <w:pPr/>
            <w:r>
              <w:rPr>
                <w:sz w:val="18"/>
              </w:rPr>
              <w:t>4GC</w:t>
            </w:r>
          </w:p>
        </w:tc>
        <w:tc>
          <w:tcPr>
            <w:tcW w:type="dxa" w:w="2160"/>
          </w:tcPr>
          <w:p>
            <w:pPr/>
            <w:r>
              <w:rPr>
                <w:sz w:val="18"/>
              </w:rPr>
              <w:t>100 troy oz (London delivery)</w:t>
            </w:r>
          </w:p>
        </w:tc>
        <w:tc>
          <w:tcPr>
            <w:tcW w:type="dxa" w:w="2160"/>
          </w:tcPr>
          <w:p>
            <w:pPr/>
            <w:r>
              <w:rPr>
                <w:sz w:val="18"/>
              </w:rPr>
              <w:t>COMEX</w:t>
            </w:r>
          </w:p>
        </w:tc>
      </w:tr>
    </w:tbl>
    <w:p/>
    <w:p>
      <w:pPr>
        <w:pStyle w:val="Heading4"/>
      </w:pPr>
      <w:r>
        <w:t>Agricultural Products (CBOT / CME)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Exchange</w:t>
            </w:r>
          </w:p>
        </w:tc>
      </w:tr>
      <w:tr>
        <w:tc>
          <w:tcPr>
            <w:tcW w:type="dxa" w:w="2160"/>
          </w:tcPr>
          <w:p>
            <w:pPr/>
            <w:r>
              <w:rPr>
                <w:sz w:val="18"/>
              </w:rPr>
              <w:t>Corn</w:t>
            </w:r>
          </w:p>
        </w:tc>
        <w:tc>
          <w:tcPr>
            <w:tcW w:type="dxa" w:w="2160"/>
          </w:tcPr>
          <w:p>
            <w:pPr/>
            <w:r>
              <w:rPr>
                <w:sz w:val="18"/>
              </w:rPr>
              <w:t>ZC</w:t>
            </w:r>
          </w:p>
        </w:tc>
        <w:tc>
          <w:tcPr>
            <w:tcW w:type="dxa" w:w="2160"/>
          </w:tcPr>
          <w:p>
            <w:pPr/>
            <w:r>
              <w:rPr>
                <w:sz w:val="18"/>
              </w:rPr>
              <w:t>5,000 bushels</w:t>
            </w:r>
          </w:p>
        </w:tc>
        <w:tc>
          <w:tcPr>
            <w:tcW w:type="dxa" w:w="2160"/>
          </w:tcPr>
          <w:p>
            <w:pPr/>
            <w:r>
              <w:rPr>
                <w:sz w:val="18"/>
              </w:rPr>
              <w:t>CBOT</w:t>
            </w:r>
          </w:p>
        </w:tc>
      </w:tr>
      <w:tr>
        <w:tc>
          <w:tcPr>
            <w:tcW w:type="dxa" w:w="2160"/>
          </w:tcPr>
          <w:p>
            <w:pPr/>
            <w:r>
              <w:rPr>
                <w:sz w:val="18"/>
              </w:rPr>
              <w:t>Soybeans</w:t>
            </w:r>
          </w:p>
        </w:tc>
        <w:tc>
          <w:tcPr>
            <w:tcW w:type="dxa" w:w="2160"/>
          </w:tcPr>
          <w:p>
            <w:pPr/>
            <w:r>
              <w:rPr>
                <w:sz w:val="18"/>
              </w:rPr>
              <w:t>ZS</w:t>
            </w:r>
          </w:p>
        </w:tc>
        <w:tc>
          <w:tcPr>
            <w:tcW w:type="dxa" w:w="2160"/>
          </w:tcPr>
          <w:p>
            <w:pPr/>
            <w:r>
              <w:rPr>
                <w:sz w:val="18"/>
              </w:rPr>
              <w:t>5,000 bushels</w:t>
            </w:r>
          </w:p>
        </w:tc>
        <w:tc>
          <w:tcPr>
            <w:tcW w:type="dxa" w:w="2160"/>
          </w:tcPr>
          <w:p>
            <w:pPr/>
            <w:r>
              <w:rPr>
                <w:sz w:val="18"/>
              </w:rPr>
              <w:t>CBOT</w:t>
            </w:r>
          </w:p>
        </w:tc>
      </w:tr>
      <w:tr>
        <w:tc>
          <w:tcPr>
            <w:tcW w:type="dxa" w:w="2160"/>
          </w:tcPr>
          <w:p>
            <w:pPr/>
            <w:r>
              <w:rPr>
                <w:sz w:val="18"/>
              </w:rPr>
              <w:t>Soybean Meal</w:t>
            </w:r>
          </w:p>
        </w:tc>
        <w:tc>
          <w:tcPr>
            <w:tcW w:type="dxa" w:w="2160"/>
          </w:tcPr>
          <w:p>
            <w:pPr/>
            <w:r>
              <w:rPr>
                <w:sz w:val="18"/>
              </w:rPr>
              <w:t>ZM</w:t>
            </w:r>
          </w:p>
        </w:tc>
        <w:tc>
          <w:tcPr>
            <w:tcW w:type="dxa" w:w="2160"/>
          </w:tcPr>
          <w:p>
            <w:pPr/>
            <w:r>
              <w:rPr>
                <w:sz w:val="18"/>
              </w:rPr>
              <w:t>100 short tons</w:t>
            </w:r>
          </w:p>
        </w:tc>
        <w:tc>
          <w:tcPr>
            <w:tcW w:type="dxa" w:w="2160"/>
          </w:tcPr>
          <w:p>
            <w:pPr/>
            <w:r>
              <w:rPr>
                <w:sz w:val="18"/>
              </w:rPr>
              <w:t>CBOT</w:t>
            </w:r>
          </w:p>
        </w:tc>
      </w:tr>
      <w:tr>
        <w:tc>
          <w:tcPr>
            <w:tcW w:type="dxa" w:w="2160"/>
          </w:tcPr>
          <w:p>
            <w:pPr/>
            <w:r>
              <w:rPr>
                <w:sz w:val="18"/>
              </w:rPr>
              <w:t>Soybean Oil</w:t>
            </w:r>
          </w:p>
        </w:tc>
        <w:tc>
          <w:tcPr>
            <w:tcW w:type="dxa" w:w="2160"/>
          </w:tcPr>
          <w:p>
            <w:pPr/>
            <w:r>
              <w:rPr>
                <w:sz w:val="18"/>
              </w:rPr>
              <w:t>ZL</w:t>
            </w:r>
          </w:p>
        </w:tc>
        <w:tc>
          <w:tcPr>
            <w:tcW w:type="dxa" w:w="2160"/>
          </w:tcPr>
          <w:p>
            <w:pPr/>
            <w:r>
              <w:rPr>
                <w:sz w:val="18"/>
              </w:rPr>
              <w:t>60,000 lbs</w:t>
            </w:r>
          </w:p>
        </w:tc>
        <w:tc>
          <w:tcPr>
            <w:tcW w:type="dxa" w:w="2160"/>
          </w:tcPr>
          <w:p>
            <w:pPr/>
            <w:r>
              <w:rPr>
                <w:sz w:val="18"/>
              </w:rPr>
              <w:t>CBOT</w:t>
            </w:r>
          </w:p>
        </w:tc>
      </w:tr>
      <w:tr>
        <w:tc>
          <w:tcPr>
            <w:tcW w:type="dxa" w:w="2160"/>
          </w:tcPr>
          <w:p>
            <w:pPr/>
            <w:r>
              <w:rPr>
                <w:sz w:val="18"/>
              </w:rPr>
              <w:t>Chicago SRW Wheat</w:t>
            </w:r>
          </w:p>
        </w:tc>
        <w:tc>
          <w:tcPr>
            <w:tcW w:type="dxa" w:w="2160"/>
          </w:tcPr>
          <w:p>
            <w:pPr/>
            <w:r>
              <w:rPr>
                <w:sz w:val="18"/>
              </w:rPr>
              <w:t>ZW</w:t>
            </w:r>
          </w:p>
        </w:tc>
        <w:tc>
          <w:tcPr>
            <w:tcW w:type="dxa" w:w="2160"/>
          </w:tcPr>
          <w:p>
            <w:pPr/>
            <w:r>
              <w:rPr>
                <w:sz w:val="18"/>
              </w:rPr>
              <w:t>5,000 bushels</w:t>
            </w:r>
          </w:p>
        </w:tc>
        <w:tc>
          <w:tcPr>
            <w:tcW w:type="dxa" w:w="2160"/>
          </w:tcPr>
          <w:p>
            <w:pPr/>
            <w:r>
              <w:rPr>
                <w:sz w:val="18"/>
              </w:rPr>
              <w:t>CBOT</w:t>
            </w:r>
          </w:p>
        </w:tc>
      </w:tr>
      <w:tr>
        <w:tc>
          <w:tcPr>
            <w:tcW w:type="dxa" w:w="2160"/>
          </w:tcPr>
          <w:p>
            <w:pPr/>
            <w:r>
              <w:rPr>
                <w:sz w:val="18"/>
              </w:rPr>
              <w:t>KC HRW Wheat</w:t>
            </w:r>
          </w:p>
        </w:tc>
        <w:tc>
          <w:tcPr>
            <w:tcW w:type="dxa" w:w="2160"/>
          </w:tcPr>
          <w:p>
            <w:pPr/>
            <w:r>
              <w:rPr>
                <w:sz w:val="18"/>
              </w:rPr>
              <w:t>KE</w:t>
            </w:r>
          </w:p>
        </w:tc>
        <w:tc>
          <w:tcPr>
            <w:tcW w:type="dxa" w:w="2160"/>
          </w:tcPr>
          <w:p>
            <w:pPr/>
            <w:r>
              <w:rPr>
                <w:sz w:val="18"/>
              </w:rPr>
              <w:t>5,000 bushels</w:t>
            </w:r>
          </w:p>
        </w:tc>
        <w:tc>
          <w:tcPr>
            <w:tcW w:type="dxa" w:w="2160"/>
          </w:tcPr>
          <w:p>
            <w:pPr/>
            <w:r>
              <w:rPr>
                <w:sz w:val="18"/>
              </w:rPr>
              <w:t>CBOT</w:t>
            </w:r>
          </w:p>
        </w:tc>
      </w:tr>
      <w:tr>
        <w:tc>
          <w:tcPr>
            <w:tcW w:type="dxa" w:w="2160"/>
          </w:tcPr>
          <w:p>
            <w:pPr/>
            <w:r>
              <w:rPr>
                <w:sz w:val="18"/>
              </w:rPr>
              <w:t>Oats</w:t>
            </w:r>
          </w:p>
        </w:tc>
        <w:tc>
          <w:tcPr>
            <w:tcW w:type="dxa" w:w="2160"/>
          </w:tcPr>
          <w:p>
            <w:pPr/>
            <w:r>
              <w:rPr>
                <w:sz w:val="18"/>
              </w:rPr>
              <w:t>ZO</w:t>
            </w:r>
          </w:p>
        </w:tc>
        <w:tc>
          <w:tcPr>
            <w:tcW w:type="dxa" w:w="2160"/>
          </w:tcPr>
          <w:p>
            <w:pPr/>
            <w:r>
              <w:rPr>
                <w:sz w:val="18"/>
              </w:rPr>
              <w:t>5,000 bushels</w:t>
            </w:r>
          </w:p>
        </w:tc>
        <w:tc>
          <w:tcPr>
            <w:tcW w:type="dxa" w:w="2160"/>
          </w:tcPr>
          <w:p>
            <w:pPr/>
            <w:r>
              <w:rPr>
                <w:sz w:val="18"/>
              </w:rPr>
              <w:t>CBOT</w:t>
            </w:r>
          </w:p>
        </w:tc>
      </w:tr>
      <w:tr>
        <w:tc>
          <w:tcPr>
            <w:tcW w:type="dxa" w:w="2160"/>
          </w:tcPr>
          <w:p>
            <w:pPr/>
            <w:r>
              <w:rPr>
                <w:sz w:val="18"/>
              </w:rPr>
              <w:t>Rough Rice</w:t>
            </w:r>
          </w:p>
        </w:tc>
        <w:tc>
          <w:tcPr>
            <w:tcW w:type="dxa" w:w="2160"/>
          </w:tcPr>
          <w:p>
            <w:pPr/>
            <w:r>
              <w:rPr>
                <w:sz w:val="18"/>
              </w:rPr>
              <w:t>ZR</w:t>
            </w:r>
          </w:p>
        </w:tc>
        <w:tc>
          <w:tcPr>
            <w:tcW w:type="dxa" w:w="2160"/>
          </w:tcPr>
          <w:p>
            <w:pPr/>
            <w:r>
              <w:rPr>
                <w:sz w:val="18"/>
              </w:rPr>
              <w:t>2,000 cwt</w:t>
            </w:r>
          </w:p>
        </w:tc>
        <w:tc>
          <w:tcPr>
            <w:tcW w:type="dxa" w:w="2160"/>
          </w:tcPr>
          <w:p>
            <w:pPr/>
            <w:r>
              <w:rPr>
                <w:sz w:val="18"/>
              </w:rPr>
              <w:t>CBOT</w:t>
            </w:r>
          </w:p>
        </w:tc>
      </w:tr>
      <w:tr>
        <w:tc>
          <w:tcPr>
            <w:tcW w:type="dxa" w:w="2160"/>
          </w:tcPr>
          <w:p>
            <w:pPr/>
            <w:r>
              <w:rPr>
                <w:sz w:val="18"/>
              </w:rPr>
              <w:t>Live Cattle</w:t>
            </w:r>
          </w:p>
        </w:tc>
        <w:tc>
          <w:tcPr>
            <w:tcW w:type="dxa" w:w="2160"/>
          </w:tcPr>
          <w:p>
            <w:pPr/>
            <w:r>
              <w:rPr>
                <w:sz w:val="18"/>
              </w:rPr>
              <w:t>LE</w:t>
            </w:r>
          </w:p>
        </w:tc>
        <w:tc>
          <w:tcPr>
            <w:tcW w:type="dxa" w:w="2160"/>
          </w:tcPr>
          <w:p>
            <w:pPr/>
            <w:r>
              <w:rPr>
                <w:sz w:val="18"/>
              </w:rPr>
              <w:t>40,000 lbs</w:t>
            </w:r>
          </w:p>
        </w:tc>
        <w:tc>
          <w:tcPr>
            <w:tcW w:type="dxa" w:w="2160"/>
          </w:tcPr>
          <w:p>
            <w:pPr/>
            <w:r>
              <w:rPr>
                <w:sz w:val="18"/>
              </w:rPr>
              <w:t>CME</w:t>
            </w:r>
          </w:p>
        </w:tc>
      </w:tr>
      <w:tr>
        <w:tc>
          <w:tcPr>
            <w:tcW w:type="dxa" w:w="2160"/>
          </w:tcPr>
          <w:p>
            <w:pPr/>
            <w:r>
              <w:rPr>
                <w:sz w:val="18"/>
              </w:rPr>
              <w:t>Feeder Cattle</w:t>
            </w:r>
          </w:p>
        </w:tc>
        <w:tc>
          <w:tcPr>
            <w:tcW w:type="dxa" w:w="2160"/>
          </w:tcPr>
          <w:p>
            <w:pPr/>
            <w:r>
              <w:rPr>
                <w:sz w:val="18"/>
              </w:rPr>
              <w:t>GF</w:t>
            </w:r>
          </w:p>
        </w:tc>
        <w:tc>
          <w:tcPr>
            <w:tcW w:type="dxa" w:w="2160"/>
          </w:tcPr>
          <w:p>
            <w:pPr/>
            <w:r>
              <w:rPr>
                <w:sz w:val="18"/>
              </w:rPr>
              <w:t>50,000 lbs</w:t>
            </w:r>
          </w:p>
        </w:tc>
        <w:tc>
          <w:tcPr>
            <w:tcW w:type="dxa" w:w="2160"/>
          </w:tcPr>
          <w:p>
            <w:pPr/>
            <w:r>
              <w:rPr>
                <w:sz w:val="18"/>
              </w:rPr>
              <w:t>CME</w:t>
            </w:r>
          </w:p>
        </w:tc>
      </w:tr>
      <w:tr>
        <w:tc>
          <w:tcPr>
            <w:tcW w:type="dxa" w:w="2160"/>
          </w:tcPr>
          <w:p>
            <w:pPr/>
            <w:r>
              <w:rPr>
                <w:sz w:val="18"/>
              </w:rPr>
              <w:t>Lean Hogs</w:t>
            </w:r>
          </w:p>
        </w:tc>
        <w:tc>
          <w:tcPr>
            <w:tcW w:type="dxa" w:w="2160"/>
          </w:tcPr>
          <w:p>
            <w:pPr/>
            <w:r>
              <w:rPr>
                <w:sz w:val="18"/>
              </w:rPr>
              <w:t>HE</w:t>
            </w:r>
          </w:p>
        </w:tc>
        <w:tc>
          <w:tcPr>
            <w:tcW w:type="dxa" w:w="2160"/>
          </w:tcPr>
          <w:p>
            <w:pPr/>
            <w:r>
              <w:rPr>
                <w:sz w:val="18"/>
              </w:rPr>
              <w:t>40,000 lbs</w:t>
            </w:r>
          </w:p>
        </w:tc>
        <w:tc>
          <w:tcPr>
            <w:tcW w:type="dxa" w:w="2160"/>
          </w:tcPr>
          <w:p>
            <w:pPr/>
            <w:r>
              <w:rPr>
                <w:sz w:val="18"/>
              </w:rPr>
              <w:t>CME</w:t>
            </w:r>
          </w:p>
        </w:tc>
      </w:tr>
      <w:tr>
        <w:tc>
          <w:tcPr>
            <w:tcW w:type="dxa" w:w="2160"/>
          </w:tcPr>
          <w:p>
            <w:pPr/>
            <w:r>
              <w:rPr>
                <w:sz w:val="18"/>
              </w:rPr>
              <w:t>Class III Milk</w:t>
            </w:r>
          </w:p>
        </w:tc>
        <w:tc>
          <w:tcPr>
            <w:tcW w:type="dxa" w:w="2160"/>
          </w:tcPr>
          <w:p>
            <w:pPr/>
            <w:r>
              <w:rPr>
                <w:sz w:val="18"/>
              </w:rPr>
              <w:t>DC</w:t>
            </w:r>
          </w:p>
        </w:tc>
        <w:tc>
          <w:tcPr>
            <w:tcW w:type="dxa" w:w="2160"/>
          </w:tcPr>
          <w:p>
            <w:pPr/>
            <w:r>
              <w:rPr>
                <w:sz w:val="18"/>
              </w:rPr>
              <w:t>200,000 lbs</w:t>
            </w:r>
          </w:p>
        </w:tc>
        <w:tc>
          <w:tcPr>
            <w:tcW w:type="dxa" w:w="2160"/>
          </w:tcPr>
          <w:p>
            <w:pPr/>
            <w:r>
              <w:rPr>
                <w:sz w:val="18"/>
              </w:rPr>
              <w:t>CME</w:t>
            </w:r>
          </w:p>
        </w:tc>
      </w:tr>
      <w:tr>
        <w:tc>
          <w:tcPr>
            <w:tcW w:type="dxa" w:w="2160"/>
          </w:tcPr>
          <w:p>
            <w:pPr/>
            <w:r>
              <w:rPr>
                <w:sz w:val="18"/>
              </w:rPr>
              <w:t>Random Length Lumber</w:t>
            </w:r>
          </w:p>
        </w:tc>
        <w:tc>
          <w:tcPr>
            <w:tcW w:type="dxa" w:w="2160"/>
          </w:tcPr>
          <w:p>
            <w:pPr/>
            <w:r>
              <w:rPr>
                <w:sz w:val="18"/>
              </w:rPr>
              <w:t>LBS</w:t>
            </w:r>
          </w:p>
        </w:tc>
        <w:tc>
          <w:tcPr>
            <w:tcW w:type="dxa" w:w="2160"/>
          </w:tcPr>
          <w:p>
            <w:pPr/>
            <w:r>
              <w:rPr>
                <w:sz w:val="18"/>
              </w:rPr>
              <w:t>27,500 board ft</w:t>
            </w:r>
          </w:p>
        </w:tc>
        <w:tc>
          <w:tcPr>
            <w:tcW w:type="dxa" w:w="2160"/>
          </w:tcPr>
          <w:p>
            <w:pPr/>
            <w:r>
              <w:rPr>
                <w:sz w:val="18"/>
              </w:rPr>
              <w:t>CME</w:t>
            </w:r>
          </w:p>
        </w:tc>
      </w:tr>
    </w:tbl>
    <w:p/>
    <w:p>
      <w:pPr>
        <w:pStyle w:val="Heading4"/>
      </w:pPr>
      <w:r>
        <w:t>Cryptocurrency Products (CME)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Symbol</w:t>
            </w:r>
          </w:p>
        </w:tc>
        <w:tc>
          <w:tcPr>
            <w:tcW w:type="dxa" w:w="2160"/>
          </w:tcPr>
          <w:p>
            <w:pPr/>
            <w:r>
              <w:rPr>
                <w:b/>
                <w:sz w:val="18"/>
              </w:rPr>
              <w:t>Contract Size</w:t>
            </w:r>
          </w:p>
        </w:tc>
        <w:tc>
          <w:tcPr>
            <w:tcW w:type="dxa" w:w="2160"/>
          </w:tcPr>
          <w:p>
            <w:pPr/>
            <w:r>
              <w:rPr>
                <w:b/>
                <w:sz w:val="18"/>
              </w:rPr>
              <w:t>Exchange</w:t>
            </w:r>
          </w:p>
        </w:tc>
      </w:tr>
      <w:tr>
        <w:tc>
          <w:tcPr>
            <w:tcW w:type="dxa" w:w="2160"/>
          </w:tcPr>
          <w:p>
            <w:pPr/>
            <w:r>
              <w:rPr>
                <w:sz w:val="18"/>
              </w:rPr>
              <w:t>Bitcoin Futures</w:t>
            </w:r>
          </w:p>
        </w:tc>
        <w:tc>
          <w:tcPr>
            <w:tcW w:type="dxa" w:w="2160"/>
          </w:tcPr>
          <w:p>
            <w:pPr/>
            <w:r>
              <w:rPr>
                <w:sz w:val="18"/>
              </w:rPr>
              <w:t>BTC</w:t>
            </w:r>
          </w:p>
        </w:tc>
        <w:tc>
          <w:tcPr>
            <w:tcW w:type="dxa" w:w="2160"/>
          </w:tcPr>
          <w:p>
            <w:pPr/>
            <w:r>
              <w:rPr>
                <w:sz w:val="18"/>
              </w:rPr>
              <w:t>5 BTC</w:t>
            </w:r>
          </w:p>
        </w:tc>
        <w:tc>
          <w:tcPr>
            <w:tcW w:type="dxa" w:w="2160"/>
          </w:tcPr>
          <w:p>
            <w:pPr/>
            <w:r>
              <w:rPr>
                <w:sz w:val="18"/>
              </w:rPr>
              <w:t>CME</w:t>
            </w:r>
          </w:p>
        </w:tc>
      </w:tr>
      <w:tr>
        <w:tc>
          <w:tcPr>
            <w:tcW w:type="dxa" w:w="2160"/>
          </w:tcPr>
          <w:p>
            <w:pPr/>
            <w:r>
              <w:rPr>
                <w:sz w:val="18"/>
              </w:rPr>
              <w:t>Micro Bitcoin Futures</w:t>
            </w:r>
          </w:p>
        </w:tc>
        <w:tc>
          <w:tcPr>
            <w:tcW w:type="dxa" w:w="2160"/>
          </w:tcPr>
          <w:p>
            <w:pPr/>
            <w:r>
              <w:rPr>
                <w:sz w:val="18"/>
              </w:rPr>
              <w:t>MBT</w:t>
            </w:r>
          </w:p>
        </w:tc>
        <w:tc>
          <w:tcPr>
            <w:tcW w:type="dxa" w:w="2160"/>
          </w:tcPr>
          <w:p>
            <w:pPr/>
            <w:r>
              <w:rPr>
                <w:sz w:val="18"/>
              </w:rPr>
              <w:t>1/10 BTC</w:t>
            </w:r>
          </w:p>
        </w:tc>
        <w:tc>
          <w:tcPr>
            <w:tcW w:type="dxa" w:w="2160"/>
          </w:tcPr>
          <w:p>
            <w:pPr/>
            <w:r>
              <w:rPr>
                <w:sz w:val="18"/>
              </w:rPr>
              <w:t>CME</w:t>
            </w:r>
          </w:p>
        </w:tc>
      </w:tr>
      <w:tr>
        <w:tc>
          <w:tcPr>
            <w:tcW w:type="dxa" w:w="2160"/>
          </w:tcPr>
          <w:p>
            <w:pPr/>
            <w:r>
              <w:rPr>
                <w:sz w:val="18"/>
              </w:rPr>
              <w:t>Ether Futures</w:t>
            </w:r>
          </w:p>
        </w:tc>
        <w:tc>
          <w:tcPr>
            <w:tcW w:type="dxa" w:w="2160"/>
          </w:tcPr>
          <w:p>
            <w:pPr/>
            <w:r>
              <w:rPr>
                <w:sz w:val="18"/>
              </w:rPr>
              <w:t>ETH</w:t>
            </w:r>
          </w:p>
        </w:tc>
        <w:tc>
          <w:tcPr>
            <w:tcW w:type="dxa" w:w="2160"/>
          </w:tcPr>
          <w:p>
            <w:pPr/>
            <w:r>
              <w:rPr>
                <w:sz w:val="18"/>
              </w:rPr>
              <w:t>50 ETH</w:t>
            </w:r>
          </w:p>
        </w:tc>
        <w:tc>
          <w:tcPr>
            <w:tcW w:type="dxa" w:w="2160"/>
          </w:tcPr>
          <w:p>
            <w:pPr/>
            <w:r>
              <w:rPr>
                <w:sz w:val="18"/>
              </w:rPr>
              <w:t>CME</w:t>
            </w:r>
          </w:p>
        </w:tc>
      </w:tr>
      <w:tr>
        <w:tc>
          <w:tcPr>
            <w:tcW w:type="dxa" w:w="2160"/>
          </w:tcPr>
          <w:p>
            <w:pPr/>
            <w:r>
              <w:rPr>
                <w:sz w:val="18"/>
              </w:rPr>
              <w:t>Micro Ether Futures</w:t>
            </w:r>
          </w:p>
        </w:tc>
        <w:tc>
          <w:tcPr>
            <w:tcW w:type="dxa" w:w="2160"/>
          </w:tcPr>
          <w:p>
            <w:pPr/>
            <w:r>
              <w:rPr>
                <w:sz w:val="18"/>
              </w:rPr>
              <w:t>MET</w:t>
            </w:r>
          </w:p>
        </w:tc>
        <w:tc>
          <w:tcPr>
            <w:tcW w:type="dxa" w:w="2160"/>
          </w:tcPr>
          <w:p>
            <w:pPr/>
            <w:r>
              <w:rPr>
                <w:sz w:val="18"/>
              </w:rPr>
              <w:t>1/10 ETH</w:t>
            </w:r>
          </w:p>
        </w:tc>
        <w:tc>
          <w:tcPr>
            <w:tcW w:type="dxa" w:w="2160"/>
          </w:tcPr>
          <w:p>
            <w:pPr/>
            <w:r>
              <w:rPr>
                <w:sz w:val="18"/>
              </w:rPr>
              <w:t>CME</w:t>
            </w:r>
          </w:p>
        </w:tc>
      </w:tr>
      <w:tr>
        <w:tc>
          <w:tcPr>
            <w:tcW w:type="dxa" w:w="2160"/>
          </w:tcPr>
          <w:p>
            <w:pPr/>
            <w:r>
              <w:rPr>
                <w:sz w:val="18"/>
              </w:rPr>
              <w:t>Bitcoin Options</w:t>
            </w:r>
          </w:p>
        </w:tc>
        <w:tc>
          <w:tcPr>
            <w:tcW w:type="dxa" w:w="2160"/>
          </w:tcPr>
          <w:p>
            <w:pPr/>
            <w:r>
              <w:rPr>
                <w:sz w:val="18"/>
              </w:rPr>
              <w:t>—</w:t>
            </w:r>
          </w:p>
        </w:tc>
        <w:tc>
          <w:tcPr>
            <w:tcW w:type="dxa" w:w="2160"/>
          </w:tcPr>
          <w:p>
            <w:pPr/>
            <w:r>
              <w:rPr>
                <w:sz w:val="18"/>
              </w:rPr>
              <w:t>On BTC futures</w:t>
            </w:r>
          </w:p>
        </w:tc>
        <w:tc>
          <w:tcPr>
            <w:tcW w:type="dxa" w:w="2160"/>
          </w:tcPr>
          <w:p>
            <w:pPr/>
            <w:r>
              <w:rPr>
                <w:sz w:val="18"/>
              </w:rPr>
              <w:t>CME</w:t>
            </w:r>
          </w:p>
        </w:tc>
      </w:tr>
      <w:tr>
        <w:tc>
          <w:tcPr>
            <w:tcW w:type="dxa" w:w="2160"/>
          </w:tcPr>
          <w:p>
            <w:pPr/>
            <w:r>
              <w:rPr>
                <w:sz w:val="18"/>
              </w:rPr>
              <w:t>Micro Bitcoin Options</w:t>
            </w:r>
          </w:p>
        </w:tc>
        <w:tc>
          <w:tcPr>
            <w:tcW w:type="dxa" w:w="2160"/>
          </w:tcPr>
          <w:p>
            <w:pPr/>
            <w:r>
              <w:rPr>
                <w:sz w:val="18"/>
              </w:rPr>
              <w:t>—</w:t>
            </w:r>
          </w:p>
        </w:tc>
        <w:tc>
          <w:tcPr>
            <w:tcW w:type="dxa" w:w="2160"/>
          </w:tcPr>
          <w:p>
            <w:pPr/>
            <w:r>
              <w:rPr>
                <w:sz w:val="18"/>
              </w:rPr>
              <w:t>On MBT futures</w:t>
            </w:r>
          </w:p>
        </w:tc>
        <w:tc>
          <w:tcPr>
            <w:tcW w:type="dxa" w:w="2160"/>
          </w:tcPr>
          <w:p>
            <w:pPr/>
            <w:r>
              <w:rPr>
                <w:sz w:val="18"/>
              </w:rPr>
              <w:t>CME</w:t>
            </w:r>
          </w:p>
        </w:tc>
      </w:tr>
      <w:tr>
        <w:tc>
          <w:tcPr>
            <w:tcW w:type="dxa" w:w="2160"/>
          </w:tcPr>
          <w:p>
            <w:pPr/>
            <w:r>
              <w:rPr>
                <w:sz w:val="18"/>
              </w:rPr>
              <w:t>Ether Options</w:t>
            </w:r>
          </w:p>
        </w:tc>
        <w:tc>
          <w:tcPr>
            <w:tcW w:type="dxa" w:w="2160"/>
          </w:tcPr>
          <w:p>
            <w:pPr/>
            <w:r>
              <w:rPr>
                <w:sz w:val="18"/>
              </w:rPr>
              <w:t>—</w:t>
            </w:r>
          </w:p>
        </w:tc>
        <w:tc>
          <w:tcPr>
            <w:tcW w:type="dxa" w:w="2160"/>
          </w:tcPr>
          <w:p>
            <w:pPr/>
            <w:r>
              <w:rPr>
                <w:sz w:val="18"/>
              </w:rPr>
              <w:t>On ETH futures</w:t>
            </w:r>
          </w:p>
        </w:tc>
        <w:tc>
          <w:tcPr>
            <w:tcW w:type="dxa" w:w="2160"/>
          </w:tcPr>
          <w:p>
            <w:pPr/>
            <w:r>
              <w:rPr>
                <w:sz w:val="18"/>
              </w:rPr>
              <w:t>CME</w:t>
            </w:r>
          </w:p>
        </w:tc>
      </w:tr>
    </w:tbl>
    <w:p/>
    <w:p>
      <w:pPr>
        <w:pStyle w:val="Heading4"/>
      </w:pPr>
      <w:r>
        <w:t>Other / Alternative Products (CME)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Description</w:t>
            </w:r>
          </w:p>
        </w:tc>
        <w:tc>
          <w:tcPr>
            <w:tcW w:type="dxa" w:w="2880"/>
          </w:tcPr>
          <w:p>
            <w:pPr/>
            <w:r>
              <w:rPr>
                <w:b/>
                <w:sz w:val="18"/>
              </w:rPr>
              <w:t>Exchange</w:t>
            </w:r>
          </w:p>
        </w:tc>
      </w:tr>
      <w:tr>
        <w:tc>
          <w:tcPr>
            <w:tcW w:type="dxa" w:w="2880"/>
          </w:tcPr>
          <w:p>
            <w:pPr/>
            <w:r>
              <w:rPr>
                <w:sz w:val="18"/>
              </w:rPr>
              <w:t>Weather Derivatives</w:t>
            </w:r>
          </w:p>
        </w:tc>
        <w:tc>
          <w:tcPr>
            <w:tcW w:type="dxa" w:w="2880"/>
          </w:tcPr>
          <w:p>
            <w:pPr/>
            <w:r>
              <w:rPr>
                <w:sz w:val="18"/>
              </w:rPr>
              <w:t>CME Hurricane, HDD/CDD futures</w:t>
            </w:r>
          </w:p>
        </w:tc>
        <w:tc>
          <w:tcPr>
            <w:tcW w:type="dxa" w:w="2880"/>
          </w:tcPr>
          <w:p>
            <w:pPr/>
            <w:r>
              <w:rPr>
                <w:sz w:val="18"/>
              </w:rPr>
              <w:t>CME</w:t>
            </w:r>
          </w:p>
        </w:tc>
      </w:tr>
      <w:tr>
        <w:tc>
          <w:tcPr>
            <w:tcW w:type="dxa" w:w="2880"/>
          </w:tcPr>
          <w:p>
            <w:pPr/>
            <w:r>
              <w:rPr>
                <w:sz w:val="18"/>
              </w:rPr>
              <w:t>Real Estate</w:t>
            </w:r>
          </w:p>
        </w:tc>
        <w:tc>
          <w:tcPr>
            <w:tcW w:type="dxa" w:w="2880"/>
          </w:tcPr>
          <w:p>
            <w:pPr/>
            <w:r>
              <w:rPr>
                <w:sz w:val="18"/>
              </w:rPr>
              <w:t>S&amp;P Case-Shiller Home Price Index futures</w:t>
            </w:r>
          </w:p>
        </w:tc>
        <w:tc>
          <w:tcPr>
            <w:tcW w:type="dxa" w:w="2880"/>
          </w:tcPr>
          <w:p>
            <w:pPr/>
            <w:r>
              <w:rPr>
                <w:sz w:val="18"/>
              </w:rPr>
              <w:t>CME</w:t>
            </w:r>
          </w:p>
        </w:tc>
      </w:tr>
      <w:tr>
        <w:tc>
          <w:tcPr>
            <w:tcW w:type="dxa" w:w="2880"/>
          </w:tcPr>
          <w:p>
            <w:pPr/>
            <w:r>
              <w:rPr>
                <w:sz w:val="18"/>
              </w:rPr>
              <w:t>Volatility</w:t>
            </w:r>
          </w:p>
        </w:tc>
        <w:tc>
          <w:tcPr>
            <w:tcW w:type="dxa" w:w="2880"/>
          </w:tcPr>
          <w:p>
            <w:pPr/>
            <w:r>
              <w:rPr>
                <w:sz w:val="18"/>
              </w:rPr>
              <w:t>S&amp;P 500 Variance futures</w:t>
            </w:r>
          </w:p>
        </w:tc>
        <w:tc>
          <w:tcPr>
            <w:tcW w:type="dxa" w:w="2880"/>
          </w:tcPr>
          <w:p>
            <w:pPr/>
            <w:r>
              <w:rPr>
                <w:sz w:val="18"/>
              </w:rPr>
              <w:t>CME</w:t>
            </w:r>
          </w:p>
        </w:tc>
      </w:tr>
      <w:tr>
        <w:tc>
          <w:tcPr>
            <w:tcW w:type="dxa" w:w="2880"/>
          </w:tcPr>
          <w:p>
            <w:pPr/>
            <w:r>
              <w:rPr>
                <w:sz w:val="18"/>
              </w:rPr>
              <w:t>ESG Products</w:t>
            </w:r>
          </w:p>
        </w:tc>
        <w:tc>
          <w:tcPr>
            <w:tcW w:type="dxa" w:w="2880"/>
          </w:tcPr>
          <w:p>
            <w:pPr/>
            <w:r>
              <w:rPr>
                <w:sz w:val="18"/>
              </w:rPr>
              <w:t>E-mini S&amp;P 500 ESG, E-mini MSCI EAFE ESG, etc.</w:t>
            </w:r>
          </w:p>
        </w:tc>
        <w:tc>
          <w:tcPr>
            <w:tcW w:type="dxa" w:w="2880"/>
          </w:tcPr>
          <w:p>
            <w:pPr/>
            <w:r>
              <w:rPr>
                <w:sz w:val="18"/>
              </w:rPr>
              <w:t>CME</w:t>
            </w:r>
          </w:p>
        </w:tc>
      </w:tr>
      <w:tr>
        <w:tc>
          <w:tcPr>
            <w:tcW w:type="dxa" w:w="2880"/>
          </w:tcPr>
          <w:p>
            <w:pPr/>
            <w:r>
              <w:rPr>
                <w:sz w:val="18"/>
              </w:rPr>
              <w:t>Event Contracts</w:t>
            </w:r>
          </w:p>
        </w:tc>
        <w:tc>
          <w:tcPr>
            <w:tcW w:type="dxa" w:w="2880"/>
          </w:tcPr>
          <w:p>
            <w:pPr/>
            <w:r>
              <w:rPr>
                <w:sz w:val="18"/>
              </w:rPr>
              <w:t>Various event-based contracts</w:t>
            </w:r>
          </w:p>
        </w:tc>
        <w:tc>
          <w:tcPr>
            <w:tcW w:type="dxa" w:w="2880"/>
          </w:tcPr>
          <w:p>
            <w:pPr/>
            <w:r>
              <w:rPr>
                <w:sz w:val="18"/>
              </w:rPr>
              <w:t>CME</w:t>
            </w:r>
          </w:p>
        </w:tc>
      </w:tr>
    </w:tbl>
    <w:p/>
    <w:p>
      <w:r>
        <w:t>[Source: CME Group, "Markets — Products"; CME Group product pages for each asset class]</w:t>
      </w:r>
    </w:p>
    <w:p>
      <w:r>
        <w:t>────────────────────────────────────────────────────────────</w:t>
      </w:r>
    </w:p>
    <w:p>
      <w:pPr>
        <w:pStyle w:val="Heading2"/>
      </w:pPr>
      <w:r>
        <w:t>D2. Key Contract Specifications — Top 5 Products by Volume</w:t>
      </w:r>
    </w:p>
    <w:p>
      <w:pPr>
        <w:pStyle w:val="Heading3"/>
      </w:pPr>
      <w:r>
        <w:t>1. Three-Month SOFR Futures (SR3) — Most Actively Traded Futures Contract Globally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Exchange</w:t>
            </w:r>
          </w:p>
        </w:tc>
        <w:tc>
          <w:tcPr>
            <w:tcW w:type="dxa" w:w="4320"/>
          </w:tcPr>
          <w:p>
            <w:pPr/>
            <w:r>
              <w:rPr>
                <w:sz w:val="18"/>
              </w:rPr>
              <w:t>CME</w:t>
            </w:r>
          </w:p>
        </w:tc>
      </w:tr>
      <w:tr>
        <w:tc>
          <w:tcPr>
            <w:tcW w:type="dxa" w:w="4320"/>
          </w:tcPr>
          <w:p>
            <w:pPr/>
            <w:r>
              <w:rPr>
                <w:sz w:val="18"/>
              </w:rPr>
              <w:t>Contract Size</w:t>
            </w:r>
          </w:p>
        </w:tc>
        <w:tc>
          <w:tcPr>
            <w:tcW w:type="dxa" w:w="4320"/>
          </w:tcPr>
          <w:p>
            <w:pPr/>
            <w:r>
              <w:rPr>
                <w:sz w:val="18"/>
              </w:rPr>
              <w:t>$2,500 x (100 - rate); notional value ~$1,000,000</w:t>
            </w:r>
          </w:p>
        </w:tc>
      </w:tr>
      <w:tr>
        <w:tc>
          <w:tcPr>
            <w:tcW w:type="dxa" w:w="4320"/>
          </w:tcPr>
          <w:p>
            <w:pPr/>
            <w:r>
              <w:rPr>
                <w:sz w:val="18"/>
              </w:rPr>
              <w:t>Quotation</w:t>
            </w:r>
          </w:p>
        </w:tc>
        <w:tc>
          <w:tcPr>
            <w:tcW w:type="dxa" w:w="4320"/>
          </w:tcPr>
          <w:p>
            <w:pPr/>
            <w:r>
              <w:rPr>
                <w:sz w:val="18"/>
              </w:rPr>
              <w:t>IMM Index points (100.000 minus rate)</w:t>
            </w:r>
          </w:p>
        </w:tc>
      </w:tr>
      <w:tr>
        <w:tc>
          <w:tcPr>
            <w:tcW w:type="dxa" w:w="4320"/>
          </w:tcPr>
          <w:p>
            <w:pPr/>
            <w:r>
              <w:rPr>
                <w:sz w:val="18"/>
              </w:rPr>
              <w:t>Tick Size</w:t>
            </w:r>
          </w:p>
        </w:tc>
        <w:tc>
          <w:tcPr>
            <w:tcW w:type="dxa" w:w="4320"/>
          </w:tcPr>
          <w:p>
            <w:pPr/>
            <w:r>
              <w:rPr>
                <w:sz w:val="18"/>
              </w:rPr>
              <w:t>0.005 (1/2 basis point) = $12.50; 0.0025 (1/4 bp) = $6.25 in delivery month</w:t>
            </w:r>
          </w:p>
        </w:tc>
      </w:tr>
      <w:tr>
        <w:tc>
          <w:tcPr>
            <w:tcW w:type="dxa" w:w="4320"/>
          </w:tcPr>
          <w:p>
            <w:pPr/>
            <w:r>
              <w:rPr>
                <w:sz w:val="18"/>
              </w:rPr>
              <w:t>Contract Months</w:t>
            </w:r>
          </w:p>
        </w:tc>
        <w:tc>
          <w:tcPr>
            <w:tcW w:type="dxa" w:w="4320"/>
          </w:tcPr>
          <w:p>
            <w:pPr/>
            <w:r>
              <w:rPr>
                <w:sz w:val="18"/>
              </w:rPr>
              <w:t>Quarterly (Mar, Jun, Sep, Dec) — up to 10 years forward; plus serial months</w:t>
            </w:r>
          </w:p>
        </w:tc>
      </w:tr>
      <w:tr>
        <w:tc>
          <w:tcPr>
            <w:tcW w:type="dxa" w:w="4320"/>
          </w:tcPr>
          <w:p>
            <w:pPr/>
            <w:r>
              <w:rPr>
                <w:sz w:val="18"/>
              </w:rPr>
              <w:t>Settlement Method</w:t>
            </w:r>
          </w:p>
        </w:tc>
        <w:tc>
          <w:tcPr>
            <w:tcW w:type="dxa" w:w="4320"/>
          </w:tcPr>
          <w:p>
            <w:pPr/>
            <w:r>
              <w:rPr>
                <w:sz w:val="18"/>
              </w:rPr>
              <w:t>Cash settled — based on compounded SOFR rate during reference quarter</w:t>
            </w:r>
          </w:p>
        </w:tc>
      </w:tr>
      <w:tr>
        <w:tc>
          <w:tcPr>
            <w:tcW w:type="dxa" w:w="4320"/>
          </w:tcPr>
          <w:p>
            <w:pPr/>
            <w:r>
              <w:rPr>
                <w:sz w:val="18"/>
              </w:rPr>
              <w:t>Final Settlement</w:t>
            </w:r>
          </w:p>
        </w:tc>
        <w:tc>
          <w:tcPr>
            <w:tcW w:type="dxa" w:w="4320"/>
          </w:tcPr>
          <w:p>
            <w:pPr/>
            <w:r>
              <w:rPr>
                <w:sz w:val="18"/>
              </w:rPr>
              <w:t>Third Wednesday of delivery month; reference quarter runs from 3rd Wednesday of 3rd month preceding delivery month</w:t>
            </w:r>
          </w:p>
        </w:tc>
      </w:tr>
      <w:tr>
        <w:tc>
          <w:tcPr>
            <w:tcW w:type="dxa" w:w="4320"/>
          </w:tcPr>
          <w:p>
            <w:pPr/>
            <w:r>
              <w:rPr>
                <w:sz w:val="18"/>
              </w:rPr>
              <w:t>Trading Hours</w:t>
            </w:r>
          </w:p>
        </w:tc>
        <w:tc>
          <w:tcPr>
            <w:tcW w:type="dxa" w:w="4320"/>
          </w:tcPr>
          <w:p>
            <w:pPr/>
            <w:r>
              <w:rPr>
                <w:sz w:val="18"/>
              </w:rPr>
              <w:t>Globex: Sun 5:00 PM – Fri 4:00 PM CT; RTH: 7:20 AM – 2:00 PM CT</w:t>
            </w:r>
          </w:p>
        </w:tc>
      </w:tr>
      <w:tr>
        <w:tc>
          <w:tcPr>
            <w:tcW w:type="dxa" w:w="4320"/>
          </w:tcPr>
          <w:p>
            <w:pPr/>
            <w:r>
              <w:rPr>
                <w:sz w:val="18"/>
              </w:rPr>
              <w:t>2025 ADV</w:t>
            </w:r>
          </w:p>
        </w:tc>
        <w:tc>
          <w:tcPr>
            <w:tcW w:type="dxa" w:w="4320"/>
          </w:tcPr>
          <w:p>
            <w:pPr/>
            <w:r>
              <w:rPr>
                <w:sz w:val="18"/>
              </w:rPr>
              <w:t>~9.4 million contracts (record, including options)</w:t>
            </w:r>
          </w:p>
        </w:tc>
      </w:tr>
    </w:tbl>
    <w:p/>
    <w:p>
      <w:pPr>
        <w:pStyle w:val="Heading3"/>
      </w:pPr>
      <w:r>
        <w:t>2. E-mini S&amp;P 500 Futures (ES)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Exchange</w:t>
            </w:r>
          </w:p>
        </w:tc>
        <w:tc>
          <w:tcPr>
            <w:tcW w:type="dxa" w:w="4320"/>
          </w:tcPr>
          <w:p>
            <w:pPr/>
            <w:r>
              <w:rPr>
                <w:sz w:val="18"/>
              </w:rPr>
              <w:t>CME</w:t>
            </w:r>
          </w:p>
        </w:tc>
      </w:tr>
      <w:tr>
        <w:tc>
          <w:tcPr>
            <w:tcW w:type="dxa" w:w="4320"/>
          </w:tcPr>
          <w:p>
            <w:pPr/>
            <w:r>
              <w:rPr>
                <w:sz w:val="18"/>
              </w:rPr>
              <w:t>Contract Size</w:t>
            </w:r>
          </w:p>
        </w:tc>
        <w:tc>
          <w:tcPr>
            <w:tcW w:type="dxa" w:w="4320"/>
          </w:tcPr>
          <w:p>
            <w:pPr/>
            <w:r>
              <w:rPr>
                <w:sz w:val="18"/>
              </w:rPr>
              <w:t>$50 x S&amp;P 500 Index (e.g., at 5,500 = $275,000 notional)</w:t>
            </w:r>
          </w:p>
        </w:tc>
      </w:tr>
      <w:tr>
        <w:tc>
          <w:tcPr>
            <w:tcW w:type="dxa" w:w="4320"/>
          </w:tcPr>
          <w:p>
            <w:pPr/>
            <w:r>
              <w:rPr>
                <w:sz w:val="18"/>
              </w:rPr>
              <w:t>Quotation</w:t>
            </w:r>
          </w:p>
        </w:tc>
        <w:tc>
          <w:tcPr>
            <w:tcW w:type="dxa" w:w="4320"/>
          </w:tcPr>
          <w:p>
            <w:pPr/>
            <w:r>
              <w:rPr>
                <w:sz w:val="18"/>
              </w:rPr>
              <w:t>Index points and decimals</w:t>
            </w:r>
          </w:p>
        </w:tc>
      </w:tr>
      <w:tr>
        <w:tc>
          <w:tcPr>
            <w:tcW w:type="dxa" w:w="4320"/>
          </w:tcPr>
          <w:p>
            <w:pPr/>
            <w:r>
              <w:rPr>
                <w:sz w:val="18"/>
              </w:rPr>
              <w:t>Tick Size</w:t>
            </w:r>
          </w:p>
        </w:tc>
        <w:tc>
          <w:tcPr>
            <w:tcW w:type="dxa" w:w="4320"/>
          </w:tcPr>
          <w:p>
            <w:pPr/>
            <w:r>
              <w:rPr>
                <w:sz w:val="18"/>
              </w:rPr>
              <w:t>0.25 index points = $12.50 per contract</w:t>
            </w:r>
          </w:p>
        </w:tc>
      </w:tr>
      <w:tr>
        <w:tc>
          <w:tcPr>
            <w:tcW w:type="dxa" w:w="4320"/>
          </w:tcPr>
          <w:p>
            <w:pPr/>
            <w:r>
              <w:rPr>
                <w:sz w:val="18"/>
              </w:rPr>
              <w:t>Contract Months</w:t>
            </w:r>
          </w:p>
        </w:tc>
        <w:tc>
          <w:tcPr>
            <w:tcW w:type="dxa" w:w="4320"/>
          </w:tcPr>
          <w:p>
            <w:pPr/>
            <w:r>
              <w:rPr>
                <w:sz w:val="18"/>
              </w:rPr>
              <w:t>Quarterly (Mar, Jun, Sep, Dec) — 5 quarterly months listed</w:t>
            </w:r>
          </w:p>
        </w:tc>
      </w:tr>
      <w:tr>
        <w:tc>
          <w:tcPr>
            <w:tcW w:type="dxa" w:w="4320"/>
          </w:tcPr>
          <w:p>
            <w:pPr/>
            <w:r>
              <w:rPr>
                <w:sz w:val="18"/>
              </w:rPr>
              <w:t>Settlement Method</w:t>
            </w:r>
          </w:p>
        </w:tc>
        <w:tc>
          <w:tcPr>
            <w:tcW w:type="dxa" w:w="4320"/>
          </w:tcPr>
          <w:p>
            <w:pPr/>
            <w:r>
              <w:rPr>
                <w:sz w:val="18"/>
              </w:rPr>
              <w:t>Cash settled — to Special Opening Quotation (SOQ) of S&amp;P 500 on 3rd Friday of expiry month</w:t>
            </w:r>
          </w:p>
        </w:tc>
      </w:tr>
      <w:tr>
        <w:tc>
          <w:tcPr>
            <w:tcW w:type="dxa" w:w="4320"/>
          </w:tcPr>
          <w:p>
            <w:pPr/>
            <w:r>
              <w:rPr>
                <w:sz w:val="18"/>
              </w:rPr>
              <w:t>Trading Hours</w:t>
            </w:r>
          </w:p>
        </w:tc>
        <w:tc>
          <w:tcPr>
            <w:tcW w:type="dxa" w:w="4320"/>
          </w:tcPr>
          <w:p>
            <w:pPr/>
            <w:r>
              <w:rPr>
                <w:sz w:val="18"/>
              </w:rPr>
              <w:t>Globex: Sun 5:00 PM – Fri 4:00 PM CT; RTH: 8:30 AM – 3:15 PM CT</w:t>
            </w:r>
          </w:p>
        </w:tc>
      </w:tr>
      <w:tr>
        <w:tc>
          <w:tcPr>
            <w:tcW w:type="dxa" w:w="4320"/>
          </w:tcPr>
          <w:p>
            <w:pPr/>
            <w:r>
              <w:rPr>
                <w:sz w:val="18"/>
              </w:rPr>
              <w:t>2025 ADV</w:t>
            </w:r>
          </w:p>
        </w:tc>
        <w:tc>
          <w:tcPr>
            <w:tcW w:type="dxa" w:w="4320"/>
          </w:tcPr>
          <w:p>
            <w:pPr/>
            <w:r>
              <w:rPr>
                <w:sz w:val="18"/>
              </w:rPr>
              <w:t>~2.0+ million contracts [unverified — estimated from equity index total]</w:t>
            </w:r>
          </w:p>
        </w:tc>
      </w:tr>
      <w:tr>
        <w:tc>
          <w:tcPr>
            <w:tcW w:type="dxa" w:w="4320"/>
          </w:tcPr>
          <w:p>
            <w:pPr/>
            <w:r>
              <w:rPr>
                <w:sz w:val="18"/>
              </w:rPr>
              <w:t>Options</w:t>
            </w:r>
          </w:p>
        </w:tc>
        <w:tc>
          <w:tcPr>
            <w:tcW w:type="dxa" w:w="4320"/>
          </w:tcPr>
          <w:p>
            <w:pPr/>
            <w:r>
              <w:rPr>
                <w:sz w:val="18"/>
              </w:rPr>
              <w:t>Quarterly, monthly, weekly (Mon/Wed/Fri), and end-of-month options available</w:t>
            </w:r>
          </w:p>
        </w:tc>
      </w:tr>
    </w:tbl>
    <w:p/>
    <w:p>
      <w:pPr>
        <w:pStyle w:val="Heading3"/>
      </w:pPr>
      <w:r>
        <w:t>3. 10-Year U.S. Treasury Note Futures (ZN)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Exchange</w:t>
            </w:r>
          </w:p>
        </w:tc>
        <w:tc>
          <w:tcPr>
            <w:tcW w:type="dxa" w:w="4320"/>
          </w:tcPr>
          <w:p>
            <w:pPr/>
            <w:r>
              <w:rPr>
                <w:sz w:val="18"/>
              </w:rPr>
              <w:t>CBOT</w:t>
            </w:r>
          </w:p>
        </w:tc>
      </w:tr>
      <w:tr>
        <w:tc>
          <w:tcPr>
            <w:tcW w:type="dxa" w:w="4320"/>
          </w:tcPr>
          <w:p>
            <w:pPr/>
            <w:r>
              <w:rPr>
                <w:sz w:val="18"/>
              </w:rPr>
              <w:t>Contract Size</w:t>
            </w:r>
          </w:p>
        </w:tc>
        <w:tc>
          <w:tcPr>
            <w:tcW w:type="dxa" w:w="4320"/>
          </w:tcPr>
          <w:p>
            <w:pPr/>
            <w:r>
              <w:rPr>
                <w:sz w:val="18"/>
              </w:rPr>
              <w:t>$100,000 face value U.S. Treasury notes</w:t>
            </w:r>
          </w:p>
        </w:tc>
      </w:tr>
      <w:tr>
        <w:tc>
          <w:tcPr>
            <w:tcW w:type="dxa" w:w="4320"/>
          </w:tcPr>
          <w:p>
            <w:pPr/>
            <w:r>
              <w:rPr>
                <w:sz w:val="18"/>
              </w:rPr>
              <w:t>Deliverable Grade</w:t>
            </w:r>
          </w:p>
        </w:tc>
        <w:tc>
          <w:tcPr>
            <w:tcW w:type="dxa" w:w="4320"/>
          </w:tcPr>
          <w:p>
            <w:pPr/>
            <w:r>
              <w:rPr>
                <w:sz w:val="18"/>
              </w:rPr>
              <w:t>U.S. Treasury notes with remaining maturity of 6.5 to 10 years from first day of delivery month</w:t>
            </w:r>
          </w:p>
        </w:tc>
      </w:tr>
      <w:tr>
        <w:tc>
          <w:tcPr>
            <w:tcW w:type="dxa" w:w="4320"/>
          </w:tcPr>
          <w:p>
            <w:pPr/>
            <w:r>
              <w:rPr>
                <w:sz w:val="18"/>
              </w:rPr>
              <w:t>Tick Size</w:t>
            </w:r>
          </w:p>
        </w:tc>
        <w:tc>
          <w:tcPr>
            <w:tcW w:type="dxa" w:w="4320"/>
          </w:tcPr>
          <w:p>
            <w:pPr/>
            <w:r>
              <w:rPr>
                <w:sz w:val="18"/>
              </w:rPr>
              <w:t>1/2 of 1/32 of a point = $15.625 per contract</w:t>
            </w:r>
          </w:p>
        </w:tc>
      </w:tr>
      <w:tr>
        <w:tc>
          <w:tcPr>
            <w:tcW w:type="dxa" w:w="4320"/>
          </w:tcPr>
          <w:p>
            <w:pPr/>
            <w:r>
              <w:rPr>
                <w:sz w:val="18"/>
              </w:rPr>
              <w:t>Contract Months</w:t>
            </w:r>
          </w:p>
        </w:tc>
        <w:tc>
          <w:tcPr>
            <w:tcW w:type="dxa" w:w="4320"/>
          </w:tcPr>
          <w:p>
            <w:pPr/>
            <w:r>
              <w:rPr>
                <w:sz w:val="18"/>
              </w:rPr>
              <w:t>3 consecutive quarterly months (Mar, Jun, Sep, Dec)</w:t>
            </w:r>
          </w:p>
        </w:tc>
      </w:tr>
      <w:tr>
        <w:tc>
          <w:tcPr>
            <w:tcW w:type="dxa" w:w="4320"/>
          </w:tcPr>
          <w:p>
            <w:pPr/>
            <w:r>
              <w:rPr>
                <w:sz w:val="18"/>
              </w:rPr>
              <w:t>Settlement Method</w:t>
            </w:r>
          </w:p>
        </w:tc>
        <w:tc>
          <w:tcPr>
            <w:tcW w:type="dxa" w:w="4320"/>
          </w:tcPr>
          <w:p>
            <w:pPr/>
            <w:r>
              <w:rPr>
                <w:sz w:val="18"/>
              </w:rPr>
              <w:t>Physical delivery — delivery of eligible Treasury notes through Federal Reserve book-entry system</w:t>
            </w:r>
          </w:p>
        </w:tc>
      </w:tr>
      <w:tr>
        <w:tc>
          <w:tcPr>
            <w:tcW w:type="dxa" w:w="4320"/>
          </w:tcPr>
          <w:p>
            <w:pPr/>
            <w:r>
              <w:rPr>
                <w:sz w:val="18"/>
              </w:rPr>
              <w:t>Invoice Price</w:t>
            </w:r>
          </w:p>
        </w:tc>
        <w:tc>
          <w:tcPr>
            <w:tcW w:type="dxa" w:w="4320"/>
          </w:tcPr>
          <w:p>
            <w:pPr/>
            <w:r>
              <w:rPr>
                <w:sz w:val="18"/>
              </w:rPr>
              <w:t>Futures settlement price x conversion factor + accrued interest</w:t>
            </w:r>
          </w:p>
        </w:tc>
      </w:tr>
      <w:tr>
        <w:tc>
          <w:tcPr>
            <w:tcW w:type="dxa" w:w="4320"/>
          </w:tcPr>
          <w:p>
            <w:pPr/>
            <w:r>
              <w:rPr>
                <w:sz w:val="18"/>
              </w:rPr>
              <w:t>Trading Hours</w:t>
            </w:r>
          </w:p>
        </w:tc>
        <w:tc>
          <w:tcPr>
            <w:tcW w:type="dxa" w:w="4320"/>
          </w:tcPr>
          <w:p>
            <w:pPr/>
            <w:r>
              <w:rPr>
                <w:sz w:val="18"/>
              </w:rPr>
              <w:t>Globex: Sun 5:00 PM – Fri 4:00 PM CT; RTH: 7:20 AM – 2:00 PM CT</w:t>
            </w:r>
          </w:p>
        </w:tc>
      </w:tr>
      <w:tr>
        <w:tc>
          <w:tcPr>
            <w:tcW w:type="dxa" w:w="4320"/>
          </w:tcPr>
          <w:p>
            <w:pPr/>
            <w:r>
              <w:rPr>
                <w:sz w:val="18"/>
              </w:rPr>
              <w:t>2025 ADV</w:t>
            </w:r>
          </w:p>
        </w:tc>
        <w:tc>
          <w:tcPr>
            <w:tcW w:type="dxa" w:w="4320"/>
          </w:tcPr>
          <w:p>
            <w:pPr/>
            <w:r>
              <w:rPr>
                <w:sz w:val="18"/>
              </w:rPr>
              <w:t>~2.9 million contracts (+21% YoY)</w:t>
            </w:r>
          </w:p>
        </w:tc>
      </w:tr>
    </w:tbl>
    <w:p/>
    <w:p>
      <w:pPr>
        <w:pStyle w:val="Heading3"/>
      </w:pPr>
      <w:r>
        <w:t>4. WTI Crude Oil Futures (CL)</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Exchange</w:t>
            </w:r>
          </w:p>
        </w:tc>
        <w:tc>
          <w:tcPr>
            <w:tcW w:type="dxa" w:w="4320"/>
          </w:tcPr>
          <w:p>
            <w:pPr/>
            <w:r>
              <w:rPr>
                <w:sz w:val="18"/>
              </w:rPr>
              <w:t>NYMEX</w:t>
            </w:r>
          </w:p>
        </w:tc>
      </w:tr>
      <w:tr>
        <w:tc>
          <w:tcPr>
            <w:tcW w:type="dxa" w:w="4320"/>
          </w:tcPr>
          <w:p>
            <w:pPr/>
            <w:r>
              <w:rPr>
                <w:sz w:val="18"/>
              </w:rPr>
              <w:t>Contract Size</w:t>
            </w:r>
          </w:p>
        </w:tc>
        <w:tc>
          <w:tcPr>
            <w:tcW w:type="dxa" w:w="4320"/>
          </w:tcPr>
          <w:p>
            <w:pPr/>
            <w:r>
              <w:rPr>
                <w:sz w:val="18"/>
              </w:rPr>
              <w:t>1,000 barrels</w:t>
            </w:r>
          </w:p>
        </w:tc>
      </w:tr>
      <w:tr>
        <w:tc>
          <w:tcPr>
            <w:tcW w:type="dxa" w:w="4320"/>
          </w:tcPr>
          <w:p>
            <w:pPr/>
            <w:r>
              <w:rPr>
                <w:sz w:val="18"/>
              </w:rPr>
              <w:t>Quotation</w:t>
            </w:r>
          </w:p>
        </w:tc>
        <w:tc>
          <w:tcPr>
            <w:tcW w:type="dxa" w:w="4320"/>
          </w:tcPr>
          <w:p>
            <w:pPr/>
            <w:r>
              <w:rPr>
                <w:sz w:val="18"/>
              </w:rPr>
              <w:t>U.S. dollars and cents per barrel</w:t>
            </w:r>
          </w:p>
        </w:tc>
      </w:tr>
      <w:tr>
        <w:tc>
          <w:tcPr>
            <w:tcW w:type="dxa" w:w="4320"/>
          </w:tcPr>
          <w:p>
            <w:pPr/>
            <w:r>
              <w:rPr>
                <w:sz w:val="18"/>
              </w:rPr>
              <w:t>Tick Size</w:t>
            </w:r>
          </w:p>
        </w:tc>
        <w:tc>
          <w:tcPr>
            <w:tcW w:type="dxa" w:w="4320"/>
          </w:tcPr>
          <w:p>
            <w:pPr/>
            <w:r>
              <w:rPr>
                <w:sz w:val="18"/>
              </w:rPr>
              <w:t>$0.01 per barrel = $10.00 per contract</w:t>
            </w:r>
          </w:p>
        </w:tc>
      </w:tr>
      <w:tr>
        <w:tc>
          <w:tcPr>
            <w:tcW w:type="dxa" w:w="4320"/>
          </w:tcPr>
          <w:p>
            <w:pPr/>
            <w:r>
              <w:rPr>
                <w:sz w:val="18"/>
              </w:rPr>
              <w:t>Contract Months</w:t>
            </w:r>
          </w:p>
        </w:tc>
        <w:tc>
          <w:tcPr>
            <w:tcW w:type="dxa" w:w="4320"/>
          </w:tcPr>
          <w:p>
            <w:pPr/>
            <w:r>
              <w:rPr>
                <w:sz w:val="18"/>
              </w:rPr>
              <w:t>Monthly — consecutive months for several years forward</w:t>
            </w:r>
          </w:p>
        </w:tc>
      </w:tr>
      <w:tr>
        <w:tc>
          <w:tcPr>
            <w:tcW w:type="dxa" w:w="4320"/>
          </w:tcPr>
          <w:p>
            <w:pPr/>
            <w:r>
              <w:rPr>
                <w:sz w:val="18"/>
              </w:rPr>
              <w:t>Settlement Method</w:t>
            </w:r>
          </w:p>
        </w:tc>
        <w:tc>
          <w:tcPr>
            <w:tcW w:type="dxa" w:w="4320"/>
          </w:tcPr>
          <w:p>
            <w:pPr/>
            <w:r>
              <w:rPr>
                <w:sz w:val="18"/>
              </w:rPr>
              <w:t>Physical delivery at Cushing, Oklahoma (pipeline or storage transfer)</w:t>
            </w:r>
          </w:p>
        </w:tc>
      </w:tr>
      <w:tr>
        <w:tc>
          <w:tcPr>
            <w:tcW w:type="dxa" w:w="4320"/>
          </w:tcPr>
          <w:p>
            <w:pPr/>
            <w:r>
              <w:rPr>
                <w:sz w:val="18"/>
              </w:rPr>
              <w:t>Delivery Period</w:t>
            </w:r>
          </w:p>
        </w:tc>
        <w:tc>
          <w:tcPr>
            <w:tcW w:type="dxa" w:w="4320"/>
          </w:tcPr>
          <w:p>
            <w:pPr/>
            <w:r>
              <w:rPr>
                <w:sz w:val="18"/>
              </w:rPr>
              <w:t>Any business day in the delivery month</w:t>
            </w:r>
          </w:p>
        </w:tc>
      </w:tr>
      <w:tr>
        <w:tc>
          <w:tcPr>
            <w:tcW w:type="dxa" w:w="4320"/>
          </w:tcPr>
          <w:p>
            <w:pPr/>
            <w:r>
              <w:rPr>
                <w:sz w:val="18"/>
              </w:rPr>
              <w:t>Last Trading Day</w:t>
            </w:r>
          </w:p>
        </w:tc>
        <w:tc>
          <w:tcPr>
            <w:tcW w:type="dxa" w:w="4320"/>
          </w:tcPr>
          <w:p>
            <w:pPr/>
            <w:r>
              <w:rPr>
                <w:sz w:val="18"/>
              </w:rPr>
              <w:t>3rd business day prior to the 25th calendar day of the month preceding the delivery month</w:t>
            </w:r>
          </w:p>
        </w:tc>
      </w:tr>
      <w:tr>
        <w:tc>
          <w:tcPr>
            <w:tcW w:type="dxa" w:w="4320"/>
          </w:tcPr>
          <w:p>
            <w:pPr/>
            <w:r>
              <w:rPr>
                <w:sz w:val="18"/>
              </w:rPr>
              <w:t>Trading Hours</w:t>
            </w:r>
          </w:p>
        </w:tc>
        <w:tc>
          <w:tcPr>
            <w:tcW w:type="dxa" w:w="4320"/>
          </w:tcPr>
          <w:p>
            <w:pPr/>
            <w:r>
              <w:rPr>
                <w:sz w:val="18"/>
              </w:rPr>
              <w:t>Globex: Sun 5:00 PM – Fri 4:00 PM CT; RTH: 8:00 AM – 1:30 PM CT</w:t>
            </w:r>
          </w:p>
        </w:tc>
      </w:tr>
      <w:tr>
        <w:tc>
          <w:tcPr>
            <w:tcW w:type="dxa" w:w="4320"/>
          </w:tcPr>
          <w:p>
            <w:pPr/>
            <w:r>
              <w:rPr>
                <w:sz w:val="18"/>
              </w:rPr>
              <w:t>2025 ADV</w:t>
            </w:r>
          </w:p>
        </w:tc>
        <w:tc>
          <w:tcPr>
            <w:tcW w:type="dxa" w:w="4320"/>
          </w:tcPr>
          <w:p>
            <w:pPr/>
            <w:r>
              <w:rPr>
                <w:sz w:val="18"/>
              </w:rPr>
              <w:t>~1.0+ million contracts (futures + options) with ~4 million open interest</w:t>
            </w:r>
          </w:p>
        </w:tc>
      </w:tr>
    </w:tbl>
    <w:p/>
    <w:p>
      <w:pPr>
        <w:pStyle w:val="Heading3"/>
      </w:pPr>
      <w:r>
        <w:t>5. COMEX Gold Futures (GC)</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Exchange</w:t>
            </w:r>
          </w:p>
        </w:tc>
        <w:tc>
          <w:tcPr>
            <w:tcW w:type="dxa" w:w="4320"/>
          </w:tcPr>
          <w:p>
            <w:pPr/>
            <w:r>
              <w:rPr>
                <w:sz w:val="18"/>
              </w:rPr>
              <w:t>COMEX</w:t>
            </w:r>
          </w:p>
        </w:tc>
      </w:tr>
      <w:tr>
        <w:tc>
          <w:tcPr>
            <w:tcW w:type="dxa" w:w="4320"/>
          </w:tcPr>
          <w:p>
            <w:pPr/>
            <w:r>
              <w:rPr>
                <w:sz w:val="18"/>
              </w:rPr>
              <w:t>Contract Size</w:t>
            </w:r>
          </w:p>
        </w:tc>
        <w:tc>
          <w:tcPr>
            <w:tcW w:type="dxa" w:w="4320"/>
          </w:tcPr>
          <w:p>
            <w:pPr/>
            <w:r>
              <w:rPr>
                <w:sz w:val="18"/>
              </w:rPr>
              <w:t>100 troy ounces</w:t>
            </w:r>
          </w:p>
        </w:tc>
      </w:tr>
      <w:tr>
        <w:tc>
          <w:tcPr>
            <w:tcW w:type="dxa" w:w="4320"/>
          </w:tcPr>
          <w:p>
            <w:pPr/>
            <w:r>
              <w:rPr>
                <w:sz w:val="18"/>
              </w:rPr>
              <w:t>Quotation</w:t>
            </w:r>
          </w:p>
        </w:tc>
        <w:tc>
          <w:tcPr>
            <w:tcW w:type="dxa" w:w="4320"/>
          </w:tcPr>
          <w:p>
            <w:pPr/>
            <w:r>
              <w:rPr>
                <w:sz w:val="18"/>
              </w:rPr>
              <w:t>U.S. dollars and cents per troy ounce</w:t>
            </w:r>
          </w:p>
        </w:tc>
      </w:tr>
      <w:tr>
        <w:tc>
          <w:tcPr>
            <w:tcW w:type="dxa" w:w="4320"/>
          </w:tcPr>
          <w:p>
            <w:pPr/>
            <w:r>
              <w:rPr>
                <w:sz w:val="18"/>
              </w:rPr>
              <w:t>Tick Size</w:t>
            </w:r>
          </w:p>
        </w:tc>
        <w:tc>
          <w:tcPr>
            <w:tcW w:type="dxa" w:w="4320"/>
          </w:tcPr>
          <w:p>
            <w:pPr/>
            <w:r>
              <w:rPr>
                <w:sz w:val="18"/>
              </w:rPr>
              <w:t>$0.10 per troy ounce = $10.00 per contract</w:t>
            </w:r>
          </w:p>
        </w:tc>
      </w:tr>
      <w:tr>
        <w:tc>
          <w:tcPr>
            <w:tcW w:type="dxa" w:w="4320"/>
          </w:tcPr>
          <w:p>
            <w:pPr/>
            <w:r>
              <w:rPr>
                <w:sz w:val="18"/>
              </w:rPr>
              <w:t>Deliverable Grade</w:t>
            </w:r>
          </w:p>
        </w:tc>
        <w:tc>
          <w:tcPr>
            <w:tcW w:type="dxa" w:w="4320"/>
          </w:tcPr>
          <w:p>
            <w:pPr/>
            <w:r>
              <w:rPr>
                <w:sz w:val="18"/>
              </w:rPr>
              <w:t>Minimum 995 fineness; approved brands; weight tolerance +/- 5%</w:t>
            </w:r>
          </w:p>
        </w:tc>
      </w:tr>
      <w:tr>
        <w:tc>
          <w:tcPr>
            <w:tcW w:type="dxa" w:w="4320"/>
          </w:tcPr>
          <w:p>
            <w:pPr/>
            <w:r>
              <w:rPr>
                <w:sz w:val="18"/>
              </w:rPr>
              <w:t>Contract Months</w:t>
            </w:r>
          </w:p>
        </w:tc>
        <w:tc>
          <w:tcPr>
            <w:tcW w:type="dxa" w:w="4320"/>
          </w:tcPr>
          <w:p>
            <w:pPr/>
            <w:r>
              <w:rPr>
                <w:sz w:val="18"/>
              </w:rPr>
              <w:t>Feb, Apr, Jun, Aug, Oct, Dec within 24-month period; additional months may be listed</w:t>
            </w:r>
          </w:p>
        </w:tc>
      </w:tr>
      <w:tr>
        <w:tc>
          <w:tcPr>
            <w:tcW w:type="dxa" w:w="4320"/>
          </w:tcPr>
          <w:p>
            <w:pPr/>
            <w:r>
              <w:rPr>
                <w:sz w:val="18"/>
              </w:rPr>
              <w:t>Settlement Method</w:t>
            </w:r>
          </w:p>
        </w:tc>
        <w:tc>
          <w:tcPr>
            <w:tcW w:type="dxa" w:w="4320"/>
          </w:tcPr>
          <w:p>
            <w:pPr/>
            <w:r>
              <w:rPr>
                <w:sz w:val="18"/>
              </w:rPr>
              <w:t>Physical delivery — through Exchange-approved vaults in New York area</w:t>
            </w:r>
          </w:p>
        </w:tc>
      </w:tr>
      <w:tr>
        <w:tc>
          <w:tcPr>
            <w:tcW w:type="dxa" w:w="4320"/>
          </w:tcPr>
          <w:p>
            <w:pPr/>
            <w:r>
              <w:rPr>
                <w:sz w:val="18"/>
              </w:rPr>
              <w:t>Last Trading Day</w:t>
            </w:r>
          </w:p>
        </w:tc>
        <w:tc>
          <w:tcPr>
            <w:tcW w:type="dxa" w:w="4320"/>
          </w:tcPr>
          <w:p>
            <w:pPr/>
            <w:r>
              <w:rPr>
                <w:sz w:val="18"/>
              </w:rPr>
              <w:t>3rd to last business day of the delivery month</w:t>
            </w:r>
          </w:p>
        </w:tc>
      </w:tr>
      <w:tr>
        <w:tc>
          <w:tcPr>
            <w:tcW w:type="dxa" w:w="4320"/>
          </w:tcPr>
          <w:p>
            <w:pPr/>
            <w:r>
              <w:rPr>
                <w:sz w:val="18"/>
              </w:rPr>
              <w:t>Trading Hours</w:t>
            </w:r>
          </w:p>
        </w:tc>
        <w:tc>
          <w:tcPr>
            <w:tcW w:type="dxa" w:w="4320"/>
          </w:tcPr>
          <w:p>
            <w:pPr/>
            <w:r>
              <w:rPr>
                <w:sz w:val="18"/>
              </w:rPr>
              <w:t>Globex: Sun 5:00 PM – Fri 4:00 PM CT; RTH: 7:20 AM – 12:30 PM CT</w:t>
            </w:r>
          </w:p>
        </w:tc>
      </w:tr>
      <w:tr>
        <w:tc>
          <w:tcPr>
            <w:tcW w:type="dxa" w:w="4320"/>
          </w:tcPr>
          <w:p>
            <w:pPr/>
            <w:r>
              <w:rPr>
                <w:sz w:val="18"/>
              </w:rPr>
              <w:t>2025 Performance</w:t>
            </w:r>
          </w:p>
        </w:tc>
        <w:tc>
          <w:tcPr>
            <w:tcW w:type="dxa" w:w="4320"/>
          </w:tcPr>
          <w:p>
            <w:pPr/>
            <w:r>
              <w:rPr>
                <w:sz w:val="18"/>
              </w:rPr>
              <w:t>Record metals ADV; gold options and Micro Gold volumes hit all-time highs in October 2025</w:t>
            </w:r>
          </w:p>
        </w:tc>
      </w:tr>
    </w:tbl>
    <w:p/>
    <w:p>
      <w:r>
        <w:t>[Source: CME Group contract specification pages for SR3, ES, ZN, CL, GC; CME Group press releases]</w:t>
      </w:r>
    </w:p>
    <w:p>
      <w:r>
        <w:t>────────────────────────────────────────────────────────────</w:t>
      </w:r>
    </w:p>
    <w:p>
      <w:pPr>
        <w:pStyle w:val="Heading2"/>
      </w:pPr>
      <w:r>
        <w:t>D3. Margin Framework — SPAN and SPAN 2</w:t>
      </w:r>
    </w:p>
    <w:p>
      <w:pPr>
        <w:pStyle w:val="Heading3"/>
      </w:pPr>
      <w:r>
        <w:t>SPAN (Standard Portfolio Analysis of Risk)</w:t>
      </w:r>
    </w:p>
    <w:p>
      <w:r>
        <w:t>CME Group developed the SPAN margining methodology, which has been adopted by over 50 exchanges and clearinghouses worldwide.</w:t>
      </w:r>
    </w:p>
    <w:p>
      <w:r>
        <w:t>How SPAN Works:</w:t>
      </w:r>
    </w:p>
    <w:p>
      <w:pPr>
        <w:pStyle w:val="ListNumber"/>
      </w:pPr>
      <w:r>
        <w:t>Scenario-Based Risk Assessment: SPAN evaluates the worst possible loss a portfolio could reasonably incur over a specified time period (typically one trading day) by computing gains and losses under 16 risk scenarios</w:t>
      </w:r>
    </w:p>
    <w:p>
      <w:pPr>
        <w:pStyle w:val="ListNumber"/>
      </w:pPr>
      <w:r>
        <w:t>Risk Scenarios: Each scenario varies the underlying price (up/down by 1/3, 2/3, and full scanning range) and volatility (up/down by one volatility shift), plus two extreme scenarios at 3x the scanning range with reduced coverage</w:t>
      </w:r>
    </w:p>
    <w:p>
      <w:pPr>
        <w:pStyle w:val="ListNumber"/>
      </w:pPr>
      <w:r>
        <w:t>Scanning Range: Represents the maximum probable one-day price move for each product; set by CME Clearing risk management based on statistical analysis of historical price volatility</w:t>
      </w:r>
    </w:p>
    <w:p>
      <w:pPr>
        <w:pStyle w:val="ListNumber"/>
      </w:pPr>
      <w:r>
        <w:t>Inter-Commodity Spread Credits: SPAN recognizes risk offsets between correlated products (e.g., crude oil vs. heating oil) and applies credits that reduce the overall margin requirement</w:t>
      </w:r>
    </w:p>
    <w:p>
      <w:pPr>
        <w:pStyle w:val="ListNumber"/>
      </w:pPr>
      <w:r>
        <w:t>Intra-Commodity Spread Charges: Additional charges for calendar spreads where different contract months have different risk profiles</w:t>
      </w:r>
    </w:p>
    <w:p>
      <w:pPr>
        <w:pStyle w:val="ListNumber"/>
      </w:pPr>
      <w:r>
        <w:t>Short Option Minimum: Ensures a minimum margin for deeply out-of-the-money short options</w:t>
      </w:r>
    </w:p>
    <w:p>
      <w:r>
        <w:t>Margin Types: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Margin Type</w:t>
            </w:r>
          </w:p>
        </w:tc>
        <w:tc>
          <w:tcPr>
            <w:tcW w:type="dxa" w:w="2880"/>
          </w:tcPr>
          <w:p>
            <w:pPr/>
            <w:r>
              <w:rPr>
                <w:b/>
                <w:sz w:val="18"/>
              </w:rPr>
              <w:t>Description</w:t>
            </w:r>
          </w:p>
        </w:tc>
        <w:tc>
          <w:tcPr>
            <w:tcW w:type="dxa" w:w="2880"/>
          </w:tcPr>
          <w:p>
            <w:pPr/>
            <w:r>
              <w:rPr>
                <w:b/>
                <w:sz w:val="18"/>
              </w:rPr>
              <w:t>Calculation Frequency</w:t>
            </w:r>
          </w:p>
        </w:tc>
      </w:tr>
      <w:tr>
        <w:tc>
          <w:tcPr>
            <w:tcW w:type="dxa" w:w="2880"/>
          </w:tcPr>
          <w:p>
            <w:pPr/>
            <w:r>
              <w:rPr>
                <w:sz w:val="18"/>
              </w:rPr>
              <w:t>**Initial (Performance Bond)**</w:t>
            </w:r>
          </w:p>
        </w:tc>
        <w:tc>
          <w:tcPr>
            <w:tcW w:type="dxa" w:w="2880"/>
          </w:tcPr>
          <w:p>
            <w:pPr/>
            <w:r>
              <w:rPr>
                <w:sz w:val="18"/>
              </w:rPr>
              <w:t>Amount required to open a position; covers potential losses</w:t>
            </w:r>
          </w:p>
        </w:tc>
        <w:tc>
          <w:tcPr>
            <w:tcW w:type="dxa" w:w="2880"/>
          </w:tcPr>
          <w:p>
            <w:pPr/>
            <w:r>
              <w:rPr>
                <w:sz w:val="18"/>
              </w:rPr>
              <w:t>Twice daily for Base products; once daily for IRS</w:t>
            </w:r>
          </w:p>
        </w:tc>
      </w:tr>
      <w:tr>
        <w:tc>
          <w:tcPr>
            <w:tcW w:type="dxa" w:w="2880"/>
          </w:tcPr>
          <w:p>
            <w:pPr/>
            <w:r>
              <w:rPr>
                <w:sz w:val="18"/>
              </w:rPr>
              <w:t>**Maintenance**</w:t>
            </w:r>
          </w:p>
        </w:tc>
        <w:tc>
          <w:tcPr>
            <w:tcW w:type="dxa" w:w="2880"/>
          </w:tcPr>
          <w:p>
            <w:pPr/>
            <w:r>
              <w:rPr>
                <w:sz w:val="18"/>
              </w:rPr>
              <w:t>Minimum level that must be maintained; typically ~90% of initial for speculative accounts; 100% for hedgers</w:t>
            </w:r>
          </w:p>
        </w:tc>
        <w:tc>
          <w:tcPr>
            <w:tcW w:type="dxa" w:w="2880"/>
          </w:tcPr>
          <w:p>
            <w:pPr/>
            <w:r>
              <w:rPr>
                <w:sz w:val="18"/>
              </w:rPr>
              <w:t>Continuously monitored</w:t>
            </w:r>
          </w:p>
        </w:tc>
      </w:tr>
      <w:tr>
        <w:tc>
          <w:tcPr>
            <w:tcW w:type="dxa" w:w="2880"/>
          </w:tcPr>
          <w:p>
            <w:pPr/>
            <w:r>
              <w:rPr>
                <w:sz w:val="18"/>
              </w:rPr>
              <w:t>**Variation (Mark-to-Market)**</w:t>
            </w:r>
          </w:p>
        </w:tc>
        <w:tc>
          <w:tcPr>
            <w:tcW w:type="dxa" w:w="2880"/>
          </w:tcPr>
          <w:p>
            <w:pPr/>
            <w:r>
              <w:rPr>
                <w:sz w:val="18"/>
              </w:rPr>
              <w:t>Daily settlement of gains and losses based on price changes; credited/debited to accounts</w:t>
            </w:r>
          </w:p>
        </w:tc>
        <w:tc>
          <w:tcPr>
            <w:tcW w:type="dxa" w:w="2880"/>
          </w:tcPr>
          <w:p>
            <w:pPr/>
            <w:r>
              <w:rPr>
                <w:sz w:val="18"/>
              </w:rPr>
              <w:t>Twice daily for Base; once daily for IRS</w:t>
            </w:r>
          </w:p>
        </w:tc>
      </w:tr>
    </w:tbl>
    <w:p/>
    <w:p>
      <w:r>
        <w:t>Margin Call Process:</w:t>
      </w:r>
    </w:p>
    <w:p>
      <w:pPr>
        <w:pStyle w:val="ListNumber"/>
      </w:pPr>
      <w:r>
        <w:t>If account equity falls below maintenance margin, a margin call is issued</w:t>
      </w:r>
    </w:p>
    <w:p>
      <w:pPr>
        <w:pStyle w:val="ListNumber"/>
      </w:pPr>
      <w:r>
        <w:t>The call requires the account to be restored to the initial margin level</w:t>
      </w:r>
    </w:p>
    <w:p>
      <w:pPr>
        <w:pStyle w:val="ListNumber"/>
      </w:pPr>
      <w:r>
        <w:t>Margin calls must be met within the timeframe specified by the clearing firm (typically by next business day opening)</w:t>
      </w:r>
    </w:p>
    <w:p>
      <w:pPr>
        <w:pStyle w:val="ListNumber"/>
      </w:pPr>
      <w:r>
        <w:t>Failure to meet margin calls may result in position liquidation by the clearing firm</w:t>
      </w:r>
    </w:p>
    <w:p>
      <w:pPr>
        <w:pStyle w:val="Heading3"/>
      </w:pPr>
      <w:r>
        <w:t>SPAN 2 (Next-Generation Margin Framework)</w:t>
      </w:r>
    </w:p>
    <w:p>
      <w:r>
        <w:t>SPAN 2 represents a fundamental upgrade from scenario-based to VaR-based margining: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Feature</w:t>
            </w:r>
          </w:p>
        </w:tc>
        <w:tc>
          <w:tcPr>
            <w:tcW w:type="dxa" w:w="2880"/>
          </w:tcPr>
          <w:p>
            <w:pPr/>
            <w:r>
              <w:rPr>
                <w:b/>
                <w:sz w:val="18"/>
              </w:rPr>
              <w:t>SPAN (Legacy)</w:t>
            </w:r>
          </w:p>
        </w:tc>
        <w:tc>
          <w:tcPr>
            <w:tcW w:type="dxa" w:w="2880"/>
          </w:tcPr>
          <w:p>
            <w:pPr/>
            <w:r>
              <w:rPr>
                <w:b/>
                <w:sz w:val="18"/>
              </w:rPr>
              <w:t>SPAN 2</w:t>
            </w:r>
          </w:p>
        </w:tc>
      </w:tr>
      <w:tr>
        <w:tc>
          <w:tcPr>
            <w:tcW w:type="dxa" w:w="2880"/>
          </w:tcPr>
          <w:p>
            <w:pPr/>
            <w:r>
              <w:rPr>
                <w:sz w:val="18"/>
              </w:rPr>
              <w:t>Methodology</w:t>
            </w:r>
          </w:p>
        </w:tc>
        <w:tc>
          <w:tcPr>
            <w:tcW w:type="dxa" w:w="2880"/>
          </w:tcPr>
          <w:p>
            <w:pPr/>
            <w:r>
              <w:rPr>
                <w:sz w:val="18"/>
              </w:rPr>
              <w:t>16 fixed scenarios</w:t>
            </w:r>
          </w:p>
        </w:tc>
        <w:tc>
          <w:tcPr>
            <w:tcW w:type="dxa" w:w="2880"/>
          </w:tcPr>
          <w:p>
            <w:pPr/>
            <w:r>
              <w:rPr>
                <w:sz w:val="18"/>
              </w:rPr>
              <w:t>Historical VaR (HVaR) with 1,000s of scenarios</w:t>
            </w:r>
          </w:p>
        </w:tc>
      </w:tr>
      <w:tr>
        <w:tc>
          <w:tcPr>
            <w:tcW w:type="dxa" w:w="2880"/>
          </w:tcPr>
          <w:p>
            <w:pPr/>
            <w:r>
              <w:rPr>
                <w:sz w:val="18"/>
              </w:rPr>
              <w:t>Data</w:t>
            </w:r>
          </w:p>
        </w:tc>
        <w:tc>
          <w:tcPr>
            <w:tcW w:type="dxa" w:w="2880"/>
          </w:tcPr>
          <w:p>
            <w:pPr/>
            <w:r>
              <w:rPr>
                <w:sz w:val="18"/>
              </w:rPr>
              <w:t>Based on scanning ranges</w:t>
            </w:r>
          </w:p>
        </w:tc>
        <w:tc>
          <w:tcPr>
            <w:tcW w:type="dxa" w:w="2880"/>
          </w:tcPr>
          <w:p>
            <w:pPr/>
            <w:r>
              <w:rPr>
                <w:sz w:val="18"/>
              </w:rPr>
              <w:t>Minimum 10-year historical data</w:t>
            </w:r>
          </w:p>
        </w:tc>
      </w:tr>
      <w:tr>
        <w:tc>
          <w:tcPr>
            <w:tcW w:type="dxa" w:w="2880"/>
          </w:tcPr>
          <w:p>
            <w:pPr/>
            <w:r>
              <w:rPr>
                <w:sz w:val="18"/>
              </w:rPr>
              <w:t>Risk Factors</w:t>
            </w:r>
          </w:p>
        </w:tc>
        <w:tc>
          <w:tcPr>
            <w:tcW w:type="dxa" w:w="2880"/>
          </w:tcPr>
          <w:p>
            <w:pPr/>
            <w:r>
              <w:rPr>
                <w:sz w:val="18"/>
              </w:rPr>
              <w:t>Price and volatility only</w:t>
            </w:r>
          </w:p>
        </w:tc>
        <w:tc>
          <w:tcPr>
            <w:tcW w:type="dxa" w:w="2880"/>
          </w:tcPr>
          <w:p>
            <w:pPr/>
            <w:r>
              <w:rPr>
                <w:sz w:val="18"/>
              </w:rPr>
              <w:t>Price, volatility, seasonality, options term structure, skew</w:t>
            </w:r>
          </w:p>
        </w:tc>
      </w:tr>
      <w:tr>
        <w:tc>
          <w:tcPr>
            <w:tcW w:type="dxa" w:w="2880"/>
          </w:tcPr>
          <w:p>
            <w:pPr/>
            <w:r>
              <w:rPr>
                <w:sz w:val="18"/>
              </w:rPr>
              <w:t>Concentration Risk</w:t>
            </w:r>
          </w:p>
        </w:tc>
        <w:tc>
          <w:tcPr>
            <w:tcW w:type="dxa" w:w="2880"/>
          </w:tcPr>
          <w:p>
            <w:pPr/>
            <w:r>
              <w:rPr>
                <w:sz w:val="18"/>
              </w:rPr>
              <w:t>Not explicit</w:t>
            </w:r>
          </w:p>
        </w:tc>
        <w:tc>
          <w:tcPr>
            <w:tcW w:type="dxa" w:w="2880"/>
          </w:tcPr>
          <w:p>
            <w:pPr/>
            <w:r>
              <w:rPr>
                <w:sz w:val="18"/>
              </w:rPr>
              <w:t>Explicit liquidity/concentration cost component</w:t>
            </w:r>
          </w:p>
        </w:tc>
      </w:tr>
      <w:tr>
        <w:tc>
          <w:tcPr>
            <w:tcW w:type="dxa" w:w="2880"/>
          </w:tcPr>
          <w:p>
            <w:pPr/>
            <w:r>
              <w:rPr>
                <w:sz w:val="18"/>
              </w:rPr>
              <w:t>Correlation</w:t>
            </w:r>
          </w:p>
        </w:tc>
        <w:tc>
          <w:tcPr>
            <w:tcW w:type="dxa" w:w="2880"/>
          </w:tcPr>
          <w:p>
            <w:pPr/>
            <w:r>
              <w:rPr>
                <w:sz w:val="18"/>
              </w:rPr>
              <w:t>Fixed inter-commodity credits</w:t>
            </w:r>
          </w:p>
        </w:tc>
        <w:tc>
          <w:tcPr>
            <w:tcW w:type="dxa" w:w="2880"/>
          </w:tcPr>
          <w:p>
            <w:pPr/>
            <w:r>
              <w:rPr>
                <w:sz w:val="18"/>
              </w:rPr>
              <w:t>Dynamically adjusts based on historical correlations</w:t>
            </w:r>
          </w:p>
        </w:tc>
      </w:tr>
      <w:tr>
        <w:tc>
          <w:tcPr>
            <w:tcW w:type="dxa" w:w="2880"/>
          </w:tcPr>
          <w:p>
            <w:pPr/>
            <w:r>
              <w:rPr>
                <w:sz w:val="18"/>
              </w:rPr>
              <w:t>Anti-Procyclicality</w:t>
            </w:r>
          </w:p>
        </w:tc>
        <w:tc>
          <w:tcPr>
            <w:tcW w:type="dxa" w:w="2880"/>
          </w:tcPr>
          <w:p>
            <w:pPr/>
            <w:r>
              <w:rPr>
                <w:sz w:val="18"/>
              </w:rPr>
              <w:t>Limited</w:t>
            </w:r>
          </w:p>
        </w:tc>
        <w:tc>
          <w:tcPr>
            <w:tcW w:type="dxa" w:w="2880"/>
          </w:tcPr>
          <w:p>
            <w:pPr/>
            <w:r>
              <w:rPr>
                <w:sz w:val="18"/>
              </w:rPr>
              <w:t>Built-in anti-procyclical mechanisms</w:t>
            </w:r>
          </w:p>
        </w:tc>
      </w:tr>
      <w:tr>
        <w:tc>
          <w:tcPr>
            <w:tcW w:type="dxa" w:w="2880"/>
          </w:tcPr>
          <w:p>
            <w:pPr/>
            <w:r>
              <w:rPr>
                <w:sz w:val="18"/>
              </w:rPr>
              <w:t>Reporting</w:t>
            </w:r>
          </w:p>
        </w:tc>
        <w:tc>
          <w:tcPr>
            <w:tcW w:type="dxa" w:w="2880"/>
          </w:tcPr>
          <w:p>
            <w:pPr/>
            <w:r>
              <w:rPr>
                <w:sz w:val="18"/>
              </w:rPr>
              <w:t>Basic</w:t>
            </w:r>
          </w:p>
        </w:tc>
        <w:tc>
          <w:tcPr>
            <w:tcW w:type="dxa" w:w="2880"/>
          </w:tcPr>
          <w:p>
            <w:pPr/>
            <w:r>
              <w:rPr>
                <w:sz w:val="18"/>
              </w:rPr>
              <w:t>Enhanced breakdown by risk factor</w:t>
            </w:r>
          </w:p>
        </w:tc>
      </w:tr>
      <w:tr>
        <w:tc>
          <w:tcPr>
            <w:tcW w:type="dxa" w:w="2880"/>
          </w:tcPr>
          <w:p>
            <w:pPr/>
            <w:r>
              <w:rPr>
                <w:sz w:val="18"/>
              </w:rPr>
              <w:t>Margin Replication</w:t>
            </w:r>
          </w:p>
        </w:tc>
        <w:tc>
          <w:tcPr>
            <w:tcW w:type="dxa" w:w="2880"/>
          </w:tcPr>
          <w:p>
            <w:pPr/>
            <w:r>
              <w:rPr>
                <w:sz w:val="18"/>
              </w:rPr>
              <w:t>Limited</w:t>
            </w:r>
          </w:p>
        </w:tc>
        <w:tc>
          <w:tcPr>
            <w:tcW w:type="dxa" w:w="2880"/>
          </w:tcPr>
          <w:p>
            <w:pPr/>
            <w:r>
              <w:rPr>
                <w:sz w:val="18"/>
              </w:rPr>
              <w:t>Full replication capability for clients</w:t>
            </w:r>
          </w:p>
        </w:tc>
      </w:tr>
    </w:tbl>
    <w:p/>
    <w:p>
      <w:r>
        <w:t>SPAN 2 Rollout Timeline:</w:t>
      </w:r>
    </w:p>
    <w:p>
      <w:pPr>
        <w:pStyle w:val="ListBullet"/>
      </w:pPr>
      <w:r>
        <w:t>Energy contracts: Migrated in 2025</w:t>
      </w:r>
    </w:p>
    <w:p>
      <w:pPr>
        <w:pStyle w:val="ListBullet"/>
      </w:pPr>
      <w:r>
        <w:t>Equity contracts: Migrated in 2025</w:t>
      </w:r>
    </w:p>
    <w:p>
      <w:pPr>
        <w:pStyle w:val="ListBullet"/>
      </w:pPr>
      <w:r>
        <w:t>All commodities: Targeted completion by end of 2025</w:t>
      </w:r>
    </w:p>
    <w:p>
      <w:pPr>
        <w:pStyle w:val="ListBullet"/>
      </w:pPr>
      <w:r>
        <w:t>Interest rate products: [To be confirmed]</w:t>
      </w:r>
    </w:p>
    <w:p>
      <w:pPr>
        <w:pStyle w:val="Heading3"/>
      </w:pPr>
      <w:r>
        <w:t>Cross-Margining</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Program</w:t>
            </w:r>
          </w:p>
        </w:tc>
        <w:tc>
          <w:tcPr>
            <w:tcW w:type="dxa" w:w="4320"/>
          </w:tcPr>
          <w:p>
            <w:pPr/>
            <w:r>
              <w:rPr>
                <w:b/>
                <w:sz w:val="18"/>
              </w:rPr>
              <w:t>Description</w:t>
            </w:r>
          </w:p>
        </w:tc>
      </w:tr>
      <w:tr>
        <w:tc>
          <w:tcPr>
            <w:tcW w:type="dxa" w:w="4320"/>
          </w:tcPr>
          <w:p>
            <w:pPr/>
            <w:r>
              <w:rPr>
                <w:sz w:val="18"/>
              </w:rPr>
              <w:t>**Futures-to-Futures**</w:t>
            </w:r>
          </w:p>
        </w:tc>
        <w:tc>
          <w:tcPr>
            <w:tcW w:type="dxa" w:w="4320"/>
          </w:tcPr>
          <w:p>
            <w:pPr/>
            <w:r>
              <w:rPr>
                <w:sz w:val="18"/>
              </w:rPr>
              <w:t>Offsets between correlated futures contracts across CME, CBOT, NYMEX, COMEX</w:t>
            </w:r>
          </w:p>
        </w:tc>
      </w:tr>
      <w:tr>
        <w:tc>
          <w:tcPr>
            <w:tcW w:type="dxa" w:w="4320"/>
          </w:tcPr>
          <w:p>
            <w:pPr/>
            <w:r>
              <w:rPr>
                <w:sz w:val="18"/>
              </w:rPr>
              <w:t>**IRS-to-Futures**</w:t>
            </w:r>
          </w:p>
        </w:tc>
        <w:tc>
          <w:tcPr>
            <w:tcW w:type="dxa" w:w="4320"/>
          </w:tcPr>
          <w:p>
            <w:pPr/>
            <w:r>
              <w:rPr>
                <w:sz w:val="18"/>
              </w:rPr>
              <w:t>Interest rate futures can be allocated to OTC derivatives portfolio and margined using HVaR alongside IRS positions; requires CBOT or CME Exchange Clearing Membership</w:t>
            </w:r>
          </w:p>
        </w:tc>
      </w:tr>
      <w:tr>
        <w:tc>
          <w:tcPr>
            <w:tcW w:type="dxa" w:w="4320"/>
          </w:tcPr>
          <w:p>
            <w:pPr/>
            <w:r>
              <w:rPr>
                <w:sz w:val="18"/>
              </w:rPr>
              <w:t>**Portfolio Margining**</w:t>
            </w:r>
          </w:p>
        </w:tc>
        <w:tc>
          <w:tcPr>
            <w:tcW w:type="dxa" w:w="4320"/>
          </w:tcPr>
          <w:p>
            <w:pPr/>
            <w:r>
              <w:rPr>
                <w:sz w:val="18"/>
              </w:rPr>
              <w:t>Combined assessment of risk across futures and options positions on the same underlying</w:t>
            </w:r>
          </w:p>
        </w:tc>
      </w:tr>
      <w:tr>
        <w:tc>
          <w:tcPr>
            <w:tcW w:type="dxa" w:w="4320"/>
          </w:tcPr>
          <w:p>
            <w:pPr/>
            <w:r>
              <w:rPr>
                <w:sz w:val="18"/>
              </w:rPr>
              <w:t>**CME-OCC Cross-Margining**</w:t>
            </w:r>
          </w:p>
        </w:tc>
        <w:tc>
          <w:tcPr>
            <w:tcW w:type="dxa" w:w="4320"/>
          </w:tcPr>
          <w:p>
            <w:pPr/>
            <w:r>
              <w:rPr>
                <w:sz w:val="18"/>
              </w:rPr>
              <w:t>Agreement between CME Clearing and OCC (Options Clearing Corporation) for offsets between CME futures and OCC-cleared equity options</w:t>
            </w:r>
          </w:p>
        </w:tc>
      </w:tr>
    </w:tbl>
    <w:p/>
    <w:p>
      <w:r>
        <w:t>[Source: CME Group, "SPAN Methodology Overview"; CME Group, "SPAN 2 Methodology and Functionality"; CME Group, "SPAN 2 Framework Rollout"; RBA, "Assessment of CME — Standard 6: Margin"]</w:t>
      </w:r>
    </w:p>
    <w:p>
      <w:r>
        <w:t>────────────────────────────────────────────────────────────</w:t>
      </w:r>
    </w:p>
    <w:p>
      <w:pPr>
        <w:pStyle w:val="Heading2"/>
      </w:pPr>
      <w:r>
        <w:t>D4. Position Limits</w:t>
      </w:r>
    </w:p>
    <w:p>
      <w:pPr>
        <w:pStyle w:val="Heading3"/>
      </w:pPr>
      <w:r>
        <w:t>Position Limit Categories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Category</w:t>
            </w:r>
          </w:p>
        </w:tc>
        <w:tc>
          <w:tcPr>
            <w:tcW w:type="dxa" w:w="4320"/>
          </w:tcPr>
          <w:p>
            <w:pPr/>
            <w:r>
              <w:rPr>
                <w:b/>
                <w:sz w:val="18"/>
              </w:rPr>
              <w:t>Description</w:t>
            </w:r>
          </w:p>
        </w:tc>
      </w:tr>
      <w:tr>
        <w:tc>
          <w:tcPr>
            <w:tcW w:type="dxa" w:w="4320"/>
          </w:tcPr>
          <w:p>
            <w:pPr/>
            <w:r>
              <w:rPr>
                <w:sz w:val="18"/>
              </w:rPr>
              <w:t>**Spot Month**</w:t>
            </w:r>
          </w:p>
        </w:tc>
        <w:tc>
          <w:tcPr>
            <w:tcW w:type="dxa" w:w="4320"/>
          </w:tcPr>
          <w:p>
            <w:pPr/>
            <w:r>
              <w:rPr>
                <w:sz w:val="18"/>
              </w:rPr>
              <w:t>Limits that apply as a contract becomes the front (nearby) month approaching expiration; most restrictive</w:t>
            </w:r>
          </w:p>
        </w:tc>
      </w:tr>
      <w:tr>
        <w:tc>
          <w:tcPr>
            <w:tcW w:type="dxa" w:w="4320"/>
          </w:tcPr>
          <w:p>
            <w:pPr/>
            <w:r>
              <w:rPr>
                <w:sz w:val="18"/>
              </w:rPr>
              <w:t>**Single Month**</w:t>
            </w:r>
          </w:p>
        </w:tc>
        <w:tc>
          <w:tcPr>
            <w:tcW w:type="dxa" w:w="4320"/>
          </w:tcPr>
          <w:p>
            <w:pPr/>
            <w:r>
              <w:rPr>
                <w:sz w:val="18"/>
              </w:rPr>
              <w:t>Maximum position in any single contract month (non-spot)</w:t>
            </w:r>
          </w:p>
        </w:tc>
      </w:tr>
      <w:tr>
        <w:tc>
          <w:tcPr>
            <w:tcW w:type="dxa" w:w="4320"/>
          </w:tcPr>
          <w:p>
            <w:pPr/>
            <w:r>
              <w:rPr>
                <w:sz w:val="18"/>
              </w:rPr>
              <w:t>**All Months Combined**</w:t>
            </w:r>
          </w:p>
        </w:tc>
        <w:tc>
          <w:tcPr>
            <w:tcW w:type="dxa" w:w="4320"/>
          </w:tcPr>
          <w:p>
            <w:pPr/>
            <w:r>
              <w:rPr>
                <w:sz w:val="18"/>
              </w:rPr>
              <w:t>Maximum aggregate net position across all contract months</w:t>
            </w:r>
          </w:p>
        </w:tc>
      </w:tr>
      <w:tr>
        <w:tc>
          <w:tcPr>
            <w:tcW w:type="dxa" w:w="4320"/>
          </w:tcPr>
          <w:p>
            <w:pPr/>
            <w:r>
              <w:rPr>
                <w:sz w:val="18"/>
              </w:rPr>
              <w:t>**Position Accountability**</w:t>
            </w:r>
          </w:p>
        </w:tc>
        <w:tc>
          <w:tcPr>
            <w:tcW w:type="dxa" w:w="4320"/>
          </w:tcPr>
          <w:p>
            <w:pPr/>
            <w:r>
              <w:rPr>
                <w:sz w:val="18"/>
              </w:rPr>
              <w:t>For certain products, no hard limit but a threshold at which the exchange may contact the trader and request information or reduction</w:t>
            </w:r>
          </w:p>
        </w:tc>
      </w:tr>
    </w:tbl>
    <w:p/>
    <w:p>
      <w:pPr>
        <w:pStyle w:val="Heading3"/>
      </w:pPr>
      <w:r>
        <w:t>Federal Position Limits (CFTC Part 150)</w:t>
      </w:r>
    </w:p>
    <w:p>
      <w:r>
        <w:t>The CFTC established federal speculative position limits for 25 core referenced physical commodity contracts. These are the binding limits and apply regardless of exchange-specific rules.</w:t>
      </w:r>
    </w:p>
    <w:p>
      <w:pPr>
        <w:pStyle w:val="Heading3"/>
      </w:pPr>
      <w:r>
        <w:t>Exchange-Specific Position Limits (Examples)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Product</w:t>
            </w:r>
          </w:p>
        </w:tc>
        <w:tc>
          <w:tcPr>
            <w:tcW w:type="dxa" w:w="1728"/>
          </w:tcPr>
          <w:p>
            <w:pPr/>
            <w:r>
              <w:rPr>
                <w:b/>
                <w:sz w:val="18"/>
              </w:rPr>
              <w:t>Spot Month</w:t>
            </w:r>
          </w:p>
        </w:tc>
        <w:tc>
          <w:tcPr>
            <w:tcW w:type="dxa" w:w="1728"/>
          </w:tcPr>
          <w:p>
            <w:pPr/>
            <w:r>
              <w:rPr>
                <w:b/>
                <w:sz w:val="18"/>
              </w:rPr>
              <w:t>Single Month</w:t>
            </w:r>
          </w:p>
        </w:tc>
        <w:tc>
          <w:tcPr>
            <w:tcW w:type="dxa" w:w="1728"/>
          </w:tcPr>
          <w:p>
            <w:pPr/>
            <w:r>
              <w:rPr>
                <w:b/>
                <w:sz w:val="18"/>
              </w:rPr>
              <w:t>All Months</w:t>
            </w:r>
          </w:p>
        </w:tc>
        <w:tc>
          <w:tcPr>
            <w:tcW w:type="dxa" w:w="1728"/>
          </w:tcPr>
          <w:p>
            <w:pPr/>
            <w:r>
              <w:rPr>
                <w:b/>
                <w:sz w:val="18"/>
              </w:rPr>
              <w:t>Type</w:t>
            </w:r>
          </w:p>
        </w:tc>
      </w:tr>
      <w:tr>
        <w:tc>
          <w:tcPr>
            <w:tcW w:type="dxa" w:w="1728"/>
          </w:tcPr>
          <w:p>
            <w:pPr/>
            <w:r>
              <w:rPr>
                <w:sz w:val="18"/>
              </w:rPr>
              <w:t>WTI Crude Oil (CL)</w:t>
            </w:r>
          </w:p>
        </w:tc>
        <w:tc>
          <w:tcPr>
            <w:tcW w:type="dxa" w:w="1728"/>
          </w:tcPr>
          <w:p>
            <w:pPr/>
            <w:r>
              <w:rPr>
                <w:sz w:val="18"/>
              </w:rPr>
              <w:t>6,000</w:t>
            </w:r>
          </w:p>
        </w:tc>
        <w:tc>
          <w:tcPr>
            <w:tcW w:type="dxa" w:w="1728"/>
          </w:tcPr>
          <w:p>
            <w:pPr/>
            <w:r>
              <w:rPr>
                <w:sz w:val="18"/>
              </w:rPr>
              <w:t>—</w:t>
            </w:r>
          </w:p>
        </w:tc>
        <w:tc>
          <w:tcPr>
            <w:tcW w:type="dxa" w:w="1728"/>
          </w:tcPr>
          <w:p>
            <w:pPr/>
            <w:r>
              <w:rPr>
                <w:sz w:val="18"/>
              </w:rPr>
              <w:t>10,000</w:t>
            </w:r>
          </w:p>
        </w:tc>
        <w:tc>
          <w:tcPr>
            <w:tcW w:type="dxa" w:w="1728"/>
          </w:tcPr>
          <w:p>
            <w:pPr/>
            <w:r>
              <w:rPr>
                <w:sz w:val="18"/>
              </w:rPr>
              <w:t>Hard limit</w:t>
            </w:r>
          </w:p>
        </w:tc>
      </w:tr>
      <w:tr>
        <w:tc>
          <w:tcPr>
            <w:tcW w:type="dxa" w:w="1728"/>
          </w:tcPr>
          <w:p>
            <w:pPr/>
            <w:r>
              <w:rPr>
                <w:sz w:val="18"/>
              </w:rPr>
              <w:t>Gold (GC)</w:t>
            </w:r>
          </w:p>
        </w:tc>
        <w:tc>
          <w:tcPr>
            <w:tcW w:type="dxa" w:w="1728"/>
          </w:tcPr>
          <w:p>
            <w:pPr/>
            <w:r>
              <w:rPr>
                <w:sz w:val="18"/>
              </w:rPr>
              <w:t>3,000</w:t>
            </w:r>
          </w:p>
        </w:tc>
        <w:tc>
          <w:tcPr>
            <w:tcW w:type="dxa" w:w="1728"/>
          </w:tcPr>
          <w:p>
            <w:pPr/>
            <w:r>
              <w:rPr>
                <w:sz w:val="18"/>
              </w:rPr>
              <w:t>—</w:t>
            </w:r>
          </w:p>
        </w:tc>
        <w:tc>
          <w:tcPr>
            <w:tcW w:type="dxa" w:w="1728"/>
          </w:tcPr>
          <w:p>
            <w:pPr/>
            <w:r>
              <w:rPr>
                <w:sz w:val="18"/>
              </w:rPr>
              <w:t>6,000</w:t>
            </w:r>
          </w:p>
        </w:tc>
        <w:tc>
          <w:tcPr>
            <w:tcW w:type="dxa" w:w="1728"/>
          </w:tcPr>
          <w:p>
            <w:pPr/>
            <w:r>
              <w:rPr>
                <w:sz w:val="18"/>
              </w:rPr>
              <w:t>Hard limit</w:t>
            </w:r>
          </w:p>
        </w:tc>
      </w:tr>
      <w:tr>
        <w:tc>
          <w:tcPr>
            <w:tcW w:type="dxa" w:w="1728"/>
          </w:tcPr>
          <w:p>
            <w:pPr/>
            <w:r>
              <w:rPr>
                <w:sz w:val="18"/>
              </w:rPr>
              <w:t>Corn (ZC)</w:t>
            </w:r>
          </w:p>
        </w:tc>
        <w:tc>
          <w:tcPr>
            <w:tcW w:type="dxa" w:w="1728"/>
          </w:tcPr>
          <w:p>
            <w:pPr/>
            <w:r>
              <w:rPr>
                <w:sz w:val="18"/>
              </w:rPr>
              <w:t>1,200</w:t>
            </w:r>
          </w:p>
        </w:tc>
        <w:tc>
          <w:tcPr>
            <w:tcW w:type="dxa" w:w="1728"/>
          </w:tcPr>
          <w:p>
            <w:pPr/>
            <w:r>
              <w:rPr>
                <w:sz w:val="18"/>
              </w:rPr>
              <w:t>57,800 net</w:t>
            </w:r>
          </w:p>
        </w:tc>
        <w:tc>
          <w:tcPr>
            <w:tcW w:type="dxa" w:w="1728"/>
          </w:tcPr>
          <w:p>
            <w:pPr/>
            <w:r>
              <w:rPr>
                <w:sz w:val="18"/>
              </w:rPr>
              <w:t>57,800 net</w:t>
            </w:r>
          </w:p>
        </w:tc>
        <w:tc>
          <w:tcPr>
            <w:tcW w:type="dxa" w:w="1728"/>
          </w:tcPr>
          <w:p>
            <w:pPr/>
            <w:r>
              <w:rPr>
                <w:sz w:val="18"/>
              </w:rPr>
              <w:t>Hard limit (CFTC Part 150)</w:t>
            </w:r>
          </w:p>
        </w:tc>
      </w:tr>
      <w:tr>
        <w:tc>
          <w:tcPr>
            <w:tcW w:type="dxa" w:w="1728"/>
          </w:tcPr>
          <w:p>
            <w:pPr/>
            <w:r>
              <w:rPr>
                <w:sz w:val="18"/>
              </w:rPr>
              <w:t>Live Cattle (LE)</w:t>
            </w:r>
          </w:p>
        </w:tc>
        <w:tc>
          <w:tcPr>
            <w:tcW w:type="dxa" w:w="1728"/>
          </w:tcPr>
          <w:p>
            <w:pPr/>
            <w:r>
              <w:rPr>
                <w:sz w:val="18"/>
              </w:rPr>
              <w:t>600 (step-down to 300)</w:t>
            </w:r>
          </w:p>
        </w:tc>
        <w:tc>
          <w:tcPr>
            <w:tcW w:type="dxa" w:w="1728"/>
          </w:tcPr>
          <w:p>
            <w:pPr/>
            <w:r>
              <w:rPr>
                <w:sz w:val="18"/>
              </w:rPr>
              <w:t>6,300</w:t>
            </w:r>
          </w:p>
        </w:tc>
        <w:tc>
          <w:tcPr>
            <w:tcW w:type="dxa" w:w="1728"/>
          </w:tcPr>
          <w:p>
            <w:pPr/>
            <w:r>
              <w:rPr>
                <w:sz w:val="18"/>
              </w:rPr>
              <w:t>6,300</w:t>
            </w:r>
          </w:p>
        </w:tc>
        <w:tc>
          <w:tcPr>
            <w:tcW w:type="dxa" w:w="1728"/>
          </w:tcPr>
          <w:p>
            <w:pPr/>
            <w:r>
              <w:rPr>
                <w:sz w:val="18"/>
              </w:rPr>
              <w:t>Hard limit</w:t>
            </w:r>
          </w:p>
        </w:tc>
      </w:tr>
      <w:tr>
        <w:tc>
          <w:tcPr>
            <w:tcW w:type="dxa" w:w="1728"/>
          </w:tcPr>
          <w:p>
            <w:pPr/>
            <w:r>
              <w:rPr>
                <w:sz w:val="18"/>
              </w:rPr>
              <w:t>E-mini S&amp;P 500 (ES)</w:t>
            </w:r>
          </w:p>
        </w:tc>
        <w:tc>
          <w:tcPr>
            <w:tcW w:type="dxa" w:w="1728"/>
          </w:tcPr>
          <w:p>
            <w:pPr/>
            <w:r>
              <w:rPr>
                <w:sz w:val="18"/>
              </w:rPr>
              <w:t>—</w:t>
            </w:r>
          </w:p>
        </w:tc>
        <w:tc>
          <w:tcPr>
            <w:tcW w:type="dxa" w:w="1728"/>
          </w:tcPr>
          <w:p>
            <w:pPr/>
            <w:r>
              <w:rPr>
                <w:sz w:val="18"/>
              </w:rPr>
              <w:t>—</w:t>
            </w:r>
          </w:p>
        </w:tc>
        <w:tc>
          <w:tcPr>
            <w:tcW w:type="dxa" w:w="1728"/>
          </w:tcPr>
          <w:p>
            <w:pPr/>
            <w:r>
              <w:rPr>
                <w:sz w:val="18"/>
              </w:rPr>
              <w:t>—</w:t>
            </w:r>
          </w:p>
        </w:tc>
        <w:tc>
          <w:tcPr>
            <w:tcW w:type="dxa" w:w="1728"/>
          </w:tcPr>
          <w:p>
            <w:pPr/>
            <w:r>
              <w:rPr>
                <w:sz w:val="18"/>
              </w:rPr>
              <w:t>Position accountability (no hard limit); exchange may inquire above threshold</w:t>
            </w:r>
          </w:p>
        </w:tc>
      </w:tr>
      <w:tr>
        <w:tc>
          <w:tcPr>
            <w:tcW w:type="dxa" w:w="1728"/>
          </w:tcPr>
          <w:p>
            <w:pPr/>
            <w:r>
              <w:rPr>
                <w:sz w:val="18"/>
              </w:rPr>
              <w:t>10-Year T-Note (ZN)</w:t>
            </w:r>
          </w:p>
        </w:tc>
        <w:tc>
          <w:tcPr>
            <w:tcW w:type="dxa" w:w="1728"/>
          </w:tcPr>
          <w:p>
            <w:pPr/>
            <w:r>
              <w:rPr>
                <w:sz w:val="18"/>
              </w:rPr>
              <w:t>—</w:t>
            </w:r>
          </w:p>
        </w:tc>
        <w:tc>
          <w:tcPr>
            <w:tcW w:type="dxa" w:w="1728"/>
          </w:tcPr>
          <w:p>
            <w:pPr/>
            <w:r>
              <w:rPr>
                <w:sz w:val="18"/>
              </w:rPr>
              <w:t>—</w:t>
            </w:r>
          </w:p>
        </w:tc>
        <w:tc>
          <w:tcPr>
            <w:tcW w:type="dxa" w:w="1728"/>
          </w:tcPr>
          <w:p>
            <w:pPr/>
            <w:r>
              <w:rPr>
                <w:sz w:val="18"/>
              </w:rPr>
              <w:t>—</w:t>
            </w:r>
          </w:p>
        </w:tc>
        <w:tc>
          <w:tcPr>
            <w:tcW w:type="dxa" w:w="1728"/>
          </w:tcPr>
          <w:p>
            <w:pPr/>
            <w:r>
              <w:rPr>
                <w:sz w:val="18"/>
              </w:rPr>
              <w:t>Position accountability</w:t>
            </w:r>
          </w:p>
        </w:tc>
      </w:tr>
    </w:tbl>
    <w:p/>
    <w:p>
      <w:pPr>
        <w:pStyle w:val="Heading3"/>
      </w:pPr>
      <w:r>
        <w:t>Hedge Exemptions</w:t>
      </w:r>
    </w:p>
    <w:p>
      <w:pPr>
        <w:pStyle w:val="ListBullet"/>
      </w:pPr>
      <w:r>
        <w:t>Bona fide hedgers may apply for exemption from speculative position limits under CFTC Regulation 150.3</w:t>
      </w:r>
    </w:p>
    <w:p>
      <w:pPr>
        <w:pStyle w:val="ListBullet"/>
      </w:pPr>
      <w:r>
        <w:t>Filing must occur before exceeding the limit; after exceeding, filing should be within 5 business days</w:t>
      </w:r>
    </w:p>
    <w:p>
      <w:pPr>
        <w:pStyle w:val="ListBullet"/>
      </w:pPr>
      <w:r>
        <w:t>Exemptions must demonstrate that positions are economically appropriate to reduce risk from commercial cash market activity</w:t>
      </w:r>
    </w:p>
    <w:p>
      <w:pPr>
        <w:pStyle w:val="ListBullet"/>
      </w:pPr>
      <w:r>
        <w:t>CME Group exchanges process exemption applications under their respective rules (559, 560, 562)</w:t>
      </w:r>
    </w:p>
    <w:p>
      <w:pPr>
        <w:pStyle w:val="Heading3"/>
      </w:pPr>
      <w:r>
        <w:t>Large Trader Reporting</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Threshold</w:t>
            </w:r>
          </w:p>
        </w:tc>
        <w:tc>
          <w:tcPr>
            <w:tcW w:type="dxa" w:w="4320"/>
          </w:tcPr>
          <w:p>
            <w:pPr/>
            <w:r>
              <w:rPr>
                <w:b/>
                <w:sz w:val="18"/>
              </w:rPr>
              <w:t>Requirement</w:t>
            </w:r>
          </w:p>
        </w:tc>
      </w:tr>
      <w:tr>
        <w:tc>
          <w:tcPr>
            <w:tcW w:type="dxa" w:w="4320"/>
          </w:tcPr>
          <w:p>
            <w:pPr/>
            <w:r>
              <w:rPr>
                <w:sz w:val="18"/>
              </w:rPr>
              <w:t>Reportable position level varies by product</w:t>
            </w:r>
          </w:p>
        </w:tc>
        <w:tc>
          <w:tcPr>
            <w:tcW w:type="dxa" w:w="4320"/>
          </w:tcPr>
          <w:p>
            <w:pPr/>
            <w:r>
              <w:rPr>
                <w:sz w:val="18"/>
              </w:rPr>
              <w:t>FCMs/clearing members file daily reports when customer positions exceed thresholds</w:t>
            </w:r>
          </w:p>
        </w:tc>
      </w:tr>
      <w:tr>
        <w:tc>
          <w:tcPr>
            <w:tcW w:type="dxa" w:w="4320"/>
          </w:tcPr>
          <w:p>
            <w:pPr/>
            <w:r>
              <w:rPr>
                <w:sz w:val="18"/>
              </w:rPr>
              <w:t>Range: 25 contracts (small markets) to 125,000+ contracts (largest markets)</w:t>
            </w:r>
          </w:p>
        </w:tc>
        <w:tc>
          <w:tcPr>
            <w:tcW w:type="dxa" w:w="4320"/>
          </w:tcPr>
          <w:p>
            <w:pPr/>
            <w:r>
              <w:rPr>
                <w:sz w:val="18"/>
              </w:rPr>
            </w:r>
          </w:p>
        </w:tc>
      </w:tr>
      <w:tr>
        <w:tc>
          <w:tcPr>
            <w:tcW w:type="dxa" w:w="4320"/>
          </w:tcPr>
          <w:p>
            <w:pPr/>
            <w:r>
              <w:rPr>
                <w:sz w:val="18"/>
              </w:rPr>
              <w:t>CFTC Form 40</w:t>
            </w:r>
          </w:p>
        </w:tc>
        <w:tc>
          <w:tcPr>
            <w:tcW w:type="dxa" w:w="4320"/>
          </w:tcPr>
          <w:p>
            <w:pPr/>
            <w:r>
              <w:rPr>
                <w:sz w:val="18"/>
              </w:rPr>
              <w:t>"Statement of Reporting Trader" — detailed identification required of any trader exceeding reportable levels</w:t>
            </w:r>
          </w:p>
        </w:tc>
      </w:tr>
      <w:tr>
        <w:tc>
          <w:tcPr>
            <w:tcW w:type="dxa" w:w="4320"/>
          </w:tcPr>
          <w:p>
            <w:pPr/>
            <w:r>
              <w:rPr>
                <w:sz w:val="18"/>
              </w:rPr>
              <w:t>Commitments of Traders (COT)</w:t>
            </w:r>
          </w:p>
        </w:tc>
        <w:tc>
          <w:tcPr>
            <w:tcW w:type="dxa" w:w="4320"/>
          </w:tcPr>
          <w:p>
            <w:pPr/>
            <w:r>
              <w:rPr>
                <w:sz w:val="18"/>
              </w:rPr>
              <w:t>CFTC publishes weekly aggregated position data by trader category</w:t>
            </w:r>
          </w:p>
        </w:tc>
      </w:tr>
    </w:tbl>
    <w:p/>
    <w:p>
      <w:pPr>
        <w:pStyle w:val="Heading3"/>
      </w:pPr>
      <w:r>
        <w:t>Aggregation Rules</w:t>
      </w:r>
    </w:p>
    <w:p>
      <w:pPr>
        <w:pStyle w:val="ListBullet"/>
      </w:pPr>
      <w:r>
        <w:t>Positions held across multiple accounts with common ownership or control must be aggregated</w:t>
      </w:r>
    </w:p>
    <w:p>
      <w:pPr>
        <w:pStyle w:val="ListBullet"/>
      </w:pPr>
      <w:r>
        <w:t>"Substantially identical trading strategies" across accounts trigger aggregation (CFTC Reg. 150.4)</w:t>
      </w:r>
    </w:p>
    <w:p>
      <w:pPr>
        <w:pStyle w:val="ListBullet"/>
      </w:pPr>
      <w:r>
        <w:t>No-action relief extended (July 2025, CFTC Letter No. 25-21) from aggregation requirement for non-willful-circumvention accounts</w:t>
      </w:r>
    </w:p>
    <w:p>
      <w:r>
        <w:t>[Source: CME Group, "Position Limits"; CME Group Rules 559, 560, 562; CFTC Part 150; CME Group advisory notices]</w:t>
      </w:r>
    </w:p>
    <w:p>
      <w:r>
        <w:t>────────────────────────────────────────────────────────────</w:t>
      </w:r>
    </w:p>
    <w:p>
      <w:pPr>
        <w:pStyle w:val="Heading2"/>
      </w:pPr>
      <w:r>
        <w:t>D5. Block Trading / EFP / EFS / EFRP</w:t>
      </w:r>
    </w:p>
    <w:p>
      <w:pPr>
        <w:pStyle w:val="Heading3"/>
      </w:pPr>
      <w:r>
        <w:t>Block Trades (Rule 526)</w:t>
      </w:r>
    </w:p>
    <w:p>
      <w:r>
        <w:t>Block trades are privately negotiated transactions in exchange-listed futures and options that meet minimum size thresholds.</w:t>
      </w:r>
    </w:p>
    <w:p>
      <w:r>
        <w:t>Key Rules:</w:t>
      </w:r>
    </w:p>
    <w:p>
      <w:pPr>
        <w:pStyle w:val="ListBullet"/>
      </w:pPr>
      <w:r>
        <w:t>Must meet minimum quantity thresholds that vary by product, transaction type, and time of execution</w:t>
      </w:r>
    </w:p>
    <w:p>
      <w:pPr>
        <w:pStyle w:val="ListBullet"/>
      </w:pPr>
      <w:r>
        <w:t>Must be executed at prices that are "fair and reasonable" considering prevailing market conditions, transaction size, and prices in related markets</w:t>
      </w:r>
    </w:p>
    <w:p>
      <w:pPr>
        <w:pStyle w:val="ListBullet"/>
      </w:pPr>
      <w:r>
        <w:t>Must be reported to the exchange as soon as practicable after execution</w:t>
      </w:r>
    </w:p>
    <w:p>
      <w:pPr>
        <w:pStyle w:val="ListBullet"/>
      </w:pPr>
      <w:r>
        <w:t>Both buyer and seller must be Eligible Contract Participants (ECPs) unless one side is a proprietary account</w:t>
      </w:r>
    </w:p>
    <w:p>
      <w:r>
        <w:t>Minimum Size Thresholds (Selected Examples):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Daytime Minimum</w:t>
            </w:r>
          </w:p>
        </w:tc>
        <w:tc>
          <w:tcPr>
            <w:tcW w:type="dxa" w:w="2880"/>
          </w:tcPr>
          <w:p>
            <w:pPr/>
            <w:r>
              <w:rPr>
                <w:b/>
                <w:sz w:val="18"/>
              </w:rPr>
              <w:t>Overnight/After-Hours Minimum</w:t>
            </w:r>
          </w:p>
        </w:tc>
      </w:tr>
      <w:tr>
        <w:tc>
          <w:tcPr>
            <w:tcW w:type="dxa" w:w="2880"/>
          </w:tcPr>
          <w:p>
            <w:pPr/>
            <w:r>
              <w:rPr>
                <w:sz w:val="18"/>
              </w:rPr>
              <w:t>E-mini S&amp;P 500 (ES)</w:t>
            </w:r>
          </w:p>
        </w:tc>
        <w:tc>
          <w:tcPr>
            <w:tcW w:type="dxa" w:w="2880"/>
          </w:tcPr>
          <w:p>
            <w:pPr/>
            <w:r>
              <w:rPr>
                <w:sz w:val="18"/>
              </w:rPr>
              <w:t>250 contracts</w:t>
            </w:r>
          </w:p>
        </w:tc>
        <w:tc>
          <w:tcPr>
            <w:tcW w:type="dxa" w:w="2880"/>
          </w:tcPr>
          <w:p>
            <w:pPr/>
            <w:r>
              <w:rPr>
                <w:sz w:val="18"/>
              </w:rPr>
              <w:t>125 contracts</w:t>
            </w:r>
          </w:p>
        </w:tc>
      </w:tr>
      <w:tr>
        <w:tc>
          <w:tcPr>
            <w:tcW w:type="dxa" w:w="2880"/>
          </w:tcPr>
          <w:p>
            <w:pPr/>
            <w:r>
              <w:rPr>
                <w:sz w:val="18"/>
              </w:rPr>
              <w:t>10-Year T-Note (ZN)</w:t>
            </w:r>
          </w:p>
        </w:tc>
        <w:tc>
          <w:tcPr>
            <w:tcW w:type="dxa" w:w="2880"/>
          </w:tcPr>
          <w:p>
            <w:pPr/>
            <w:r>
              <w:rPr>
                <w:sz w:val="18"/>
              </w:rPr>
              <w:t>4,000 contracts [unverified]</w:t>
            </w:r>
          </w:p>
        </w:tc>
        <w:tc>
          <w:tcPr>
            <w:tcW w:type="dxa" w:w="2880"/>
          </w:tcPr>
          <w:p>
            <w:pPr/>
            <w:r>
              <w:rPr>
                <w:sz w:val="18"/>
              </w:rPr>
              <w:t>2,000 contracts [unverified]</w:t>
            </w:r>
          </w:p>
        </w:tc>
      </w:tr>
      <w:tr>
        <w:tc>
          <w:tcPr>
            <w:tcW w:type="dxa" w:w="2880"/>
          </w:tcPr>
          <w:p>
            <w:pPr/>
            <w:r>
              <w:rPr>
                <w:sz w:val="18"/>
              </w:rPr>
              <w:t>WTI Crude Oil (CL)</w:t>
            </w:r>
          </w:p>
        </w:tc>
        <w:tc>
          <w:tcPr>
            <w:tcW w:type="dxa" w:w="2880"/>
          </w:tcPr>
          <w:p>
            <w:pPr/>
            <w:r>
              <w:rPr>
                <w:sz w:val="18"/>
              </w:rPr>
              <w:t>50 contracts</w:t>
            </w:r>
          </w:p>
        </w:tc>
        <w:tc>
          <w:tcPr>
            <w:tcW w:type="dxa" w:w="2880"/>
          </w:tcPr>
          <w:p>
            <w:pPr/>
            <w:r>
              <w:rPr>
                <w:sz w:val="18"/>
              </w:rPr>
              <w:t>25 contracts</w:t>
            </w:r>
          </w:p>
        </w:tc>
      </w:tr>
      <w:tr>
        <w:tc>
          <w:tcPr>
            <w:tcW w:type="dxa" w:w="2880"/>
          </w:tcPr>
          <w:p>
            <w:pPr/>
            <w:r>
              <w:rPr>
                <w:sz w:val="18"/>
              </w:rPr>
              <w:t>Gold (GC)</w:t>
            </w:r>
          </w:p>
        </w:tc>
        <w:tc>
          <w:tcPr>
            <w:tcW w:type="dxa" w:w="2880"/>
          </w:tcPr>
          <w:p>
            <w:pPr/>
            <w:r>
              <w:rPr>
                <w:sz w:val="18"/>
              </w:rPr>
              <w:t>50 contracts</w:t>
            </w:r>
          </w:p>
        </w:tc>
        <w:tc>
          <w:tcPr>
            <w:tcW w:type="dxa" w:w="2880"/>
          </w:tcPr>
          <w:p>
            <w:pPr/>
            <w:r>
              <w:rPr>
                <w:sz w:val="18"/>
              </w:rPr>
              <w:t>25 contracts</w:t>
            </w:r>
          </w:p>
        </w:tc>
      </w:tr>
      <w:tr>
        <w:tc>
          <w:tcPr>
            <w:tcW w:type="dxa" w:w="2880"/>
          </w:tcPr>
          <w:p>
            <w:pPr/>
            <w:r>
              <w:rPr>
                <w:sz w:val="18"/>
              </w:rPr>
              <w:t>Corn (ZC)</w:t>
            </w:r>
          </w:p>
        </w:tc>
        <w:tc>
          <w:tcPr>
            <w:tcW w:type="dxa" w:w="2880"/>
          </w:tcPr>
          <w:p>
            <w:pPr/>
            <w:r>
              <w:rPr>
                <w:sz w:val="18"/>
              </w:rPr>
              <w:t>300 contracts</w:t>
            </w:r>
          </w:p>
        </w:tc>
        <w:tc>
          <w:tcPr>
            <w:tcW w:type="dxa" w:w="2880"/>
          </w:tcPr>
          <w:p>
            <w:pPr/>
            <w:r>
              <w:rPr>
                <w:sz w:val="18"/>
              </w:rPr>
              <w:t>150 contracts</w:t>
            </w:r>
          </w:p>
        </w:tc>
      </w:tr>
    </w:tbl>
    <w:p/>
    <w:p>
      <w:r>
        <w:t>Note: Thresholds change periodically; consult CME Group website for current levels.</w:t>
      </w:r>
    </w:p>
    <w:p>
      <w:pPr>
        <w:pStyle w:val="Heading3"/>
      </w:pPr>
      <w:r>
        <w:t>Exchange for Related Positions (EFRP) Transactions (Rule 538)</w:t>
      </w:r>
    </w:p>
    <w:p>
      <w:r>
        <w:t>EFRP transactions allow the simultaneous execution of an exchange futures/options position and a corresponding related-market position: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Abbreviation</w:t>
            </w:r>
          </w:p>
        </w:tc>
        <w:tc>
          <w:tcPr>
            <w:tcW w:type="dxa" w:w="2880"/>
          </w:tcPr>
          <w:p>
            <w:pPr/>
            <w:r>
              <w:rPr>
                <w:b/>
                <w:sz w:val="18"/>
              </w:rPr>
              <w:t>Related Position</w:t>
            </w:r>
          </w:p>
        </w:tc>
      </w:tr>
      <w:tr>
        <w:tc>
          <w:tcPr>
            <w:tcW w:type="dxa" w:w="2880"/>
          </w:tcPr>
          <w:p>
            <w:pPr/>
            <w:r>
              <w:rPr>
                <w:sz w:val="18"/>
              </w:rPr>
              <w:t>**Exchange for Physical**</w:t>
            </w:r>
          </w:p>
        </w:tc>
        <w:tc>
          <w:tcPr>
            <w:tcW w:type="dxa" w:w="2880"/>
          </w:tcPr>
          <w:p>
            <w:pPr/>
            <w:r>
              <w:rPr>
                <w:sz w:val="18"/>
              </w:rPr>
              <w:t>EFP</w:t>
            </w:r>
          </w:p>
        </w:tc>
        <w:tc>
          <w:tcPr>
            <w:tcW w:type="dxa" w:w="2880"/>
          </w:tcPr>
          <w:p>
            <w:pPr/>
            <w:r>
              <w:rPr>
                <w:sz w:val="18"/>
              </w:rPr>
              <w:t>Physical commodity or forward contract on a physical</w:t>
            </w:r>
          </w:p>
        </w:tc>
      </w:tr>
      <w:tr>
        <w:tc>
          <w:tcPr>
            <w:tcW w:type="dxa" w:w="2880"/>
          </w:tcPr>
          <w:p>
            <w:pPr/>
            <w:r>
              <w:rPr>
                <w:sz w:val="18"/>
              </w:rPr>
              <w:t>**Exchange for Risk**</w:t>
            </w:r>
          </w:p>
        </w:tc>
        <w:tc>
          <w:tcPr>
            <w:tcW w:type="dxa" w:w="2880"/>
          </w:tcPr>
          <w:p>
            <w:pPr/>
            <w:r>
              <w:rPr>
                <w:sz w:val="18"/>
              </w:rPr>
              <w:t>EFR</w:t>
            </w:r>
          </w:p>
        </w:tc>
        <w:tc>
          <w:tcPr>
            <w:tcW w:type="dxa" w:w="2880"/>
          </w:tcPr>
          <w:p>
            <w:pPr/>
            <w:r>
              <w:rPr>
                <w:sz w:val="18"/>
              </w:rPr>
              <w:t>OTC derivative (swap, option) on the same or related underlying</w:t>
            </w:r>
          </w:p>
        </w:tc>
      </w:tr>
      <w:tr>
        <w:tc>
          <w:tcPr>
            <w:tcW w:type="dxa" w:w="2880"/>
          </w:tcPr>
          <w:p>
            <w:pPr/>
            <w:r>
              <w:rPr>
                <w:sz w:val="18"/>
              </w:rPr>
              <w:t>**Exchange for Swap**</w:t>
            </w:r>
          </w:p>
        </w:tc>
        <w:tc>
          <w:tcPr>
            <w:tcW w:type="dxa" w:w="2880"/>
          </w:tcPr>
          <w:p>
            <w:pPr/>
            <w:r>
              <w:rPr>
                <w:sz w:val="18"/>
              </w:rPr>
              <w:t>EFS</w:t>
            </w:r>
          </w:p>
        </w:tc>
        <w:tc>
          <w:tcPr>
            <w:tcW w:type="dxa" w:w="2880"/>
          </w:tcPr>
          <w:p>
            <w:pPr/>
            <w:r>
              <w:rPr>
                <w:sz w:val="18"/>
              </w:rPr>
              <w:t>OTC swap on the same or related underlying</w:t>
            </w:r>
          </w:p>
        </w:tc>
      </w:tr>
      <w:tr>
        <w:tc>
          <w:tcPr>
            <w:tcW w:type="dxa" w:w="2880"/>
          </w:tcPr>
          <w:p>
            <w:pPr/>
            <w:r>
              <w:rPr>
                <w:sz w:val="18"/>
              </w:rPr>
              <w:t>**Exchange of Options for Options**</w:t>
            </w:r>
          </w:p>
        </w:tc>
        <w:tc>
          <w:tcPr>
            <w:tcW w:type="dxa" w:w="2880"/>
          </w:tcPr>
          <w:p>
            <w:pPr/>
            <w:r>
              <w:rPr>
                <w:sz w:val="18"/>
              </w:rPr>
              <w:t>EOO</w:t>
            </w:r>
          </w:p>
        </w:tc>
        <w:tc>
          <w:tcPr>
            <w:tcW w:type="dxa" w:w="2880"/>
          </w:tcPr>
          <w:p>
            <w:pPr/>
            <w:r>
              <w:rPr>
                <w:sz w:val="18"/>
              </w:rPr>
              <w:t>OTC option for a listed option</w:t>
            </w:r>
          </w:p>
        </w:tc>
      </w:tr>
    </w:tbl>
    <w:p/>
    <w:p>
      <w:r>
        <w:t>Key EFRP Rules:</w:t>
      </w:r>
    </w:p>
    <w:p>
      <w:pPr>
        <w:pStyle w:val="ListBullet"/>
      </w:pPr>
      <w:r>
        <w:t>Both legs must be transacted between the same parties (or their agents)</w:t>
      </w:r>
    </w:p>
    <w:p>
      <w:pPr>
        <w:pStyle w:val="ListBullet"/>
      </w:pPr>
      <w:r>
        <w:t>The exchange-traded and related-market positions must involve the same or related commodities</w:t>
      </w:r>
    </w:p>
    <w:p>
      <w:pPr>
        <w:pStyle w:val="ListBullet"/>
      </w:pPr>
      <w:r>
        <w:t>The quantity of the related position must be approximately equivalent to the exchange-traded position</w:t>
      </w:r>
    </w:p>
    <w:p>
      <w:pPr>
        <w:pStyle w:val="ListBullet"/>
      </w:pPr>
      <w:r>
        <w:t>Must be reported to the exchange as soon as possible, but no later than the end of the business day of execution</w:t>
      </w:r>
    </w:p>
    <w:p>
      <w:pPr>
        <w:pStyle w:val="ListBullet"/>
      </w:pPr>
      <w:r>
        <w:t>Effective August 29, 2025, CME Group codified existing EFRP guidance in updated Market Regulation Advisory Notice</w:t>
      </w:r>
    </w:p>
    <w:p>
      <w:r>
        <w:t>FX Link: A specific mechanism on CME Globex that facilitates EFP-like transactions linking CME FX futures with OTC FX spot and forward markets.</w:t>
      </w:r>
    </w:p>
    <w:p>
      <w:r>
        <w:t>[Source: CME Group, "Block Trades"; CME Group Rule 526; CME Group Rule 538; FIA, "Updated CME Group regulatory guidance on block trades"]</w:t>
      </w:r>
    </w:p>
    <w:p>
      <w:r>
        <w:t>────────────────────────────────────────────────────────────</w:t>
      </w:r>
    </w:p>
    <w:p>
      <w:pPr>
        <w:pStyle w:val="Heading2"/>
      </w:pPr>
      <w:r>
        <w:t>D6. Delivery &amp; Settlement</w:t>
      </w:r>
    </w:p>
    <w:p>
      <w:pPr>
        <w:pStyle w:val="Heading3"/>
      </w:pPr>
      <w:r>
        <w:t>Physical Delivery Products</w:t>
      </w:r>
    </w:p>
    <w:p>
      <w:pPr>
        <w:pStyle w:val="Heading4"/>
      </w:pPr>
      <w:r>
        <w:t>Energy — WTI Crude Oil (CL)</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Delivery Point</w:t>
            </w:r>
          </w:p>
        </w:tc>
        <w:tc>
          <w:tcPr>
            <w:tcW w:type="dxa" w:w="4320"/>
          </w:tcPr>
          <w:p>
            <w:pPr/>
            <w:r>
              <w:rPr>
                <w:sz w:val="18"/>
              </w:rPr>
              <w:t>Cushing, Oklahoma</w:t>
            </w:r>
          </w:p>
        </w:tc>
      </w:tr>
      <w:tr>
        <w:tc>
          <w:tcPr>
            <w:tcW w:type="dxa" w:w="4320"/>
          </w:tcPr>
          <w:p>
            <w:pPr/>
            <w:r>
              <w:rPr>
                <w:sz w:val="18"/>
              </w:rPr>
              <w:t>Delivery Method</w:t>
            </w:r>
          </w:p>
        </w:tc>
        <w:tc>
          <w:tcPr>
            <w:tcW w:type="dxa" w:w="4320"/>
          </w:tcPr>
          <w:p>
            <w:pPr/>
            <w:r>
              <w:rPr>
                <w:sz w:val="18"/>
              </w:rPr>
              <w:t>Pipeline or in-tank transfer at Cushing storage terminals</w:t>
            </w:r>
          </w:p>
        </w:tc>
      </w:tr>
      <w:tr>
        <w:tc>
          <w:tcPr>
            <w:tcW w:type="dxa" w:w="4320"/>
          </w:tcPr>
          <w:p>
            <w:pPr/>
            <w:r>
              <w:rPr>
                <w:sz w:val="18"/>
              </w:rPr>
              <w:t>Facility</w:t>
            </w:r>
          </w:p>
        </w:tc>
        <w:tc>
          <w:tcPr>
            <w:tcW w:type="dxa" w:w="4320"/>
          </w:tcPr>
          <w:p>
            <w:pPr/>
            <w:r>
              <w:rPr>
                <w:sz w:val="18"/>
              </w:rPr>
              <w:t>Network of ~24 pipelines and 15 storage terminals — one of the world's largest crude oil storage hubs</w:t>
            </w:r>
          </w:p>
        </w:tc>
      </w:tr>
      <w:tr>
        <w:tc>
          <w:tcPr>
            <w:tcW w:type="dxa" w:w="4320"/>
          </w:tcPr>
          <w:p>
            <w:pPr/>
            <w:r>
              <w:rPr>
                <w:sz w:val="18"/>
              </w:rPr>
              <w:t>Grade</w:t>
            </w:r>
          </w:p>
        </w:tc>
        <w:tc>
          <w:tcPr>
            <w:tcW w:type="dxa" w:w="4320"/>
          </w:tcPr>
          <w:p>
            <w:pPr/>
            <w:r>
              <w:rPr>
                <w:sz w:val="18"/>
              </w:rPr>
              <w:t>Light Sweet Crude Oil meeting specifications (API gravity 37-42, max sulfur 0.42%) with premium/discount for other deliverable grades</w:t>
            </w:r>
          </w:p>
        </w:tc>
      </w:tr>
      <w:tr>
        <w:tc>
          <w:tcPr>
            <w:tcW w:type="dxa" w:w="4320"/>
          </w:tcPr>
          <w:p>
            <w:pPr/>
            <w:r>
              <w:rPr>
                <w:sz w:val="18"/>
              </w:rPr>
              <w:t>Delivery Period</w:t>
            </w:r>
          </w:p>
        </w:tc>
        <w:tc>
          <w:tcPr>
            <w:tcW w:type="dxa" w:w="4320"/>
          </w:tcPr>
          <w:p>
            <w:pPr/>
            <w:r>
              <w:rPr>
                <w:sz w:val="18"/>
              </w:rPr>
              <w:t>Any business day of the delivery month</w:t>
            </w:r>
          </w:p>
        </w:tc>
      </w:tr>
      <w:tr>
        <w:tc>
          <w:tcPr>
            <w:tcW w:type="dxa" w:w="4320"/>
          </w:tcPr>
          <w:p>
            <w:pPr/>
            <w:r>
              <w:rPr>
                <w:sz w:val="18"/>
              </w:rPr>
              <w:t>Process</w:t>
            </w:r>
          </w:p>
        </w:tc>
        <w:tc>
          <w:tcPr>
            <w:tcW w:type="dxa" w:w="4320"/>
          </w:tcPr>
          <w:p>
            <w:pPr/>
            <w:r>
              <w:rPr>
                <w:sz w:val="18"/>
              </w:rPr>
              <w:t>Long (buyer) receives delivery notice from CME Clearing; short (seller) arranges physical transfer; title passes upon delivery completion</w:t>
            </w:r>
          </w:p>
        </w:tc>
      </w:tr>
    </w:tbl>
    <w:p/>
    <w:p>
      <w:pPr>
        <w:pStyle w:val="Heading4"/>
      </w:pPr>
      <w:r>
        <w:t>Metals — Gold (GC)</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Delivery Point</w:t>
            </w:r>
          </w:p>
        </w:tc>
        <w:tc>
          <w:tcPr>
            <w:tcW w:type="dxa" w:w="4320"/>
          </w:tcPr>
          <w:p>
            <w:pPr/>
            <w:r>
              <w:rPr>
                <w:sz w:val="18"/>
              </w:rPr>
              <w:t>Exchange-approved vaults in the New York metropolitan area</w:t>
            </w:r>
          </w:p>
        </w:tc>
      </w:tr>
      <w:tr>
        <w:tc>
          <w:tcPr>
            <w:tcW w:type="dxa" w:w="4320"/>
          </w:tcPr>
          <w:p>
            <w:pPr/>
            <w:r>
              <w:rPr>
                <w:sz w:val="18"/>
              </w:rPr>
              <w:t>Delivery Unit</w:t>
            </w:r>
          </w:p>
        </w:tc>
        <w:tc>
          <w:tcPr>
            <w:tcW w:type="dxa" w:w="4320"/>
          </w:tcPr>
          <w:p>
            <w:pPr/>
            <w:r>
              <w:rPr>
                <w:sz w:val="18"/>
              </w:rPr>
              <w:t>100 troy ounces (+/- 5% weight tolerance)</w:t>
            </w:r>
          </w:p>
        </w:tc>
      </w:tr>
      <w:tr>
        <w:tc>
          <w:tcPr>
            <w:tcW w:type="dxa" w:w="4320"/>
          </w:tcPr>
          <w:p>
            <w:pPr/>
            <w:r>
              <w:rPr>
                <w:sz w:val="18"/>
              </w:rPr>
              <w:t>Fineness</w:t>
            </w:r>
          </w:p>
        </w:tc>
        <w:tc>
          <w:tcPr>
            <w:tcW w:type="dxa" w:w="4320"/>
          </w:tcPr>
          <w:p>
            <w:pPr/>
            <w:r>
              <w:rPr>
                <w:sz w:val="18"/>
              </w:rPr>
              <w:t>Minimum 995 fine; must be an Exchange-approved brand</w:t>
            </w:r>
          </w:p>
        </w:tc>
      </w:tr>
      <w:tr>
        <w:tc>
          <w:tcPr>
            <w:tcW w:type="dxa" w:w="4320"/>
          </w:tcPr>
          <w:p>
            <w:pPr/>
            <w:r>
              <w:rPr>
                <w:sz w:val="18"/>
              </w:rPr>
              <w:t>Approved Vaults</w:t>
            </w:r>
          </w:p>
        </w:tc>
        <w:tc>
          <w:tcPr>
            <w:tcW w:type="dxa" w:w="4320"/>
          </w:tcPr>
          <w:p>
            <w:pPr/>
            <w:r>
              <w:rPr>
                <w:sz w:val="18"/>
              </w:rPr>
              <w:t>Brink's Inc., Loomis International, Delaware Depository, HSBC Bank USA, International Depository Services of Delaware, JP Morgan Chase Bank</w:t>
            </w:r>
          </w:p>
        </w:tc>
      </w:tr>
      <w:tr>
        <w:tc>
          <w:tcPr>
            <w:tcW w:type="dxa" w:w="4320"/>
          </w:tcPr>
          <w:p>
            <w:pPr/>
            <w:r>
              <w:rPr>
                <w:sz w:val="18"/>
              </w:rPr>
              <w:t>Process</w:t>
            </w:r>
          </w:p>
        </w:tc>
        <w:tc>
          <w:tcPr>
            <w:tcW w:type="dxa" w:w="4320"/>
          </w:tcPr>
          <w:p>
            <w:pPr/>
            <w:r>
              <w:rPr>
                <w:sz w:val="18"/>
              </w:rPr>
              <w:t>Short delivers warrants (vault receipts); long takes possession or retains in vault</w:t>
            </w:r>
          </w:p>
        </w:tc>
      </w:tr>
      <w:tr>
        <w:tc>
          <w:tcPr>
            <w:tcW w:type="dxa" w:w="4320"/>
          </w:tcPr>
          <w:p>
            <w:pPr/>
            <w:r>
              <w:rPr>
                <w:sz w:val="18"/>
              </w:rPr>
              <w:t>Monitoring</w:t>
            </w:r>
          </w:p>
        </w:tc>
        <w:tc>
          <w:tcPr>
            <w:tcW w:type="dxa" w:w="4320"/>
          </w:tcPr>
          <w:p>
            <w:pPr/>
            <w:r>
              <w:rPr>
                <w:sz w:val="18"/>
              </w:rPr>
              <w:t>Exchange continuously monitors approved warehouses for compliance with rules and regulations</w:t>
            </w:r>
          </w:p>
        </w:tc>
      </w:tr>
    </w:tbl>
    <w:p/>
    <w:p>
      <w:pPr>
        <w:pStyle w:val="Heading4"/>
      </w:pPr>
      <w:r>
        <w:t>Agriculture — Corn (ZC)</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Aspect</w:t>
            </w:r>
          </w:p>
        </w:tc>
        <w:tc>
          <w:tcPr>
            <w:tcW w:type="dxa" w:w="4320"/>
          </w:tcPr>
          <w:p>
            <w:pPr/>
            <w:r>
              <w:rPr>
                <w:b/>
                <w:sz w:val="18"/>
              </w:rPr>
              <w:t>Details</w:t>
            </w:r>
          </w:p>
        </w:tc>
      </w:tr>
      <w:tr>
        <w:tc>
          <w:tcPr>
            <w:tcW w:type="dxa" w:w="4320"/>
          </w:tcPr>
          <w:p>
            <w:pPr/>
            <w:r>
              <w:rPr>
                <w:sz w:val="18"/>
              </w:rPr>
              <w:t>Delivery Grade</w:t>
            </w:r>
          </w:p>
        </w:tc>
        <w:tc>
          <w:tcPr>
            <w:tcW w:type="dxa" w:w="4320"/>
          </w:tcPr>
          <w:p>
            <w:pPr/>
            <w:r>
              <w:rPr>
                <w:sz w:val="18"/>
              </w:rPr>
              <w:t>No. 2 Yellow Corn at par; No. 1 Yellow at +1.5 cents/bu; No. 3 Yellow at -2 to -4 cents/bu</w:t>
            </w:r>
          </w:p>
        </w:tc>
      </w:tr>
      <w:tr>
        <w:tc>
          <w:tcPr>
            <w:tcW w:type="dxa" w:w="4320"/>
          </w:tcPr>
          <w:p>
            <w:pPr/>
            <w:r>
              <w:rPr>
                <w:sz w:val="18"/>
              </w:rPr>
              <w:t>Delivery Unit</w:t>
            </w:r>
          </w:p>
        </w:tc>
        <w:tc>
          <w:tcPr>
            <w:tcW w:type="dxa" w:w="4320"/>
          </w:tcPr>
          <w:p>
            <w:pPr/>
            <w:r>
              <w:rPr>
                <w:sz w:val="18"/>
              </w:rPr>
              <w:t>5,000 bushels</w:t>
            </w:r>
          </w:p>
        </w:tc>
      </w:tr>
      <w:tr>
        <w:tc>
          <w:tcPr>
            <w:tcW w:type="dxa" w:w="4320"/>
          </w:tcPr>
          <w:p>
            <w:pPr/>
            <w:r>
              <w:rPr>
                <w:sz w:val="18"/>
              </w:rPr>
              <w:t>Delivery Method</w:t>
            </w:r>
          </w:p>
        </w:tc>
        <w:tc>
          <w:tcPr>
            <w:tcW w:type="dxa" w:w="4320"/>
          </w:tcPr>
          <w:p>
            <w:pPr/>
            <w:r>
              <w:rPr>
                <w:sz w:val="18"/>
              </w:rPr>
              <w:t>Shipping certificate from approved regular facilities (grain elevators in the Chicago/Toledo/Burns Harbor delivery areas)</w:t>
            </w:r>
          </w:p>
        </w:tc>
      </w:tr>
      <w:tr>
        <w:tc>
          <w:tcPr>
            <w:tcW w:type="dxa" w:w="4320"/>
          </w:tcPr>
          <w:p>
            <w:pPr/>
            <w:r>
              <w:rPr>
                <w:sz w:val="18"/>
              </w:rPr>
              <w:t>Delivery Period</w:t>
            </w:r>
          </w:p>
        </w:tc>
        <w:tc>
          <w:tcPr>
            <w:tcW w:type="dxa" w:w="4320"/>
          </w:tcPr>
          <w:p>
            <w:pPr/>
            <w:r>
              <w:rPr>
                <w:sz w:val="18"/>
              </w:rPr>
              <w:t>First business day through last business day of the delivery month</w:t>
            </w:r>
          </w:p>
        </w:tc>
      </w:tr>
    </w:tbl>
    <w:p/>
    <w:p>
      <w:pPr>
        <w:pStyle w:val="Heading3"/>
      </w:pPr>
      <w:r>
        <w:t>Cash-Settled Products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Settlement Calculation</w:t>
            </w:r>
          </w:p>
        </w:tc>
      </w:tr>
      <w:tr>
        <w:tc>
          <w:tcPr>
            <w:tcW w:type="dxa" w:w="4320"/>
          </w:tcPr>
          <w:p>
            <w:pPr/>
            <w:r>
              <w:rPr>
                <w:sz w:val="18"/>
              </w:rPr>
              <w:t>**E-mini S&amp;P 500 (ES)**</w:t>
            </w:r>
          </w:p>
        </w:tc>
        <w:tc>
          <w:tcPr>
            <w:tcW w:type="dxa" w:w="4320"/>
          </w:tcPr>
          <w:p>
            <w:pPr/>
            <w:r>
              <w:rPr>
                <w:sz w:val="18"/>
              </w:rPr>
              <w:t>Special Opening Quotation (SOQ) of S&amp;P 500 Index on 3rd Friday of expiry month — calculated from the opening prices of all 500 constituent stocks</w:t>
            </w:r>
          </w:p>
        </w:tc>
      </w:tr>
      <w:tr>
        <w:tc>
          <w:tcPr>
            <w:tcW w:type="dxa" w:w="4320"/>
          </w:tcPr>
          <w:p>
            <w:pPr/>
            <w:r>
              <w:rPr>
                <w:sz w:val="18"/>
              </w:rPr>
              <w:t>**3-Month SOFR (SR3)**</w:t>
            </w:r>
          </w:p>
        </w:tc>
        <w:tc>
          <w:tcPr>
            <w:tcW w:type="dxa" w:w="4320"/>
          </w:tcPr>
          <w:p>
            <w:pPr/>
            <w:r>
              <w:rPr>
                <w:sz w:val="18"/>
              </w:rPr>
              <w:t>100 minus the compounded daily SOFR rate during the reference quarter (3rd Wednesday to 3rd Wednesday)</w:t>
            </w:r>
          </w:p>
        </w:tc>
      </w:tr>
      <w:tr>
        <w:tc>
          <w:tcPr>
            <w:tcW w:type="dxa" w:w="4320"/>
          </w:tcPr>
          <w:p>
            <w:pPr/>
            <w:r>
              <w:rPr>
                <w:sz w:val="18"/>
              </w:rPr>
              <w:t>**Micro E-mini products**</w:t>
            </w:r>
          </w:p>
        </w:tc>
        <w:tc>
          <w:tcPr>
            <w:tcW w:type="dxa" w:w="4320"/>
          </w:tcPr>
          <w:p>
            <w:pPr/>
            <w:r>
              <w:rPr>
                <w:sz w:val="18"/>
              </w:rPr>
              <w:t>Same as their full-size counterparts</w:t>
            </w:r>
          </w:p>
        </w:tc>
      </w:tr>
      <w:tr>
        <w:tc>
          <w:tcPr>
            <w:tcW w:type="dxa" w:w="4320"/>
          </w:tcPr>
          <w:p>
            <w:pPr/>
            <w:r>
              <w:rPr>
                <w:sz w:val="18"/>
              </w:rPr>
              <w:t>**Bitcoin Futures (BTC)**</w:t>
            </w:r>
          </w:p>
        </w:tc>
        <w:tc>
          <w:tcPr>
            <w:tcW w:type="dxa" w:w="4320"/>
          </w:tcPr>
          <w:p>
            <w:pPr/>
            <w:r>
              <w:rPr>
                <w:sz w:val="18"/>
              </w:rPr>
              <w:t>CME CF Bitcoin Reference Rate — aggregation of bitcoin trading activity from multiple exchanges</w:t>
            </w:r>
          </w:p>
        </w:tc>
      </w:tr>
      <w:tr>
        <w:tc>
          <w:tcPr>
            <w:tcW w:type="dxa" w:w="4320"/>
          </w:tcPr>
          <w:p>
            <w:pPr/>
            <w:r>
              <w:rPr>
                <w:sz w:val="18"/>
              </w:rPr>
              <w:t>**Brent Crude Oil (BZ)**</w:t>
            </w:r>
          </w:p>
        </w:tc>
        <w:tc>
          <w:tcPr>
            <w:tcW w:type="dxa" w:w="4320"/>
          </w:tcPr>
          <w:p>
            <w:pPr/>
            <w:r>
              <w:rPr>
                <w:sz w:val="18"/>
              </w:rPr>
              <w:t>Cash settled against ICE Brent Crude Oil Index</w:t>
            </w:r>
          </w:p>
        </w:tc>
      </w:tr>
    </w:tbl>
    <w:p/>
    <w:p>
      <w:pPr>
        <w:pStyle w:val="Heading3"/>
      </w:pPr>
      <w:r>
        <w:t>Settlement Timeline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Step</w:t>
            </w:r>
          </w:p>
        </w:tc>
        <w:tc>
          <w:tcPr>
            <w:tcW w:type="dxa" w:w="4320"/>
          </w:tcPr>
          <w:p>
            <w:pPr/>
            <w:r>
              <w:rPr>
                <w:b/>
                <w:sz w:val="18"/>
              </w:rPr>
              <w:t>Timing</w:t>
            </w:r>
          </w:p>
        </w:tc>
      </w:tr>
      <w:tr>
        <w:tc>
          <w:tcPr>
            <w:tcW w:type="dxa" w:w="4320"/>
          </w:tcPr>
          <w:p>
            <w:pPr/>
            <w:r>
              <w:rPr>
                <w:sz w:val="18"/>
              </w:rPr>
              <w:t>First Notice Day</w:t>
            </w:r>
          </w:p>
        </w:tc>
        <w:tc>
          <w:tcPr>
            <w:tcW w:type="dxa" w:w="4320"/>
          </w:tcPr>
          <w:p>
            <w:pPr/>
            <w:r>
              <w:rPr>
                <w:sz w:val="18"/>
              </w:rPr>
              <w:t>Generally the last business day of the month preceding the delivery month</w:t>
            </w:r>
          </w:p>
        </w:tc>
      </w:tr>
      <w:tr>
        <w:tc>
          <w:tcPr>
            <w:tcW w:type="dxa" w:w="4320"/>
          </w:tcPr>
          <w:p>
            <w:pPr/>
            <w:r>
              <w:rPr>
                <w:sz w:val="18"/>
              </w:rPr>
              <w:t>Last Trading Day</w:t>
            </w:r>
          </w:p>
        </w:tc>
        <w:tc>
          <w:tcPr>
            <w:tcW w:type="dxa" w:w="4320"/>
          </w:tcPr>
          <w:p>
            <w:pPr/>
            <w:r>
              <w:rPr>
                <w:sz w:val="18"/>
              </w:rPr>
              <w:t>Varies by product (e.g., CL: 3 business days before 25th of prior month)</w:t>
            </w:r>
          </w:p>
        </w:tc>
      </w:tr>
      <w:tr>
        <w:tc>
          <w:tcPr>
            <w:tcW w:type="dxa" w:w="4320"/>
          </w:tcPr>
          <w:p>
            <w:pPr/>
            <w:r>
              <w:rPr>
                <w:sz w:val="18"/>
              </w:rPr>
              <w:t>Delivery Period</w:t>
            </w:r>
          </w:p>
        </w:tc>
        <w:tc>
          <w:tcPr>
            <w:tcW w:type="dxa" w:w="4320"/>
          </w:tcPr>
          <w:p>
            <w:pPr/>
            <w:r>
              <w:rPr>
                <w:sz w:val="18"/>
              </w:rPr>
              <w:t>First through last business day of delivery month</w:t>
            </w:r>
          </w:p>
        </w:tc>
      </w:tr>
      <w:tr>
        <w:tc>
          <w:tcPr>
            <w:tcW w:type="dxa" w:w="4320"/>
          </w:tcPr>
          <w:p>
            <w:pPr/>
            <w:r>
              <w:rPr>
                <w:sz w:val="18"/>
              </w:rPr>
              <w:t>Final Settlement</w:t>
            </w:r>
          </w:p>
        </w:tc>
        <w:tc>
          <w:tcPr>
            <w:tcW w:type="dxa" w:w="4320"/>
          </w:tcPr>
          <w:p>
            <w:pPr/>
            <w:r>
              <w:rPr>
                <w:sz w:val="18"/>
              </w:rPr>
              <w:t>Settlement price determined on last trading day; physical delivery or cash settlement follows</w:t>
            </w:r>
          </w:p>
        </w:tc>
      </w:tr>
    </w:tbl>
    <w:p/>
    <w:p>
      <w:r>
        <w:t>[Source: CME Group, "Deliveries"; CME Group, "Delivery of WTI futures"; CME Group rulebook chapters on delivery; COMEX Rule 113]</w:t>
      </w:r>
    </w:p>
    <w:p>
      <w:r>
        <w:t>────────────────────────────────────────────────────────────</w:t>
      </w:r>
    </w:p>
    <w:p>
      <w:pPr>
        <w:pStyle w:val="Heading2"/>
      </w:pPr>
      <w:r>
        <w:t>Sources</w:t>
      </w:r>
    </w:p>
    <w:p>
      <w:pPr>
        <w:pStyle w:val="ListBullet"/>
      </w:pPr>
      <w:r>
        <w:t>[CME Group — Official Website](https://www.cmegroup.com)</w:t>
      </w:r>
    </w:p>
    <w:p>
      <w:pPr>
        <w:pStyle w:val="ListBullet"/>
      </w:pPr>
      <w:r>
        <w:t>[CME Group — Markets &amp; Products](https://www.cmegroup.com/markets/products.html)</w:t>
      </w:r>
    </w:p>
    <w:p>
      <w:pPr>
        <w:pStyle w:val="ListBullet"/>
      </w:pPr>
      <w:r>
        <w:t>[CME Group — Globex Electronic Trading](https://www.cmegroup.com/solutions/market-access/globex.html)</w:t>
      </w:r>
    </w:p>
    <w:p>
      <w:pPr>
        <w:pStyle w:val="ListBullet"/>
      </w:pPr>
      <w:r>
        <w:t>[CME Group — Connectivity Options](https://www.cmegroup.com/solutions/market-access/globex/connectivity-options.html)</w:t>
      </w:r>
    </w:p>
    <w:p>
      <w:pPr>
        <w:pStyle w:val="ListBullet"/>
      </w:pPr>
      <w:r>
        <w:t>[CME Group — Co-Location Services](https://www.cmegroup.com/solutions/co-location.html)</w:t>
      </w:r>
    </w:p>
    <w:p>
      <w:pPr>
        <w:pStyle w:val="ListBullet"/>
      </w:pPr>
      <w:r>
        <w:t>[CME Group — SPAN Methodology Overview](https://www.cmegroup.com/solutions/risk-management/performance-bonds-margins/span-methodology-overview.html)</w:t>
      </w:r>
    </w:p>
    <w:p>
      <w:pPr>
        <w:pStyle w:val="ListBullet"/>
      </w:pPr>
      <w:r>
        <w:t>[CME Group — SPAN 2 Framework Rollout](https://www.cmegroup.com/solutions/risk-management/performance-bonds-margins/span-methodology-overview/launching-span-2.html)</w:t>
      </w:r>
    </w:p>
    <w:p>
      <w:pPr>
        <w:pStyle w:val="ListBullet"/>
      </w:pPr>
      <w:r>
        <w:t>[CME Group — Financial Safeguards](https://www.cmegroup.com/solutions/risk-management/financial-safeguards.html)</w:t>
      </w:r>
    </w:p>
    <w:p>
      <w:pPr>
        <w:pStyle w:val="ListBullet"/>
      </w:pPr>
      <w:r>
        <w:t>[CME Group — Price Limits](https://www.cmegroup.com/trading/price-limits.html)</w:t>
      </w:r>
    </w:p>
    <w:p>
      <w:pPr>
        <w:pStyle w:val="ListBullet"/>
      </w:pPr>
      <w:r>
        <w:t>[CME Group — Position Limits](https://www.cmegroup.com/market-regulation/position-limits.html)</w:t>
      </w:r>
    </w:p>
    <w:p>
      <w:pPr>
        <w:pStyle w:val="ListBullet"/>
      </w:pPr>
      <w:r>
        <w:t>[CME Group — Block Trades](https://www.cmegroup.com/clearing/trading-practices/block-trades.html)</w:t>
      </w:r>
    </w:p>
    <w:p>
      <w:pPr>
        <w:pStyle w:val="ListBullet"/>
      </w:pPr>
      <w:r>
        <w:t>[CME Group — Deliveries](https://www.cmegroup.com/clearing/operations-and-deliveries/deliveries.html)</w:t>
      </w:r>
    </w:p>
    <w:p>
      <w:pPr>
        <w:pStyle w:val="ListBullet"/>
      </w:pPr>
      <w:r>
        <w:t>[CME Group — Exchange Fees](https://www.cmegroup.com/company/clearing-fees.html)</w:t>
      </w:r>
    </w:p>
    <w:p>
      <w:pPr>
        <w:pStyle w:val="ListBullet"/>
      </w:pPr>
      <w:r>
        <w:t>[CME Group — Market Data Platform](https://www.cmegroup.com/market-data/distributor/market-data-platform.html)</w:t>
      </w:r>
    </w:p>
    <w:p>
      <w:pPr>
        <w:pStyle w:val="ListBullet"/>
      </w:pPr>
      <w:r>
        <w:t>[CME Group — Risk Management Tools](https://www.cmegroup.com/globex/trade-on-cme-globex/risk-management-tools.html)</w:t>
      </w:r>
    </w:p>
    <w:p>
      <w:pPr>
        <w:pStyle w:val="ListBullet"/>
      </w:pPr>
      <w:r>
        <w:t>[CME Group — Business Continuity](https://www.cmegroup.com/globex/trade-on-cme-globex/connect-to-cme-globex/business-continuity.html)</w:t>
      </w:r>
    </w:p>
    <w:p>
      <w:pPr>
        <w:pStyle w:val="ListBullet"/>
      </w:pPr>
      <w:r>
        <w:t>[CME Group Client Systems Wiki](https://cmegroupclientsite.atlassian.net/wiki/spaces/EPICSANDBOX)</w:t>
      </w:r>
    </w:p>
    <w:p>
      <w:pPr>
        <w:pStyle w:val="ListBullet"/>
      </w:pPr>
      <w:r>
        <w:t>[CME Group — Press Releases, 2025-2026](https://www.cmegroup.com/media-room/press-releases.html)</w:t>
      </w:r>
    </w:p>
    <w:p>
      <w:pPr>
        <w:pStyle w:val="ListBullet"/>
      </w:pPr>
      <w:r>
        <w:t>[CME Group — Matching Algorithm Overview](https://www.cmegroup.com/education/matching-algorithm-overview)</w:t>
      </w:r>
    </w:p>
    <w:p>
      <w:pPr>
        <w:pStyle w:val="ListBullet"/>
      </w:pPr>
      <w:r>
        <w:t>[CME Group — Clearing Membership](https://www.cmegroup.com/clearing/membership.html)</w:t>
      </w:r>
    </w:p>
    <w:p>
      <w:pPr>
        <w:pStyle w:val="ListBullet"/>
      </w:pPr>
      <w:r>
        <w:t>[CME Group — Rules and Regulation Overview](https://www.cmegroup.com/education/courses/market-regulation/overview/cme-group-rules-and-regulation-overview)</w:t>
      </w:r>
    </w:p>
    <w:p>
      <w:pPr>
        <w:pStyle w:val="ListBullet"/>
      </w:pPr>
      <w:r>
        <w:t>[CME Group — January 2026 Market Data Fee List (PDF)](https://www.cmegroup.com/market-data/files/january-2026-market-data-fee-list.pdf)</w:t>
      </w:r>
    </w:p>
    <w:p>
      <w:pPr>
        <w:pStyle w:val="ListBullet"/>
      </w:pPr>
      <w:r>
        <w:t>[CFTC — Large Trader Reporting Program](https://www.cftc.gov/IndustryOversight/MarketSurveillance/LargeTraderReportingProgram/index.htm)</w:t>
      </w:r>
    </w:p>
    <w:p>
      <w:pPr>
        <w:pStyle w:val="ListBullet"/>
      </w:pPr>
      <w:r>
        <w:t>[Wikipedia — CME Group](https://en.wikipedia.org/wiki/CME_Group)</w:t>
      </w:r>
    </w:p>
    <w:p>
      <w:pPr>
        <w:pStyle w:val="ListBullet"/>
      </w:pPr>
      <w:r>
        <w:t>[Databento — CME matching algorithms explained](https://databento.com/blog/cme-matching-algorithms-explained)</w:t>
      </w:r>
    </w:p>
    <w:p>
      <w:pPr>
        <w:pStyle w:val="ListBullet"/>
      </w:pPr>
      <w:r>
        <w:t>[Fortune — "Worldwide markets roiled by data-center snafu in Chicago suburb", November 30, 2025](https://fortune.com/2025/11/30/cme-outage-financial-markets-data-center-cyrusone-aurora-illinois/)</w:t>
      </w:r>
    </w:p>
    <w:p>
      <w:pPr>
        <w:pStyle w:val="ListBullet"/>
      </w:pPr>
      <w:r>
        <w:t>[MacroTrends — CME Group Market Cap](https://www.macrotrends.net/stocks/charts/CME/cme-group/market-cap)</w:t>
      </w:r>
    </w:p>
    <w:p>
      <w:pPr>
        <w:pStyle w:val="ListBullet"/>
      </w:pPr>
      <w:r>
        <w:t>[OpenGamma — "CME Completes SPAN 2 Migration"](https://opengamma.com/cme-span-2-update/)</w:t>
      </w:r>
    </w:p>
    <w:p>
      <w:pPr>
        <w:pStyle w:val="ListBullet"/>
      </w:pPr>
      <w:r>
        <w:t>[RBA — Assessment of CME against Financial Stability Standards, Standard 6: Margin](https://www.rba.gov.au/payments-and-infrastructure/financial-market-infrastructure/clearing-and-settlement-facilities/assessments/chicago-mercantile-exchange/2014/standard-6.html)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