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Asia-Pacific Derivatives Regulation</w:t>
      </w:r>
    </w:p>
    <w:p>
      <w:r>
        <w:rPr>
          <w:i/>
          <w:sz w:val="18"/>
        </w:rPr>
        <w:t>**Last Updated:** 2026-04-07</w:t>
      </w:r>
    </w:p>
    <w:p>
      <w:r>
        <w:rPr>
          <w:i/>
          <w:sz w:val="18"/>
        </w:rPr>
        <w:t>**Domain:** Derivatives --- Regulatory Framework</w:t>
      </w:r>
    </w:p>
    <w:p>
      <w:r>
        <w:rPr>
          <w:i/>
          <w:sz w:val="18"/>
        </w:rPr>
        <w:t>**Jurisdictions:** Japan, Hong Kong, Singapore, Korea (comparative)</w:t>
      </w:r>
    </w:p>
    <w:p>
      <w:r>
        <w:t>────────────────────────────────────────────────────────────</w:t>
      </w:r>
    </w:p>
    <w:p>
      <w:pPr>
        <w:pStyle w:val="Heading2"/>
      </w:pPr>
      <w:r>
        <w:t>1. Japan</w:t>
      </w:r>
    </w:p>
    <w:p>
      <w:pPr>
        <w:pStyle w:val="Heading3"/>
      </w:pPr>
      <w:r>
        <w:t>1.1 Regulatory Authorities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Authority</w:t>
            </w:r>
          </w:p>
        </w:tc>
        <w:tc>
          <w:tcPr>
            <w:tcW w:type="dxa" w:w="2880"/>
          </w:tcPr>
          <w:p>
            <w:pPr/>
            <w:r>
              <w:rPr>
                <w:b/>
                <w:sz w:val="18"/>
              </w:rPr>
              <w:t>Role</w:t>
            </w:r>
          </w:p>
        </w:tc>
        <w:tc>
          <w:tcPr>
            <w:tcW w:type="dxa" w:w="2880"/>
          </w:tcPr>
          <w:p>
            <w:pPr/>
            <w:r>
              <w:rPr>
                <w:b/>
                <w:sz w:val="18"/>
              </w:rPr>
              <w:t>Scope</w:t>
            </w:r>
          </w:p>
        </w:tc>
      </w:tr>
      <w:tr>
        <w:tc>
          <w:tcPr>
            <w:tcW w:type="dxa" w:w="2880"/>
          </w:tcPr>
          <w:p>
            <w:pPr/>
            <w:r>
              <w:rPr>
                <w:sz w:val="18"/>
              </w:rPr>
              <w:t>**JFSA** (Financial Services Agency)</w:t>
            </w:r>
          </w:p>
        </w:tc>
        <w:tc>
          <w:tcPr>
            <w:tcW w:type="dxa" w:w="2880"/>
          </w:tcPr>
          <w:p>
            <w:pPr/>
            <w:r>
              <w:rPr>
                <w:sz w:val="18"/>
              </w:rPr>
              <w:t>Primary regulator</w:t>
            </w:r>
          </w:p>
        </w:tc>
        <w:tc>
          <w:tcPr>
            <w:tcW w:type="dxa" w:w="2880"/>
          </w:tcPr>
          <w:p>
            <w:pPr/>
            <w:r>
              <w:rPr>
                <w:sz w:val="18"/>
              </w:rPr>
              <w:t>Securities, banking, insurance, derivatives; reports to Cabinet Office</w:t>
            </w:r>
          </w:p>
        </w:tc>
      </w:tr>
      <w:tr>
        <w:tc>
          <w:tcPr>
            <w:tcW w:type="dxa" w:w="2880"/>
          </w:tcPr>
          <w:p>
            <w:pPr/>
            <w:r>
              <w:rPr>
                <w:sz w:val="18"/>
              </w:rPr>
              <w:t>**SESC** (Securities and Exchange Surveillance Commission)</w:t>
            </w:r>
          </w:p>
        </w:tc>
        <w:tc>
          <w:tcPr>
            <w:tcW w:type="dxa" w:w="2880"/>
          </w:tcPr>
          <w:p>
            <w:pPr/>
            <w:r>
              <w:rPr>
                <w:sz w:val="18"/>
              </w:rPr>
              <w:t>Enforcement &amp; surveillance</w:t>
            </w:r>
          </w:p>
        </w:tc>
        <w:tc>
          <w:tcPr>
            <w:tcW w:type="dxa" w:w="2880"/>
          </w:tcPr>
          <w:p>
            <w:pPr/>
            <w:r>
              <w:rPr>
                <w:sz w:val="18"/>
              </w:rPr>
              <w:t>Market manipulation, insider trading, inspection of FIBOs</w:t>
            </w:r>
          </w:p>
        </w:tc>
      </w:tr>
      <w:tr>
        <w:tc>
          <w:tcPr>
            <w:tcW w:type="dxa" w:w="2880"/>
          </w:tcPr>
          <w:p>
            <w:pPr/>
            <w:r>
              <w:rPr>
                <w:sz w:val="18"/>
              </w:rPr>
              <w:t>**JPX-R** (JPX Regulation)</w:t>
            </w:r>
          </w:p>
        </w:tc>
        <w:tc>
          <w:tcPr>
            <w:tcW w:type="dxa" w:w="2880"/>
          </w:tcPr>
          <w:p>
            <w:pPr/>
            <w:r>
              <w:rPr>
                <w:sz w:val="18"/>
              </w:rPr>
              <w:t>Self-regulatory organization</w:t>
            </w:r>
          </w:p>
        </w:tc>
        <w:tc>
          <w:tcPr>
            <w:tcW w:type="dxa" w:w="2880"/>
          </w:tcPr>
          <w:p>
            <w:pPr/>
            <w:r>
              <w:rPr>
                <w:sz w:val="18"/>
              </w:rPr>
              <w:t>Market surveillance, member compliance for JPX-listed markets</w:t>
            </w:r>
          </w:p>
        </w:tc>
      </w:tr>
      <w:tr>
        <w:tc>
          <w:tcPr>
            <w:tcW w:type="dxa" w:w="2880"/>
          </w:tcPr>
          <w:p>
            <w:pPr/>
            <w:r>
              <w:rPr>
                <w:sz w:val="18"/>
              </w:rPr>
              <w:t>**Bank of Japan**</w:t>
            </w:r>
          </w:p>
        </w:tc>
        <w:tc>
          <w:tcPr>
            <w:tcW w:type="dxa" w:w="2880"/>
          </w:tcPr>
          <w:p>
            <w:pPr/>
            <w:r>
              <w:rPr>
                <w:sz w:val="18"/>
              </w:rPr>
              <w:t>Central bank / systemic oversight</w:t>
            </w:r>
          </w:p>
        </w:tc>
        <w:tc>
          <w:tcPr>
            <w:tcW w:type="dxa" w:w="2880"/>
          </w:tcPr>
          <w:p>
            <w:pPr/>
            <w:r>
              <w:rPr>
                <w:sz w:val="18"/>
              </w:rPr>
              <w:t>Systemic risk oversight of JSCC; monetary policy implications</w:t>
            </w:r>
          </w:p>
        </w:tc>
      </w:tr>
      <w:tr>
        <w:tc>
          <w:tcPr>
            <w:tcW w:type="dxa" w:w="2880"/>
          </w:tcPr>
          <w:p>
            <w:pPr/>
            <w:r>
              <w:rPr>
                <w:sz w:val="18"/>
              </w:rPr>
              <w:t>**METI** (Ministry of Economy, Trade and Industry)</w:t>
            </w:r>
          </w:p>
        </w:tc>
        <w:tc>
          <w:tcPr>
            <w:tcW w:type="dxa" w:w="2880"/>
          </w:tcPr>
          <w:p>
            <w:pPr/>
            <w:r>
              <w:rPr>
                <w:sz w:val="18"/>
              </w:rPr>
              <w:t>Commodity oversight (historical)</w:t>
            </w:r>
          </w:p>
        </w:tc>
        <w:tc>
          <w:tcPr>
            <w:tcW w:type="dxa" w:w="2880"/>
          </w:tcPr>
          <w:p>
            <w:pPr/>
            <w:r>
              <w:rPr>
                <w:sz w:val="18"/>
              </w:rPr>
              <w:t>Commodity derivatives (pre-2012 unification); now largely consolidated under JFSA</w:t>
            </w:r>
          </w:p>
        </w:tc>
      </w:tr>
    </w:tbl>
    <w:p/>
    <w:p>
      <w:pPr>
        <w:pStyle w:val="ListBullet"/>
      </w:pPr>
      <w:r>
        <w:t>Japan operates a ministry-level regulatory model: the JFSA is an external bureau of the Cabinet Office, giving it broad administrative authority.</w:t>
      </w:r>
    </w:p>
    <w:p>
      <w:pPr>
        <w:pStyle w:val="ListBullet"/>
      </w:pPr>
      <w:r>
        <w:t>The SESC, while organizationally under the JFSA, maintains operational independence for enforcement actions.</w:t>
      </w:r>
    </w:p>
    <w:p>
      <w:pPr>
        <w:pStyle w:val="ListBullet"/>
      </w:pPr>
      <w:r>
        <w:t>JPX-R provides front-line surveillance for the Osaka Exchange (OSE) and Tokyo Commodity Exchange (TOCOM) derivatives markets.</w:t>
      </w:r>
    </w:p>
    <w:p>
      <w:r>
        <w:rPr>
          <w:i/>
          <w:sz w:val="18"/>
        </w:rPr>
        <w:t>Source: [JFSA official website](https://www.fsa.go.jp/en/); [Chambers Derivatives 2025 — Japan](https://practiceguides.chambers.com/practice-guides/derivatives-2025/japan)</w:t>
      </w:r>
    </w:p>
    <w:p>
      <w:pPr>
        <w:pStyle w:val="Heading3"/>
      </w:pPr>
      <w:r>
        <w:t>1.2 Key Legislation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Legislation</w:t>
            </w:r>
          </w:p>
        </w:tc>
        <w:tc>
          <w:tcPr>
            <w:tcW w:type="dxa" w:w="2880"/>
          </w:tcPr>
          <w:p>
            <w:pPr/>
            <w:r>
              <w:rPr>
                <w:b/>
                <w:sz w:val="18"/>
              </w:rPr>
              <w:t>Year</w:t>
            </w:r>
          </w:p>
        </w:tc>
        <w:tc>
          <w:tcPr>
            <w:tcW w:type="dxa" w:w="2880"/>
          </w:tcPr>
          <w:p>
            <w:pPr/>
            <w:r>
              <w:rPr>
                <w:b/>
                <w:sz w:val="18"/>
              </w:rPr>
              <w:t>Scope</w:t>
            </w:r>
          </w:p>
        </w:tc>
      </w:tr>
      <w:tr>
        <w:tc>
          <w:tcPr>
            <w:tcW w:type="dxa" w:w="2880"/>
          </w:tcPr>
          <w:p>
            <w:pPr/>
            <w:r>
              <w:rPr>
                <w:sz w:val="18"/>
              </w:rPr>
              <w:t>**Financial Instruments and Exchange Act (FIEA)**</w:t>
            </w:r>
          </w:p>
        </w:tc>
        <w:tc>
          <w:tcPr>
            <w:tcW w:type="dxa" w:w="2880"/>
          </w:tcPr>
          <w:p>
            <w:pPr/>
            <w:r>
              <w:rPr>
                <w:sz w:val="18"/>
              </w:rPr>
              <w:t>2006 (orig.), multiple amendments</w:t>
            </w:r>
          </w:p>
        </w:tc>
        <w:tc>
          <w:tcPr>
            <w:tcW w:type="dxa" w:w="2880"/>
          </w:tcPr>
          <w:p>
            <w:pPr/>
            <w:r>
              <w:rPr>
                <w:sz w:val="18"/>
              </w:rPr>
              <w:t>Primary law governing securities and derivatives; defines Financial Instruments Business Operators (FIBOs)</w:t>
            </w:r>
          </w:p>
        </w:tc>
      </w:tr>
      <w:tr>
        <w:tc>
          <w:tcPr>
            <w:tcW w:type="dxa" w:w="2880"/>
          </w:tcPr>
          <w:p>
            <w:pPr/>
            <w:r>
              <w:rPr>
                <w:sz w:val="18"/>
              </w:rPr>
              <w:t>**Commodity Derivatives Act**</w:t>
            </w:r>
          </w:p>
        </w:tc>
        <w:tc>
          <w:tcPr>
            <w:tcW w:type="dxa" w:w="2880"/>
          </w:tcPr>
          <w:p>
            <w:pPr/>
            <w:r>
              <w:rPr>
                <w:sz w:val="18"/>
              </w:rPr>
              <w:t>2009 (orig.)</w:t>
            </w:r>
          </w:p>
        </w:tc>
        <w:tc>
          <w:tcPr>
            <w:tcW w:type="dxa" w:w="2880"/>
          </w:tcPr>
          <w:p>
            <w:pPr/>
            <w:r>
              <w:rPr>
                <w:sz w:val="18"/>
              </w:rPr>
              <w:t>Governs commodity derivatives; largely merged into FIEA framework post-2012</w:t>
            </w:r>
          </w:p>
        </w:tc>
      </w:tr>
      <w:tr>
        <w:tc>
          <w:tcPr>
            <w:tcW w:type="dxa" w:w="2880"/>
          </w:tcPr>
          <w:p>
            <w:pPr/>
            <w:r>
              <w:rPr>
                <w:sz w:val="18"/>
              </w:rPr>
              <w:t>**2012 Comprehensive Reform**</w:t>
            </w:r>
          </w:p>
        </w:tc>
        <w:tc>
          <w:tcPr>
            <w:tcW w:type="dxa" w:w="2880"/>
          </w:tcPr>
          <w:p>
            <w:pPr/>
            <w:r>
              <w:rPr>
                <w:sz w:val="18"/>
              </w:rPr>
              <w:t>2012</w:t>
            </w:r>
          </w:p>
        </w:tc>
        <w:tc>
          <w:tcPr>
            <w:tcW w:type="dxa" w:w="2880"/>
          </w:tcPr>
          <w:p>
            <w:pPr/>
            <w:r>
              <w:rPr>
                <w:sz w:val="18"/>
              </w:rPr>
              <w:t>Unified regulation of securities derivatives and commodity derivatives under JFSA; previously commodity derivatives were under METI/MAFF</w:t>
            </w:r>
          </w:p>
        </w:tc>
      </w:tr>
      <w:tr>
        <w:tc>
          <w:tcPr>
            <w:tcW w:type="dxa" w:w="2880"/>
          </w:tcPr>
          <w:p>
            <w:pPr/>
            <w:r>
              <w:rPr>
                <w:sz w:val="18"/>
              </w:rPr>
              <w:t>**2024 FIEA Amendments**</w:t>
            </w:r>
          </w:p>
        </w:tc>
        <w:tc>
          <w:tcPr>
            <w:tcW w:type="dxa" w:w="2880"/>
          </w:tcPr>
          <w:p>
            <w:pPr/>
            <w:r>
              <w:rPr>
                <w:sz w:val="18"/>
              </w:rPr>
              <w:t>2024 (enacted); effective May 2026</w:t>
            </w:r>
          </w:p>
        </w:tc>
        <w:tc>
          <w:tcPr>
            <w:tcW w:type="dxa" w:w="2880"/>
          </w:tcPr>
          <w:p>
            <w:pPr/>
            <w:r>
              <w:rPr>
                <w:sz w:val="18"/>
              </w:rPr>
              <w:t>Shareholder disclosure reforms; extends reporting obligations to cash-settled equity derivatives; clarifies "joint holder" definitions</w:t>
            </w:r>
          </w:p>
        </w:tc>
      </w:tr>
    </w:tbl>
    <w:p/>
    <w:p>
      <w:r>
        <w:t>Key FIEA provisions for derivatives:</w:t>
      </w:r>
    </w:p>
    <w:p>
      <w:pPr>
        <w:pStyle w:val="ListBullet"/>
      </w:pPr>
      <w:r>
        <w:t>Registration requirements for Financial Instruments Business Operators (FIBOs) dealing in derivatives</w:t>
      </w:r>
    </w:p>
    <w:p>
      <w:pPr>
        <w:pStyle w:val="ListBullet"/>
      </w:pPr>
      <w:r>
        <w:t>Mandatory clearing of designated OTC derivatives through a licensed clearinghouse</w:t>
      </w:r>
    </w:p>
    <w:p>
      <w:pPr>
        <w:pStyle w:val="ListBullet"/>
      </w:pPr>
      <w:r>
        <w:t>Trade reporting obligations to trade repositories (amended April 2024 to require LEI, UTI, and CDE reporting)</w:t>
      </w:r>
    </w:p>
    <w:p>
      <w:pPr>
        <w:pStyle w:val="ListBullet"/>
      </w:pPr>
      <w:r>
        <w:t>Conduct rules: suitability obligations, risk disclosure, segregation of customer assets</w:t>
      </w:r>
    </w:p>
    <w:p>
      <w:pPr>
        <w:pStyle w:val="ListBullet"/>
      </w:pPr>
      <w:r>
        <w:t>Position limit framework delegated to exchange rules</w:t>
      </w:r>
    </w:p>
    <w:p>
      <w:r>
        <w:rPr>
          <w:i/>
          <w:sz w:val="18"/>
        </w:rPr>
        <w:t>Source: [ICLG Derivatives 2025-2026 — Japan](https://iclg.com/practice-areas/derivatives-laws-and-regulations/japan); [Funds-Axis — FIEA 2024 Amendments](https://funds-axis.com/japans-2024-fiea-amendments-key-shareholder-disclosure-reforms-coming-in-2026/)</w:t>
      </w:r>
    </w:p>
    <w:p>
      <w:pPr>
        <w:pStyle w:val="Heading3"/>
      </w:pPr>
      <w:r>
        <w:t>1.3 Clearing Framework</w:t>
      </w:r>
    </w:p>
    <w:p>
      <w:r>
        <w:t>Central Counterparty: Japan Securities Clearing Corporation (JSCC) --- sole CCP for listed and OTC derivatives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Service</w:t>
            </w:r>
          </w:p>
        </w:tc>
        <w:tc>
          <w:tcPr>
            <w:tcW w:type="dxa" w:w="2880"/>
          </w:tcPr>
          <w:p>
            <w:pPr/>
            <w:r>
              <w:rPr>
                <w:b/>
                <w:sz w:val="18"/>
              </w:rPr>
              <w:t>Products</w:t>
            </w:r>
          </w:p>
        </w:tc>
        <w:tc>
          <w:tcPr>
            <w:tcW w:type="dxa" w:w="2880"/>
          </w:tcPr>
          <w:p>
            <w:pPr/>
            <w:r>
              <w:rPr>
                <w:b/>
                <w:sz w:val="18"/>
              </w:rPr>
              <w:t>Mandatory?</w:t>
            </w:r>
          </w:p>
        </w:tc>
      </w:tr>
      <w:tr>
        <w:tc>
          <w:tcPr>
            <w:tcW w:type="dxa" w:w="2880"/>
          </w:tcPr>
          <w:p>
            <w:pPr/>
            <w:r>
              <w:rPr>
                <w:sz w:val="18"/>
              </w:rPr>
              <w:t>Listed derivatives clearing</w:t>
            </w:r>
          </w:p>
        </w:tc>
        <w:tc>
          <w:tcPr>
            <w:tcW w:type="dxa" w:w="2880"/>
          </w:tcPr>
          <w:p>
            <w:pPr/>
            <w:r>
              <w:rPr>
                <w:sz w:val="18"/>
              </w:rPr>
              <w:t>All OSE/TOCOM listed futures &amp; options</w:t>
            </w:r>
          </w:p>
        </w:tc>
        <w:tc>
          <w:tcPr>
            <w:tcW w:type="dxa" w:w="2880"/>
          </w:tcPr>
          <w:p>
            <w:pPr/>
            <w:r>
              <w:rPr>
                <w:sz w:val="18"/>
              </w:rPr>
              <w:t>Yes (all exchange-traded)</w:t>
            </w:r>
          </w:p>
        </w:tc>
      </w:tr>
      <w:tr>
        <w:tc>
          <w:tcPr>
            <w:tcW w:type="dxa" w:w="2880"/>
          </w:tcPr>
          <w:p>
            <w:pPr/>
            <w:r>
              <w:rPr>
                <w:sz w:val="18"/>
              </w:rPr>
              <w:t>OTC IRS clearing</w:t>
            </w:r>
          </w:p>
        </w:tc>
        <w:tc>
          <w:tcPr>
            <w:tcW w:type="dxa" w:w="2880"/>
          </w:tcPr>
          <w:p>
            <w:pPr/>
            <w:r>
              <w:rPr>
                <w:sz w:val="18"/>
              </w:rPr>
              <w:t>JPY-denominated interest rate swaps (TONA compounded in arrears)</w:t>
            </w:r>
          </w:p>
        </w:tc>
        <w:tc>
          <w:tcPr>
            <w:tcW w:type="dxa" w:w="2880"/>
          </w:tcPr>
          <w:p>
            <w:pPr/>
            <w:r>
              <w:rPr>
                <w:sz w:val="18"/>
              </w:rPr>
              <w:t>Yes (for designated FIBOs)</w:t>
            </w:r>
          </w:p>
        </w:tc>
      </w:tr>
      <w:tr>
        <w:tc>
          <w:tcPr>
            <w:tcW w:type="dxa" w:w="2880"/>
          </w:tcPr>
          <w:p>
            <w:pPr/>
            <w:r>
              <w:rPr>
                <w:sz w:val="18"/>
              </w:rPr>
              <w:t>OTC CDS clearing</w:t>
            </w:r>
          </w:p>
        </w:tc>
        <w:tc>
          <w:tcPr>
            <w:tcW w:type="dxa" w:w="2880"/>
          </w:tcPr>
          <w:p>
            <w:pPr/>
            <w:r>
              <w:rPr>
                <w:sz w:val="18"/>
              </w:rPr>
              <w:t>iTraxx Japan index CDS</w:t>
            </w:r>
          </w:p>
        </w:tc>
        <w:tc>
          <w:tcPr>
            <w:tcW w:type="dxa" w:w="2880"/>
          </w:tcPr>
          <w:p>
            <w:pPr/>
            <w:r>
              <w:rPr>
                <w:sz w:val="18"/>
              </w:rPr>
              <w:t>Yes (for designated FIBOs)</w:t>
            </w:r>
          </w:p>
        </w:tc>
      </w:tr>
    </w:tbl>
    <w:p/>
    <w:p>
      <w:pPr>
        <w:pStyle w:val="ListBullet"/>
      </w:pPr>
      <w:r>
        <w:t>JSCC clears only yen-denominated OTC products (IRS and CDS).</w:t>
      </w:r>
    </w:p>
    <w:p>
      <w:pPr>
        <w:pStyle w:val="ListBullet"/>
      </w:pPr>
      <w:r>
        <w:t>Mandatory clearing applies to FIBOs and Registered Financial Institutions meeting threshold criteria, as designated by the JFSA Commissioner under Cabinet Office Orders.</w:t>
      </w:r>
    </w:p>
    <w:p>
      <w:pPr>
        <w:pStyle w:val="ListBullet"/>
      </w:pPr>
      <w:r>
        <w:t>2025 development: The U.S. CFTC issued Staff Letter No. 25-32 (September 12, 2025) and an Amended Order of Exemption, permitting U.S. eligible contract participants to clear JPY-IRS through JSCC clearing members. This represents a significant cross-border milestone.</w:t>
      </w:r>
    </w:p>
    <w:p>
      <w:r>
        <w:rPr>
          <w:i/>
          <w:sz w:val="18"/>
        </w:rPr>
        <w:t>Source: [JSCC — OTC Derivatives Clearing](https://www.jpx.co.jp/jscc/en/otc/index.html); [CFTC Letter No. 25-32](https://www.cftc.gov/csl/25-32/download); [Gibson Dunn — CFTC/JSCC](https://www.gibsondunn.com/cftc-will-permit-us-customers-to-clear-yen-interest-rate-swaps-at-jscc/)</w:t>
      </w:r>
    </w:p>
    <w:p>
      <w:pPr>
        <w:pStyle w:val="Heading3"/>
      </w:pPr>
      <w:r>
        <w:t>1.4 Position Limits &amp; Reporting</w:t>
      </w:r>
    </w:p>
    <w:p>
      <w:pPr>
        <w:pStyle w:val="ListBullet"/>
      </w:pPr>
      <w:r>
        <w:t>Position limits are set by the Osaka Exchange (OSE) at the exchange rule level, not prescribed by statute.</w:t>
      </w:r>
    </w:p>
    <w:p>
      <w:pPr>
        <w:pStyle w:val="ListBullet"/>
      </w:pPr>
      <w:r>
        <w:t>Limits vary by contract and are expressed in terms of number of contracts (net position).</w:t>
      </w:r>
    </w:p>
    <w:p>
      <w:pPr>
        <w:pStyle w:val="ListBullet"/>
      </w:pPr>
      <w:r>
        <w:t>Large position reporting is required when positions exceed exchange-prescribed thresholds.</w:t>
      </w:r>
    </w:p>
    <w:p>
      <w:pPr>
        <w:pStyle w:val="ListBullet"/>
      </w:pPr>
      <w:r>
        <w:t>Hedge exemptions are available upon application to the exchange.</w:t>
      </w:r>
    </w:p>
    <w:p>
      <w:pPr>
        <w:pStyle w:val="ListBullet"/>
      </w:pPr>
      <w:r>
        <w:t>The JFSA retains authority to direct exchanges to modify position limit rules if warranted by systemic concerns.</w:t>
      </w:r>
    </w:p>
    <w:p>
      <w:r>
        <w:rPr>
          <w:i/>
          <w:sz w:val="18"/>
        </w:rPr>
        <w:t>Source: [JPX — Index Futures Specifications (May 2025)](https://www.jpx.co.jp/english/derivatives/rules/outline/dreu250000001ove-att/dreu250000001oyj.pdf)</w:t>
      </w:r>
    </w:p>
    <w:p>
      <w:pPr>
        <w:pStyle w:val="Heading3"/>
      </w:pPr>
      <w:r>
        <w:t>1.5 Trade Reporting</w:t>
      </w:r>
    </w:p>
    <w:p>
      <w:pPr>
        <w:pStyle w:val="ListBullet"/>
      </w:pPr>
      <w:r>
        <w:t>April 2024 reform: Amendments to the trade data reporting requirement came into force, requiring:</w:t>
      </w:r>
    </w:p>
    <w:p>
      <w:pPr>
        <w:pStyle w:val="ListBullet"/>
      </w:pPr>
      <w:r>
        <w:t>Reporting through licensed trade repositories (rather than directly to the JFSA)</w:t>
      </w:r>
    </w:p>
    <w:p>
      <w:pPr>
        <w:pStyle w:val="ListBullet"/>
      </w:pPr>
      <w:r>
        <w:t>Mandatory use of Legal Entity Identifier (LEI)</w:t>
      </w:r>
    </w:p>
    <w:p>
      <w:pPr>
        <w:pStyle w:val="ListBullet"/>
      </w:pPr>
      <w:r>
        <w:t>Mandatory use of Unique Transaction Identifier (UTI)</w:t>
      </w:r>
    </w:p>
    <w:p>
      <w:pPr>
        <w:pStyle w:val="ListBullet"/>
      </w:pPr>
      <w:r>
        <w:t>Improved Critical Data Elements (CDE) aligned with CPMI-IOSCO standards</w:t>
      </w:r>
    </w:p>
    <w:p>
      <w:r>
        <w:rPr>
          <w:i/>
          <w:sz w:val="18"/>
        </w:rPr>
        <w:t>Source: [ICLG Derivatives 2025-2026 — Japan](https://iclg.com/practice-areas/derivatives-laws-and-regulations/japan)</w:t>
      </w:r>
    </w:p>
    <w:p>
      <w:pPr>
        <w:pStyle w:val="Heading3"/>
      </w:pPr>
      <w:r>
        <w:t>1.6 Recent Developments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Development</w:t>
            </w:r>
          </w:p>
        </w:tc>
        <w:tc>
          <w:tcPr>
            <w:tcW w:type="dxa" w:w="2880"/>
          </w:tcPr>
          <w:p>
            <w:pPr/>
            <w:r>
              <w:rPr>
                <w:b/>
                <w:sz w:val="18"/>
              </w:rPr>
              <w:t>Date</w:t>
            </w:r>
          </w:p>
        </w:tc>
        <w:tc>
          <w:tcPr>
            <w:tcW w:type="dxa" w:w="2880"/>
          </w:tcPr>
          <w:p>
            <w:pPr/>
            <w:r>
              <w:rPr>
                <w:b/>
                <w:sz w:val="18"/>
              </w:rPr>
              <w:t>Details</w:t>
            </w:r>
          </w:p>
        </w:tc>
      </w:tr>
      <w:tr>
        <w:tc>
          <w:tcPr>
            <w:tcW w:type="dxa" w:w="2880"/>
          </w:tcPr>
          <w:p>
            <w:pPr/>
            <w:r>
              <w:rPr>
                <w:sz w:val="18"/>
              </w:rPr>
              <w:t>**Extended trading hours**</w:t>
            </w:r>
          </w:p>
        </w:tc>
        <w:tc>
          <w:tcPr>
            <w:tcW w:type="dxa" w:w="2880"/>
          </w:tcPr>
          <w:p>
            <w:pPr/>
            <w:r>
              <w:rPr>
                <w:sz w:val="18"/>
              </w:rPr>
              <w:t>2016 (Night Session to 5:30 AM JST)</w:t>
            </w:r>
          </w:p>
        </w:tc>
        <w:tc>
          <w:tcPr>
            <w:tcW w:type="dxa" w:w="2880"/>
          </w:tcPr>
          <w:p>
            <w:pPr/>
            <w:r>
              <w:rPr>
                <w:sz w:val="18"/>
              </w:rPr>
              <w:t>Night session accounts for ~40% of total futures &amp; options trading volume</w:t>
            </w:r>
          </w:p>
        </w:tc>
      </w:tr>
      <w:tr>
        <w:tc>
          <w:tcPr>
            <w:tcW w:type="dxa" w:w="2880"/>
          </w:tcPr>
          <w:p>
            <w:pPr/>
            <w:r>
              <w:rPr>
                <w:sz w:val="18"/>
              </w:rPr>
              <w:t>**Holiday trading**</w:t>
            </w:r>
          </w:p>
        </w:tc>
        <w:tc>
          <w:tcPr>
            <w:tcW w:type="dxa" w:w="2880"/>
          </w:tcPr>
          <w:p>
            <w:pPr/>
            <w:r>
              <w:rPr>
                <w:sz w:val="18"/>
              </w:rPr>
              <w:t>Sep 2022</w:t>
            </w:r>
          </w:p>
        </w:tc>
        <w:tc>
          <w:tcPr>
            <w:tcW w:type="dxa" w:w="2880"/>
          </w:tcPr>
          <w:p>
            <w:pPr/>
            <w:r>
              <w:rPr>
                <w:sz w:val="18"/>
              </w:rPr>
              <w:t>OSE/TOCOM launched holiday trading for select derivatives products</w:t>
            </w:r>
          </w:p>
        </w:tc>
      </w:tr>
      <w:tr>
        <w:tc>
          <w:tcPr>
            <w:tcW w:type="dxa" w:w="2880"/>
          </w:tcPr>
          <w:p>
            <w:pPr/>
            <w:r>
              <w:rPr>
                <w:sz w:val="18"/>
              </w:rPr>
              <w:t>**TONA futures growth**</w:t>
            </w:r>
          </w:p>
        </w:tc>
        <w:tc>
          <w:tcPr>
            <w:tcW w:type="dxa" w:w="2880"/>
          </w:tcPr>
          <w:p>
            <w:pPr/>
            <w:r>
              <w:rPr>
                <w:sz w:val="18"/>
              </w:rPr>
              <w:t>2023-2025</w:t>
            </w:r>
          </w:p>
        </w:tc>
        <w:tc>
          <w:tcPr>
            <w:tcW w:type="dxa" w:w="2880"/>
          </w:tcPr>
          <w:p>
            <w:pPr/>
            <w:r>
              <w:rPr>
                <w:sz w:val="18"/>
              </w:rPr>
              <w:t>3-Month TONA futures OI surpassed 100,000 contracts (March 2025); Oct 2025 volume reached ~250,000 contracts (monthly record); supported by BOJ rate normalization (negative rates removed March 2024, rate hike to 0.25% July 2024)</w:t>
            </w:r>
          </w:p>
        </w:tc>
      </w:tr>
      <w:tr>
        <w:tc>
          <w:tcPr>
            <w:tcW w:type="dxa" w:w="2880"/>
          </w:tcPr>
          <w:p>
            <w:pPr/>
            <w:r>
              <w:rPr>
                <w:sz w:val="18"/>
              </w:rPr>
              <w:t>**JSCC IRS clearing record**</w:t>
            </w:r>
          </w:p>
        </w:tc>
        <w:tc>
          <w:tcPr>
            <w:tcW w:type="dxa" w:w="2880"/>
          </w:tcPr>
          <w:p>
            <w:pPr/>
            <w:r>
              <w:rPr>
                <w:sz w:val="18"/>
              </w:rPr>
              <w:t>Oct 2025</w:t>
            </w:r>
          </w:p>
        </w:tc>
        <w:tc>
          <w:tcPr>
            <w:tcW w:type="dxa" w:w="2880"/>
          </w:tcPr>
          <w:p>
            <w:pPr/>
            <w:r>
              <w:rPr>
                <w:sz w:val="18"/>
              </w:rPr>
              <w:t>JPY IRS clearing volume reached ~JPY 1,526 trillion, a new record</w:t>
            </w:r>
          </w:p>
        </w:tc>
      </w:tr>
      <w:tr>
        <w:tc>
          <w:tcPr>
            <w:tcW w:type="dxa" w:w="2880"/>
          </w:tcPr>
          <w:p>
            <w:pPr/>
            <w:r>
              <w:rPr>
                <w:sz w:val="18"/>
              </w:rPr>
              <w:t>**CFTC cross-border access**</w:t>
            </w:r>
          </w:p>
        </w:tc>
        <w:tc>
          <w:tcPr>
            <w:tcW w:type="dxa" w:w="2880"/>
          </w:tcPr>
          <w:p>
            <w:pPr/>
            <w:r>
              <w:rPr>
                <w:sz w:val="18"/>
              </w:rPr>
              <w:t>Sep 2025</w:t>
            </w:r>
          </w:p>
        </w:tc>
        <w:tc>
          <w:tcPr>
            <w:tcW w:type="dxa" w:w="2880"/>
          </w:tcPr>
          <w:p>
            <w:pPr/>
            <w:r>
              <w:rPr>
                <w:sz w:val="18"/>
              </w:rPr>
              <w:t>U.S. customers permitted to clear JPY-IRS at JSCC</w:t>
            </w:r>
          </w:p>
        </w:tc>
      </w:tr>
      <w:tr>
        <w:tc>
          <w:tcPr>
            <w:tcW w:type="dxa" w:w="2880"/>
          </w:tcPr>
          <w:p>
            <w:pPr/>
            <w:r>
              <w:rPr>
                <w:sz w:val="18"/>
              </w:rPr>
              <w:t>**2024 FIEA Amendments**</w:t>
            </w:r>
          </w:p>
        </w:tc>
        <w:tc>
          <w:tcPr>
            <w:tcW w:type="dxa" w:w="2880"/>
          </w:tcPr>
          <w:p>
            <w:pPr/>
            <w:r>
              <w:rPr>
                <w:sz w:val="18"/>
              </w:rPr>
              <w:t>Enacted 2024; effective May 2026</w:t>
            </w:r>
          </w:p>
        </w:tc>
        <w:tc>
          <w:tcPr>
            <w:tcW w:type="dxa" w:w="2880"/>
          </w:tcPr>
          <w:p>
            <w:pPr/>
            <w:r>
              <w:rPr>
                <w:sz w:val="18"/>
              </w:rPr>
              <w:t>Cash-settled equity derivatives brought into shareholder disclosure reporting</w:t>
            </w:r>
          </w:p>
        </w:tc>
      </w:tr>
    </w:tbl>
    <w:p/>
    <w:p>
      <w:r>
        <w:rPr>
          <w:i/>
          <w:sz w:val="18"/>
        </w:rPr>
        <w:t>Sources: [JPX — TONA Futures Record (Mar 2025)](https://www.jpx.co.jp/english/corporate/news/news-releases/2041/20250314-01.html); [JPX — Oct 2025 Records](https://www.jpx.co.jp/english/news/2041/20251107-01.html); [FIA — JPX Extended Hours Success](https://www.fia.org/marketvoice/articles/market-never-sleeps-success-extended-trading-hours-jpx)</w:t>
      </w:r>
    </w:p>
    <w:p>
      <w:r>
        <w:t>────────────────────────────────────────────────────────────</w:t>
      </w:r>
    </w:p>
    <w:p>
      <w:pPr>
        <w:pStyle w:val="Heading2"/>
      </w:pPr>
      <w:r>
        <w:t>2. Hong Kong</w:t>
      </w:r>
    </w:p>
    <w:p>
      <w:pPr>
        <w:pStyle w:val="Heading3"/>
      </w:pPr>
      <w:r>
        <w:t>2.1 Regulatory Authorities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Authority</w:t>
            </w:r>
          </w:p>
        </w:tc>
        <w:tc>
          <w:tcPr>
            <w:tcW w:type="dxa" w:w="2880"/>
          </w:tcPr>
          <w:p>
            <w:pPr/>
            <w:r>
              <w:rPr>
                <w:b/>
                <w:sz w:val="18"/>
              </w:rPr>
              <w:t>Role</w:t>
            </w:r>
          </w:p>
        </w:tc>
        <w:tc>
          <w:tcPr>
            <w:tcW w:type="dxa" w:w="2880"/>
          </w:tcPr>
          <w:p>
            <w:pPr/>
            <w:r>
              <w:rPr>
                <w:b/>
                <w:sz w:val="18"/>
              </w:rPr>
              <w:t>Scope</w:t>
            </w:r>
          </w:p>
        </w:tc>
      </w:tr>
      <w:tr>
        <w:tc>
          <w:tcPr>
            <w:tcW w:type="dxa" w:w="2880"/>
          </w:tcPr>
          <w:p>
            <w:pPr/>
            <w:r>
              <w:rPr>
                <w:sz w:val="18"/>
              </w:rPr>
              <w:t>**SFC** (Securities and Futures Commission)</w:t>
            </w:r>
          </w:p>
        </w:tc>
        <w:tc>
          <w:tcPr>
            <w:tcW w:type="dxa" w:w="2880"/>
          </w:tcPr>
          <w:p>
            <w:pPr/>
            <w:r>
              <w:rPr>
                <w:sz w:val="18"/>
              </w:rPr>
              <w:t>Primary market regulator</w:t>
            </w:r>
          </w:p>
        </w:tc>
        <w:tc>
          <w:tcPr>
            <w:tcW w:type="dxa" w:w="2880"/>
          </w:tcPr>
          <w:p>
            <w:pPr/>
            <w:r>
              <w:rPr>
                <w:sz w:val="18"/>
              </w:rPr>
              <w:t>Securities, futures, OTC derivatives regulation; independent statutory body</w:t>
            </w:r>
          </w:p>
        </w:tc>
      </w:tr>
      <w:tr>
        <w:tc>
          <w:tcPr>
            <w:tcW w:type="dxa" w:w="2880"/>
          </w:tcPr>
          <w:p>
            <w:pPr/>
            <w:r>
              <w:rPr>
                <w:sz w:val="18"/>
              </w:rPr>
              <w:t>**HKMA** (Hong Kong Monetary Authority)</w:t>
            </w:r>
          </w:p>
        </w:tc>
        <w:tc>
          <w:tcPr>
            <w:tcW w:type="dxa" w:w="2880"/>
          </w:tcPr>
          <w:p>
            <w:pPr/>
            <w:r>
              <w:rPr>
                <w:sz w:val="18"/>
              </w:rPr>
              <w:t>Banking / monetary regulator</w:t>
            </w:r>
          </w:p>
        </w:tc>
        <w:tc>
          <w:tcPr>
            <w:tcW w:type="dxa" w:w="2880"/>
          </w:tcPr>
          <w:p>
            <w:pPr/>
            <w:r>
              <w:rPr>
                <w:sz w:val="18"/>
              </w:rPr>
              <w:t>OTC derivatives regulation for authorized institutions (banks); co-regulator with SFC</w:t>
            </w:r>
          </w:p>
        </w:tc>
      </w:tr>
      <w:tr>
        <w:tc>
          <w:tcPr>
            <w:tcW w:type="dxa" w:w="2880"/>
          </w:tcPr>
          <w:p>
            <w:pPr/>
            <w:r>
              <w:rPr>
                <w:sz w:val="18"/>
              </w:rPr>
              <w:t>**HKEX**</w:t>
            </w:r>
          </w:p>
        </w:tc>
        <w:tc>
          <w:tcPr>
            <w:tcW w:type="dxa" w:w="2880"/>
          </w:tcPr>
          <w:p>
            <w:pPr/>
            <w:r>
              <w:rPr>
                <w:sz w:val="18"/>
              </w:rPr>
              <w:t>Exchange and CCP operator</w:t>
            </w:r>
          </w:p>
        </w:tc>
        <w:tc>
          <w:tcPr>
            <w:tcW w:type="dxa" w:w="2880"/>
          </w:tcPr>
          <w:p>
            <w:pPr/>
            <w:r>
              <w:rPr>
                <w:sz w:val="18"/>
              </w:rPr>
              <w:t>Operates the exchange and three clearing houses; also conducts front-line regulation</w:t>
            </w:r>
          </w:p>
        </w:tc>
      </w:tr>
      <w:tr>
        <w:tc>
          <w:tcPr>
            <w:tcW w:type="dxa" w:w="2880"/>
          </w:tcPr>
          <w:p>
            <w:pPr/>
            <w:r>
              <w:rPr>
                <w:sz w:val="18"/>
              </w:rPr>
              <w:t>**FSTB** (Financial Services and the Treasury Bureau)</w:t>
            </w:r>
          </w:p>
        </w:tc>
        <w:tc>
          <w:tcPr>
            <w:tcW w:type="dxa" w:w="2880"/>
          </w:tcPr>
          <w:p>
            <w:pPr/>
            <w:r>
              <w:rPr>
                <w:sz w:val="18"/>
              </w:rPr>
              <w:t>Policy</w:t>
            </w:r>
          </w:p>
        </w:tc>
        <w:tc>
          <w:tcPr>
            <w:tcW w:type="dxa" w:w="2880"/>
          </w:tcPr>
          <w:p>
            <w:pPr/>
            <w:r>
              <w:rPr>
                <w:sz w:val="18"/>
              </w:rPr>
              <w:t>Sets legislative policy direction</w:t>
            </w:r>
          </w:p>
        </w:tc>
      </w:tr>
    </w:tbl>
    <w:p/>
    <w:p>
      <w:pPr>
        <w:pStyle w:val="ListBullet"/>
      </w:pPr>
      <w:r>
        <w:t>Hong Kong uses an independent statutory authority model. The SFC is not a government ministry but an independent body with quasi-judicial powers.</w:t>
      </w:r>
    </w:p>
    <w:p>
      <w:pPr>
        <w:pStyle w:val="ListBullet"/>
      </w:pPr>
      <w:r>
        <w:t>For OTC derivatives regulation, the SFC and HKMA share jurisdiction: the SFC oversees licensed corporations, while the HKMA oversees authorized institutions (banks).</w:t>
      </w:r>
    </w:p>
    <w:p>
      <w:pPr>
        <w:pStyle w:val="ListBullet"/>
      </w:pPr>
      <w:r>
        <w:t>HKEX performs dual roles as commercial exchange operator and market regulator.</w:t>
      </w:r>
    </w:p>
    <w:p>
      <w:r>
        <w:rPr>
          <w:i/>
          <w:sz w:val="18"/>
        </w:rPr>
        <w:t>Source: [SFC — About the SFC](https://www.sfc.hk/en/About-the-SFC); [ICLG Derivatives 2025-2026 — Hong Kong](https://iclg.com/practice-areas/derivatives-laws-and-regulations/hong-kong)</w:t>
      </w:r>
    </w:p>
    <w:p>
      <w:pPr>
        <w:pStyle w:val="Heading3"/>
      </w:pPr>
      <w:r>
        <w:t>2.2 Key Legislation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Legislation</w:t>
            </w:r>
          </w:p>
        </w:tc>
        <w:tc>
          <w:tcPr>
            <w:tcW w:type="dxa" w:w="2880"/>
          </w:tcPr>
          <w:p>
            <w:pPr/>
            <w:r>
              <w:rPr>
                <w:b/>
                <w:sz w:val="18"/>
              </w:rPr>
              <w:t>Year</w:t>
            </w:r>
          </w:p>
        </w:tc>
        <w:tc>
          <w:tcPr>
            <w:tcW w:type="dxa" w:w="2880"/>
          </w:tcPr>
          <w:p>
            <w:pPr/>
            <w:r>
              <w:rPr>
                <w:b/>
                <w:sz w:val="18"/>
              </w:rPr>
              <w:t>Scope</w:t>
            </w:r>
          </w:p>
        </w:tc>
      </w:tr>
      <w:tr>
        <w:tc>
          <w:tcPr>
            <w:tcW w:type="dxa" w:w="2880"/>
          </w:tcPr>
          <w:p>
            <w:pPr/>
            <w:r>
              <w:rPr>
                <w:sz w:val="18"/>
              </w:rPr>
              <w:t>**Securities and Futures Ordinance (SFO)**</w:t>
            </w:r>
          </w:p>
        </w:tc>
        <w:tc>
          <w:tcPr>
            <w:tcW w:type="dxa" w:w="2880"/>
          </w:tcPr>
          <w:p>
            <w:pPr/>
            <w:r>
              <w:rPr>
                <w:sz w:val="18"/>
              </w:rPr>
              <w:t>2003</w:t>
            </w:r>
          </w:p>
        </w:tc>
        <w:tc>
          <w:tcPr>
            <w:tcW w:type="dxa" w:w="2880"/>
          </w:tcPr>
          <w:p>
            <w:pPr/>
            <w:r>
              <w:rPr>
                <w:sz w:val="18"/>
              </w:rPr>
              <w:t>Primary law governing securities and futures markets; licensing, market conduct, derivatives regulation</w:t>
            </w:r>
          </w:p>
        </w:tc>
      </w:tr>
      <w:tr>
        <w:tc>
          <w:tcPr>
            <w:tcW w:type="dxa" w:w="2880"/>
          </w:tcPr>
          <w:p>
            <w:pPr/>
            <w:r>
              <w:rPr>
                <w:sz w:val="18"/>
              </w:rPr>
              <w:t>**Securities and Futures (OTC Derivative Transactions — Reporting and Record Keeping Obligations) Rules**</w:t>
            </w:r>
          </w:p>
        </w:tc>
        <w:tc>
          <w:tcPr>
            <w:tcW w:type="dxa" w:w="2880"/>
          </w:tcPr>
          <w:p>
            <w:pPr/>
            <w:r>
              <w:rPr>
                <w:sz w:val="18"/>
              </w:rPr>
              <w:t>2015+ (phased)</w:t>
            </w:r>
          </w:p>
        </w:tc>
        <w:tc>
          <w:tcPr>
            <w:tcW w:type="dxa" w:w="2880"/>
          </w:tcPr>
          <w:p>
            <w:pPr/>
            <w:r>
              <w:rPr>
                <w:sz w:val="18"/>
              </w:rPr>
              <w:t>Mandatory reporting of OTC derivatives</w:t>
            </w:r>
          </w:p>
        </w:tc>
      </w:tr>
      <w:tr>
        <w:tc>
          <w:tcPr>
            <w:tcW w:type="dxa" w:w="2880"/>
          </w:tcPr>
          <w:p>
            <w:pPr/>
            <w:r>
              <w:rPr>
                <w:sz w:val="18"/>
              </w:rPr>
              <w:t>**Securities and Futures (OTC Derivative Transactions — Clearing and Record Keeping Obligations and Designation of Central Counterparties) Rules**</w:t>
            </w:r>
          </w:p>
        </w:tc>
        <w:tc>
          <w:tcPr>
            <w:tcW w:type="dxa" w:w="2880"/>
          </w:tcPr>
          <w:p>
            <w:pPr/>
            <w:r>
              <w:rPr>
                <w:sz w:val="18"/>
              </w:rPr>
              <w:t>2016+ (phased)</w:t>
            </w:r>
          </w:p>
        </w:tc>
        <w:tc>
          <w:tcPr>
            <w:tcW w:type="dxa" w:w="2880"/>
          </w:tcPr>
          <w:p>
            <w:pPr/>
            <w:r>
              <w:rPr>
                <w:sz w:val="18"/>
              </w:rPr>
              <w:t>Mandatory clearing of designated OTC derivatives</w:t>
            </w:r>
          </w:p>
        </w:tc>
      </w:tr>
      <w:tr>
        <w:tc>
          <w:tcPr>
            <w:tcW w:type="dxa" w:w="2880"/>
          </w:tcPr>
          <w:p>
            <w:pPr/>
            <w:r>
              <w:rPr>
                <w:sz w:val="18"/>
              </w:rPr>
              <w:t>**Securities and Futures (Contracts Limits and Reportable Positions) Rules**</w:t>
            </w:r>
          </w:p>
        </w:tc>
        <w:tc>
          <w:tcPr>
            <w:tcW w:type="dxa" w:w="2880"/>
          </w:tcPr>
          <w:p>
            <w:pPr/>
            <w:r>
              <w:rPr>
                <w:sz w:val="18"/>
              </w:rPr>
              <w:t>Various</w:t>
            </w:r>
          </w:p>
        </w:tc>
        <w:tc>
          <w:tcPr>
            <w:tcW w:type="dxa" w:w="2880"/>
          </w:tcPr>
          <w:p>
            <w:pPr/>
            <w:r>
              <w:rPr>
                <w:sz w:val="18"/>
              </w:rPr>
              <w:t>Position limits and large open position reporting for exchange-traded derivatives</w:t>
            </w:r>
          </w:p>
        </w:tc>
      </w:tr>
    </w:tbl>
    <w:p/>
    <w:p>
      <w:r>
        <w:rPr>
          <w:i/>
          <w:sz w:val="18"/>
        </w:rPr>
        <w:t>Source: [SFC — OTC Derivatives Regime FAQ](https://www.sfc.hk/en/faqs/OTC-derivatives)</w:t>
      </w:r>
    </w:p>
    <w:p>
      <w:pPr>
        <w:pStyle w:val="Heading3"/>
      </w:pPr>
      <w:r>
        <w:t>2.3 Clearing Framework</w:t>
      </w:r>
    </w:p>
    <w:p>
      <w:r>
        <w:t>Clearing Houses under HKEX:</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Clearing House</w:t>
            </w:r>
          </w:p>
        </w:tc>
        <w:tc>
          <w:tcPr>
            <w:tcW w:type="dxa" w:w="2880"/>
          </w:tcPr>
          <w:p>
            <w:pPr/>
            <w:r>
              <w:rPr>
                <w:b/>
                <w:sz w:val="18"/>
              </w:rPr>
              <w:t>Scope</w:t>
            </w:r>
          </w:p>
        </w:tc>
        <w:tc>
          <w:tcPr>
            <w:tcW w:type="dxa" w:w="2880"/>
          </w:tcPr>
          <w:p>
            <w:pPr/>
            <w:r>
              <w:rPr>
                <w:b/>
                <w:sz w:val="18"/>
              </w:rPr>
              <w:t>Products</w:t>
            </w:r>
          </w:p>
        </w:tc>
      </w:tr>
      <w:tr>
        <w:tc>
          <w:tcPr>
            <w:tcW w:type="dxa" w:w="2880"/>
          </w:tcPr>
          <w:p>
            <w:pPr/>
            <w:r>
              <w:rPr>
                <w:sz w:val="18"/>
              </w:rPr>
              <w:t>**HKCC** (HKFE Clearing Corporation)</w:t>
            </w:r>
          </w:p>
        </w:tc>
        <w:tc>
          <w:tcPr>
            <w:tcW w:type="dxa" w:w="2880"/>
          </w:tcPr>
          <w:p>
            <w:pPr/>
            <w:r>
              <w:rPr>
                <w:sz w:val="18"/>
              </w:rPr>
              <w:t>Listed derivatives</w:t>
            </w:r>
          </w:p>
        </w:tc>
        <w:tc>
          <w:tcPr>
            <w:tcW w:type="dxa" w:w="2880"/>
          </w:tcPr>
          <w:p>
            <w:pPr/>
            <w:r>
              <w:rPr>
                <w:sz w:val="18"/>
              </w:rPr>
              <w:t>All exchange-traded futures and options on HKEX</w:t>
            </w:r>
          </w:p>
        </w:tc>
      </w:tr>
      <w:tr>
        <w:tc>
          <w:tcPr>
            <w:tcW w:type="dxa" w:w="2880"/>
          </w:tcPr>
          <w:p>
            <w:pPr/>
            <w:r>
              <w:rPr>
                <w:sz w:val="18"/>
              </w:rPr>
              <w:t>**SEOCH** (SEHK Options Clearing House)</w:t>
            </w:r>
          </w:p>
        </w:tc>
        <w:tc>
          <w:tcPr>
            <w:tcW w:type="dxa" w:w="2880"/>
          </w:tcPr>
          <w:p>
            <w:pPr/>
            <w:r>
              <w:rPr>
                <w:sz w:val="18"/>
              </w:rPr>
              <w:t>Listed stock options</w:t>
            </w:r>
          </w:p>
        </w:tc>
        <w:tc>
          <w:tcPr>
            <w:tcW w:type="dxa" w:w="2880"/>
          </w:tcPr>
          <w:p>
            <w:pPr/>
            <w:r>
              <w:rPr>
                <w:sz w:val="18"/>
              </w:rPr>
              <w:t>Stock options on HKEX</w:t>
            </w:r>
          </w:p>
        </w:tc>
      </w:tr>
      <w:tr>
        <w:tc>
          <w:tcPr>
            <w:tcW w:type="dxa" w:w="2880"/>
          </w:tcPr>
          <w:p>
            <w:pPr/>
            <w:r>
              <w:rPr>
                <w:sz w:val="18"/>
              </w:rPr>
              <w:t>**OTC Clear** (OTC Clearing Hong Kong Limited)</w:t>
            </w:r>
          </w:p>
        </w:tc>
        <w:tc>
          <w:tcPr>
            <w:tcW w:type="dxa" w:w="2880"/>
          </w:tcPr>
          <w:p>
            <w:pPr/>
            <w:r>
              <w:rPr>
                <w:sz w:val="18"/>
              </w:rPr>
              <w:t>OTC derivatives</w:t>
            </w:r>
          </w:p>
        </w:tc>
        <w:tc>
          <w:tcPr>
            <w:tcW w:type="dxa" w:w="2880"/>
          </w:tcPr>
          <w:p>
            <w:pPr/>
            <w:r>
              <w:rPr>
                <w:sz w:val="18"/>
              </w:rPr>
              <w:t>IRS (HKD, USD, EUR, GBP, CNY), cross-currency swaps, NDFs</w:t>
            </w:r>
          </w:p>
        </w:tc>
      </w:tr>
    </w:tbl>
    <w:p/>
    <w:p>
      <w:r>
        <w:t>Mandatory OTC clearing:</w:t>
      </w:r>
    </w:p>
    <w:p>
      <w:pPr>
        <w:pStyle w:val="ListBullet"/>
      </w:pPr>
      <w:r>
        <w:t>Mandatory clearing applies to IRS transactions between "prescribed persons" and "Financial Services Providers" (FSPs — major dealers outside Hong Kong).</w:t>
      </w:r>
    </w:p>
    <w:p>
      <w:pPr>
        <w:pStyle w:val="ListBullet"/>
      </w:pPr>
      <w:r>
        <w:t>Covered currencies: HKD, USD, EUR, GBP fixed-to-floating IRS.</w:t>
      </w:r>
    </w:p>
    <w:p>
      <w:pPr>
        <w:pStyle w:val="ListBullet"/>
      </w:pPr>
      <w:r>
        <w:t>The FSP List is updated annually; the 2025 update was gazetted Q4 2025 for implementation January 1, 2026.</w:t>
      </w:r>
    </w:p>
    <w:p>
      <w:pPr>
        <w:pStyle w:val="ListBullet"/>
      </w:pPr>
      <w:r>
        <w:t>2026 consultation: In January 2026, HKMA and SFC jointly consulted on standard calculation periods under OTC derivative Clearing Rules, proposing two annual calculation periods (March-May and September-November) effective March 1, 2027.</w:t>
      </w:r>
    </w:p>
    <w:p>
      <w:r>
        <w:t>Margin for non-centrally cleared derivatives:</w:t>
      </w:r>
    </w:p>
    <w:p>
      <w:pPr>
        <w:pStyle w:val="ListBullet"/>
      </w:pPr>
      <w:r>
        <w:t>Margin requirements for non-centrally cleared OTC single-stock options, equity basket options, and equity index options were deferred to January 4, 2026, aligning with UK and EU timelines.</w:t>
      </w:r>
    </w:p>
    <w:p>
      <w:r>
        <w:rPr>
          <w:i/>
          <w:sz w:val="18"/>
        </w:rPr>
        <w:t>Sources: [HKEX — OTC Clear Clearing Services](https://www.hkex.com.hk/Services/Clearing/OTC-Clear/Overview/Clearing-Services?sc_lang=en); [HKMA — FSP List Update (Apr 2025)](https://www.hkma.gov.hk/eng/news-and-media/press-releases/2025/04/20250417-3/); [HKMA — Clearing Rules Consultation (Jan 2026)](https://www.hkma.gov.hk/eng/news-and-media/press-releases/2026/01/20260129-4/)</w:t>
      </w:r>
    </w:p>
    <w:p>
      <w:pPr>
        <w:pStyle w:val="Heading3"/>
      </w:pPr>
      <w:r>
        <w:t>2.4 Position Limits</w:t>
      </w:r>
    </w:p>
    <w:p>
      <w:r>
        <w:t>The SFC prescribes statutory position limits for exchange-traded derivatives:</w:t>
      </w:r>
    </w:p>
    <w:p>
      <w:r>
        <w:t>Key position limits (effective July 2, 2025):</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Contract</w:t>
            </w:r>
          </w:p>
        </w:tc>
        <w:tc>
          <w:tcPr>
            <w:tcW w:type="dxa" w:w="2880"/>
          </w:tcPr>
          <w:p>
            <w:pPr/>
            <w:r>
              <w:rPr>
                <w:b/>
                <w:sz w:val="18"/>
              </w:rPr>
              <w:t>Position Limit (Delta)</w:t>
            </w:r>
          </w:p>
        </w:tc>
        <w:tc>
          <w:tcPr>
            <w:tcW w:type="dxa" w:w="2880"/>
          </w:tcPr>
          <w:p>
            <w:pPr/>
            <w:r>
              <w:rPr>
                <w:b/>
                <w:sz w:val="18"/>
              </w:rPr>
              <w:t>Change</w:t>
            </w:r>
          </w:p>
        </w:tc>
      </w:tr>
      <w:tr>
        <w:tc>
          <w:tcPr>
            <w:tcW w:type="dxa" w:w="2880"/>
          </w:tcPr>
          <w:p>
            <w:pPr/>
            <w:r>
              <w:rPr>
                <w:sz w:val="18"/>
              </w:rPr>
              <w:t>Hang Seng Index (HSI) futures &amp; options</w:t>
            </w:r>
          </w:p>
        </w:tc>
        <w:tc>
          <w:tcPr>
            <w:tcW w:type="dxa" w:w="2880"/>
          </w:tcPr>
          <w:p>
            <w:pPr/>
            <w:r>
              <w:rPr>
                <w:sz w:val="18"/>
              </w:rPr>
              <w:t>15,000</w:t>
            </w:r>
          </w:p>
        </w:tc>
        <w:tc>
          <w:tcPr>
            <w:tcW w:type="dxa" w:w="2880"/>
          </w:tcPr>
          <w:p>
            <w:pPr/>
            <w:r>
              <w:rPr>
                <w:sz w:val="18"/>
              </w:rPr>
              <w:t>+50% increase</w:t>
            </w:r>
          </w:p>
        </w:tc>
      </w:tr>
      <w:tr>
        <w:tc>
          <w:tcPr>
            <w:tcW w:type="dxa" w:w="2880"/>
          </w:tcPr>
          <w:p>
            <w:pPr/>
            <w:r>
              <w:rPr>
                <w:sz w:val="18"/>
              </w:rPr>
              <w:t>Hang Seng China Enterprises Index (HSCEI) futures &amp; options</w:t>
            </w:r>
          </w:p>
        </w:tc>
        <w:tc>
          <w:tcPr>
            <w:tcW w:type="dxa" w:w="2880"/>
          </w:tcPr>
          <w:p>
            <w:pPr/>
            <w:r>
              <w:rPr>
                <w:sz w:val="18"/>
              </w:rPr>
              <w:t>25,000</w:t>
            </w:r>
          </w:p>
        </w:tc>
        <w:tc>
          <w:tcPr>
            <w:tcW w:type="dxa" w:w="2880"/>
          </w:tcPr>
          <w:p>
            <w:pPr/>
            <w:r>
              <w:rPr>
                <w:sz w:val="18"/>
              </w:rPr>
              <w:t>+108% increase</w:t>
            </w:r>
          </w:p>
        </w:tc>
      </w:tr>
      <w:tr>
        <w:tc>
          <w:tcPr>
            <w:tcW w:type="dxa" w:w="2880"/>
          </w:tcPr>
          <w:p>
            <w:pPr/>
            <w:r>
              <w:rPr>
                <w:sz w:val="18"/>
              </w:rPr>
              <w:t>Hang Seng TECH Index futures &amp; options</w:t>
            </w:r>
          </w:p>
        </w:tc>
        <w:tc>
          <w:tcPr>
            <w:tcW w:type="dxa" w:w="2880"/>
          </w:tcPr>
          <w:p>
            <w:pPr/>
            <w:r>
              <w:rPr>
                <w:sz w:val="18"/>
              </w:rPr>
              <w:t>30,000</w:t>
            </w:r>
          </w:p>
        </w:tc>
        <w:tc>
          <w:tcPr>
            <w:tcW w:type="dxa" w:w="2880"/>
          </w:tcPr>
          <w:p>
            <w:pPr/>
            <w:r>
              <w:rPr>
                <w:sz w:val="18"/>
              </w:rPr>
              <w:t>+43% increase</w:t>
            </w:r>
          </w:p>
        </w:tc>
      </w:tr>
    </w:tbl>
    <w:p/>
    <w:p>
      <w:pPr>
        <w:pStyle w:val="ListBullet"/>
      </w:pPr>
      <w:r>
        <w:t>Position limits are expressed in position delta (net delta across futures and options).</w:t>
      </w:r>
    </w:p>
    <w:p>
      <w:pPr>
        <w:pStyle w:val="ListBullet"/>
      </w:pPr>
      <w:r>
        <w:t>Reportable position thresholds are set at lower levels; exceeding these triggers large open position (LOP) reporting to the SFC.</w:t>
      </w:r>
    </w:p>
    <w:p>
      <w:pPr>
        <w:pStyle w:val="ListBullet"/>
      </w:pPr>
      <w:r>
        <w:t>Hedge exemptions and market-maker exemptions are available upon application.</w:t>
      </w:r>
    </w:p>
    <w:p>
      <w:pPr>
        <w:pStyle w:val="ListBullet"/>
      </w:pPr>
      <w:r>
        <w:t>The SFC consulted on these increases in early 2025 and received 25 submissions from local and overseas market participants showing strong support.</w:t>
      </w:r>
    </w:p>
    <w:p>
      <w:r>
        <w:rPr>
          <w:i/>
          <w:sz w:val="18"/>
        </w:rPr>
        <w:t>Sources: [SFC — Position Limit Increases (Jun 2025)](https://apps.sfc.hk/edistributionWeb/gateway/EN/news-and-announcements/news/doc?refNo=25PR100); [SFC — Consultation Paper 25CP2](https://apps.sfc.hk/edistributionWeb/api/consultation/openFile?lang=EN&amp;refNo=25CP2)</w:t>
      </w:r>
    </w:p>
    <w:p>
      <w:pPr>
        <w:pStyle w:val="Heading3"/>
      </w:pPr>
      <w:r>
        <w:t>2.5 Trade Reporting</w:t>
      </w:r>
    </w:p>
    <w:p>
      <w:pPr>
        <w:pStyle w:val="ListBullet"/>
      </w:pPr>
      <w:r>
        <w:t>September 29, 2025: Enhanced HKTR (Hong Kong Trade Repository) reporting requirements took effect:</w:t>
      </w:r>
    </w:p>
    <w:p>
      <w:pPr>
        <w:pStyle w:val="ListBullet"/>
      </w:pPr>
      <w:r>
        <w:t>Mandatory Unique Transaction Identifier (UTI)</w:t>
      </w:r>
    </w:p>
    <w:p>
      <w:pPr>
        <w:pStyle w:val="ListBullet"/>
      </w:pPr>
      <w:r>
        <w:t>Mandatory Unique Product Identifier (UPI)</w:t>
      </w:r>
    </w:p>
    <w:p>
      <w:pPr>
        <w:pStyle w:val="ListBullet"/>
      </w:pPr>
      <w:r>
        <w:t>Mandatory Critical Data Elements (CDE) aligned with CPMI-IOSCO standards</w:t>
      </w:r>
    </w:p>
    <w:p>
      <w:r>
        <w:rPr>
          <w:i/>
          <w:sz w:val="18"/>
        </w:rPr>
        <w:t>Source: [EY — Evolving HKTR Requirements (Mar 2025)](https://www.ey.com/content/dam/ey-unified-site/ey-com/en-cn/technical/hong-kong-fsrm-insights/documents/ey-evolving-hktr-requirements-adapting-to-international-standards-and-revamping-reporting-capabilities.pdf)</w:t>
      </w:r>
    </w:p>
    <w:p>
      <w:pPr>
        <w:pStyle w:val="Heading3"/>
      </w:pPr>
      <w:r>
        <w:t>2.6 Recent Developments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Development</w:t>
            </w:r>
          </w:p>
        </w:tc>
        <w:tc>
          <w:tcPr>
            <w:tcW w:type="dxa" w:w="2880"/>
          </w:tcPr>
          <w:p>
            <w:pPr/>
            <w:r>
              <w:rPr>
                <w:b/>
                <w:sz w:val="18"/>
              </w:rPr>
              <w:t>Date</w:t>
            </w:r>
          </w:p>
        </w:tc>
        <w:tc>
          <w:tcPr>
            <w:tcW w:type="dxa" w:w="2880"/>
          </w:tcPr>
          <w:p>
            <w:pPr/>
            <w:r>
              <w:rPr>
                <w:b/>
                <w:sz w:val="18"/>
              </w:rPr>
              <w:t>Details</w:t>
            </w:r>
          </w:p>
        </w:tc>
      </w:tr>
      <w:tr>
        <w:tc>
          <w:tcPr>
            <w:tcW w:type="dxa" w:w="2880"/>
          </w:tcPr>
          <w:p>
            <w:pPr/>
            <w:r>
              <w:rPr>
                <w:sz w:val="18"/>
              </w:rPr>
              <w:t>**Swap Connect launch**</w:t>
            </w:r>
          </w:p>
        </w:tc>
        <w:tc>
          <w:tcPr>
            <w:tcW w:type="dxa" w:w="2880"/>
          </w:tcPr>
          <w:p>
            <w:pPr/>
            <w:r>
              <w:rPr>
                <w:sz w:val="18"/>
              </w:rPr>
              <w:t>May 15, 2023</w:t>
            </w:r>
          </w:p>
        </w:tc>
        <w:tc>
          <w:tcPr>
            <w:tcW w:type="dxa" w:w="2880"/>
          </w:tcPr>
          <w:p>
            <w:pPr/>
            <w:r>
              <w:rPr>
                <w:sz w:val="18"/>
              </w:rPr>
              <w:t>Northbound trading channel allowing international investors to access Mainland China interbank IRS market; cleared through OTC Clear / Shanghai Clearing House</w:t>
            </w:r>
          </w:p>
        </w:tc>
      </w:tr>
      <w:tr>
        <w:tc>
          <w:tcPr>
            <w:tcW w:type="dxa" w:w="2880"/>
          </w:tcPr>
          <w:p>
            <w:pPr/>
            <w:r>
              <w:rPr>
                <w:sz w:val="18"/>
              </w:rPr>
              <w:t>**Swap Connect enhancements**</w:t>
            </w:r>
          </w:p>
        </w:tc>
        <w:tc>
          <w:tcPr>
            <w:tcW w:type="dxa" w:w="2880"/>
          </w:tcPr>
          <w:p>
            <w:pPr/>
            <w:r>
              <w:rPr>
                <w:sz w:val="18"/>
              </w:rPr>
              <w:t>May 2024</w:t>
            </w:r>
          </w:p>
        </w:tc>
        <w:tc>
          <w:tcPr>
            <w:tcW w:type="dxa" w:w="2880"/>
          </w:tcPr>
          <w:p>
            <w:pPr/>
            <w:r>
              <w:rPr>
                <w:sz w:val="18"/>
              </w:rPr>
              <w:t>IMM date trades, solo compression service, backdated trades introduced</w:t>
            </w:r>
          </w:p>
        </w:tc>
      </w:tr>
      <w:tr>
        <w:tc>
          <w:tcPr>
            <w:tcW w:type="dxa" w:w="2880"/>
          </w:tcPr>
          <w:p>
            <w:pPr/>
            <w:r>
              <w:rPr>
                <w:sz w:val="18"/>
              </w:rPr>
              <w:t>**Bond collateral for Swap Connect**</w:t>
            </w:r>
          </w:p>
        </w:tc>
        <w:tc>
          <w:tcPr>
            <w:tcW w:type="dxa" w:w="2880"/>
          </w:tcPr>
          <w:p>
            <w:pPr/>
            <w:r>
              <w:rPr>
                <w:sz w:val="18"/>
              </w:rPr>
              <w:t>Jan 2025</w:t>
            </w:r>
          </w:p>
        </w:tc>
        <w:tc>
          <w:tcPr>
            <w:tcW w:type="dxa" w:w="2880"/>
          </w:tcPr>
          <w:p>
            <w:pPr/>
            <w:r>
              <w:rPr>
                <w:sz w:val="18"/>
              </w:rPr>
              <w:t>Offshore investors permitted to use central government bonds and policy bank bonds (held via Bond Connect) as collateral</w:t>
            </w:r>
          </w:p>
        </w:tc>
      </w:tr>
      <w:tr>
        <w:tc>
          <w:tcPr>
            <w:tcW w:type="dxa" w:w="2880"/>
          </w:tcPr>
          <w:p>
            <w:pPr/>
            <w:r>
              <w:rPr>
                <w:sz w:val="18"/>
              </w:rPr>
              <w:t>**30-Year swaps in Swap Connect**</w:t>
            </w:r>
          </w:p>
        </w:tc>
        <w:tc>
          <w:tcPr>
            <w:tcW w:type="dxa" w:w="2880"/>
          </w:tcPr>
          <w:p>
            <w:pPr/>
            <w:r>
              <w:rPr>
                <w:sz w:val="18"/>
              </w:rPr>
              <w:t>Jun 2025</w:t>
            </w:r>
          </w:p>
        </w:tc>
        <w:tc>
          <w:tcPr>
            <w:tcW w:type="dxa" w:w="2880"/>
          </w:tcPr>
          <w:p>
            <w:pPr/>
            <w:r>
              <w:rPr>
                <w:sz w:val="18"/>
              </w:rPr>
              <w:t>30-year tenor added to Northbound Swap Connect</w:t>
            </w:r>
          </w:p>
        </w:tc>
      </w:tr>
      <w:tr>
        <w:tc>
          <w:tcPr>
            <w:tcW w:type="dxa" w:w="2880"/>
          </w:tcPr>
          <w:p>
            <w:pPr/>
            <w:r>
              <w:rPr>
                <w:sz w:val="18"/>
              </w:rPr>
              <w:t>**Swap Connect cumulative volume**</w:t>
            </w:r>
          </w:p>
        </w:tc>
        <w:tc>
          <w:tcPr>
            <w:tcW w:type="dxa" w:w="2880"/>
          </w:tcPr>
          <w:p>
            <w:pPr/>
            <w:r>
              <w:rPr>
                <w:sz w:val="18"/>
              </w:rPr>
              <w:t>As of Apr 2025</w:t>
            </w:r>
          </w:p>
        </w:tc>
        <w:tc>
          <w:tcPr>
            <w:tcW w:type="dxa" w:w="2880"/>
          </w:tcPr>
          <w:p>
            <w:pPr/>
            <w:r>
              <w:rPr>
                <w:sz w:val="18"/>
              </w:rPr>
              <w:t>79 institutions from 15 markets; 12,000+ transactions; ~RMB 6.5 trillion aggregate notional</w:t>
            </w:r>
          </w:p>
        </w:tc>
      </w:tr>
      <w:tr>
        <w:tc>
          <w:tcPr>
            <w:tcW w:type="dxa" w:w="2880"/>
          </w:tcPr>
          <w:p>
            <w:pPr/>
            <w:r>
              <w:rPr>
                <w:sz w:val="18"/>
              </w:rPr>
              <w:t>**Position limit increases**</w:t>
            </w:r>
          </w:p>
        </w:tc>
        <w:tc>
          <w:tcPr>
            <w:tcW w:type="dxa" w:w="2880"/>
          </w:tcPr>
          <w:p>
            <w:pPr/>
            <w:r>
              <w:rPr>
                <w:sz w:val="18"/>
              </w:rPr>
              <w:t>Jul 2, 2025</w:t>
            </w:r>
          </w:p>
        </w:tc>
        <w:tc>
          <w:tcPr>
            <w:tcW w:type="dxa" w:w="2880"/>
          </w:tcPr>
          <w:p>
            <w:pPr/>
            <w:r>
              <w:rPr>
                <w:sz w:val="18"/>
              </w:rPr>
              <w:t>HSI/HSCEI/HSTECH position limits increased 50-108%</w:t>
            </w:r>
          </w:p>
        </w:tc>
      </w:tr>
      <w:tr>
        <w:tc>
          <w:tcPr>
            <w:tcW w:type="dxa" w:w="2880"/>
          </w:tcPr>
          <w:p>
            <w:pPr/>
            <w:r>
              <w:rPr>
                <w:sz w:val="18"/>
              </w:rPr>
              <w:t>**HKTR reporting enhancements**</w:t>
            </w:r>
          </w:p>
        </w:tc>
        <w:tc>
          <w:tcPr>
            <w:tcW w:type="dxa" w:w="2880"/>
          </w:tcPr>
          <w:p>
            <w:pPr/>
            <w:r>
              <w:rPr>
                <w:sz w:val="18"/>
              </w:rPr>
              <w:t>Sep 29, 2025</w:t>
            </w:r>
          </w:p>
        </w:tc>
        <w:tc>
          <w:tcPr>
            <w:tcW w:type="dxa" w:w="2880"/>
          </w:tcPr>
          <w:p>
            <w:pPr/>
            <w:r>
              <w:rPr>
                <w:sz w:val="18"/>
              </w:rPr>
              <w:t>UTI, UPI, CDE mandated</w:t>
            </w:r>
          </w:p>
        </w:tc>
      </w:tr>
      <w:tr>
        <w:tc>
          <w:tcPr>
            <w:tcW w:type="dxa" w:w="2880"/>
          </w:tcPr>
          <w:p>
            <w:pPr/>
            <w:r>
              <w:rPr>
                <w:sz w:val="18"/>
              </w:rPr>
              <w:t>**Synapse platform**</w:t>
            </w:r>
          </w:p>
        </w:tc>
        <w:tc>
          <w:tcPr>
            <w:tcW w:type="dxa" w:w="2880"/>
          </w:tcPr>
          <w:p>
            <w:pPr/>
            <w:r>
              <w:rPr>
                <w:sz w:val="18"/>
              </w:rPr>
              <w:t>2023+</w:t>
            </w:r>
          </w:p>
        </w:tc>
        <w:tc>
          <w:tcPr>
            <w:tcW w:type="dxa" w:w="2880"/>
          </w:tcPr>
          <w:p>
            <w:pPr/>
            <w:r>
              <w:rPr>
                <w:sz w:val="18"/>
              </w:rPr>
              <w:t>Settlement acceleration platform for Stock Connect using DAML smart contracts; collaboration with DTCC</w:t>
            </w:r>
          </w:p>
        </w:tc>
      </w:tr>
      <w:tr>
        <w:tc>
          <w:tcPr>
            <w:tcW w:type="dxa" w:w="2880"/>
          </w:tcPr>
          <w:p>
            <w:pPr/>
            <w:r>
              <w:rPr>
                <w:sz w:val="18"/>
              </w:rPr>
              <w:t>**Orion Derivatives Platform (ODP)**</w:t>
            </w:r>
          </w:p>
        </w:tc>
        <w:tc>
          <w:tcPr>
            <w:tcW w:type="dxa" w:w="2880"/>
          </w:tcPr>
          <w:p>
            <w:pPr/>
            <w:r>
              <w:rPr>
                <w:sz w:val="18"/>
              </w:rPr>
              <w:t>In development</w:t>
            </w:r>
          </w:p>
        </w:tc>
        <w:tc>
          <w:tcPr>
            <w:tcW w:type="dxa" w:w="2880"/>
          </w:tcPr>
          <w:p>
            <w:pPr/>
            <w:r>
              <w:rPr>
                <w:sz w:val="18"/>
              </w:rPr>
              <w:t>Next-generation derivatives trading platform</w:t>
            </w:r>
          </w:p>
        </w:tc>
      </w:tr>
      <w:tr>
        <w:tc>
          <w:tcPr>
            <w:tcW w:type="dxa" w:w="2880"/>
          </w:tcPr>
          <w:p>
            <w:pPr/>
            <w:r>
              <w:rPr>
                <w:sz w:val="18"/>
              </w:rPr>
              <w:t>**Southbound Swap Connect**</w:t>
            </w:r>
          </w:p>
        </w:tc>
        <w:tc>
          <w:tcPr>
            <w:tcW w:type="dxa" w:w="2880"/>
          </w:tcPr>
          <w:p>
            <w:pPr/>
            <w:r>
              <w:rPr>
                <w:sz w:val="18"/>
              </w:rPr>
              <w:t>Under exploration</w:t>
            </w:r>
          </w:p>
        </w:tc>
        <w:tc>
          <w:tcPr>
            <w:tcW w:type="dxa" w:w="2880"/>
          </w:tcPr>
          <w:p>
            <w:pPr/>
            <w:r>
              <w:rPr>
                <w:sz w:val="18"/>
              </w:rPr>
              <w:t>SFC exploring Southbound functionality</w:t>
            </w:r>
          </w:p>
        </w:tc>
      </w:tr>
    </w:tbl>
    <w:p/>
    <w:p>
      <w:r>
        <w:rPr>
          <w:i/>
          <w:sz w:val="18"/>
        </w:rPr>
        <w:t>Sources: [HKEX — Swap Connect Launch](https://www.hkex.com.hk/News/News-Release/2025/250630news?sc_lang=en); [Reed Smith — Swap Connect](https://www.reedsmith.com/en/perspectives/2023/05/hong-kong-stock-exchange-launched-swap-connect); [SFC Speech — Bond Connect Anniversary (Jul 2025)](https://www.sfc.hk/-/media/EN/files/COM/Speech/EN_Bond-Connect-Anniversary_CEO-Speech_Jul-2025.pdf)</w:t>
      </w:r>
    </w:p>
    <w:p>
      <w:r>
        <w:t>────────────────────────────────────────────────────────────</w:t>
      </w:r>
    </w:p>
    <w:p>
      <w:pPr>
        <w:pStyle w:val="Heading2"/>
      </w:pPr>
      <w:r>
        <w:t>3. Singapore</w:t>
      </w:r>
    </w:p>
    <w:p>
      <w:pPr>
        <w:pStyle w:val="Heading3"/>
      </w:pPr>
      <w:r>
        <w:t>3.1 Regulatory Authorities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Authority</w:t>
            </w:r>
          </w:p>
        </w:tc>
        <w:tc>
          <w:tcPr>
            <w:tcW w:type="dxa" w:w="2880"/>
          </w:tcPr>
          <w:p>
            <w:pPr/>
            <w:r>
              <w:rPr>
                <w:b/>
                <w:sz w:val="18"/>
              </w:rPr>
              <w:t>Role</w:t>
            </w:r>
          </w:p>
        </w:tc>
        <w:tc>
          <w:tcPr>
            <w:tcW w:type="dxa" w:w="2880"/>
          </w:tcPr>
          <w:p>
            <w:pPr/>
            <w:r>
              <w:rPr>
                <w:b/>
                <w:sz w:val="18"/>
              </w:rPr>
              <w:t>Scope</w:t>
            </w:r>
          </w:p>
        </w:tc>
      </w:tr>
      <w:tr>
        <w:tc>
          <w:tcPr>
            <w:tcW w:type="dxa" w:w="2880"/>
          </w:tcPr>
          <w:p>
            <w:pPr/>
            <w:r>
              <w:rPr>
                <w:sz w:val="18"/>
              </w:rPr>
              <w:t>**MAS** (Monetary Authority of Singapore)</w:t>
            </w:r>
          </w:p>
        </w:tc>
        <w:tc>
          <w:tcPr>
            <w:tcW w:type="dxa" w:w="2880"/>
          </w:tcPr>
          <w:p>
            <w:pPr/>
            <w:r>
              <w:rPr>
                <w:sz w:val="18"/>
              </w:rPr>
              <w:t>Integrated regulator + central bank</w:t>
            </w:r>
          </w:p>
        </w:tc>
        <w:tc>
          <w:tcPr>
            <w:tcW w:type="dxa" w:w="2880"/>
          </w:tcPr>
          <w:p>
            <w:pPr/>
            <w:r>
              <w:rPr>
                <w:sz w:val="18"/>
              </w:rPr>
              <w:t>Securities, banking, insurance, derivatives, monetary policy --- single unified regulator</w:t>
            </w:r>
          </w:p>
        </w:tc>
      </w:tr>
      <w:tr>
        <w:tc>
          <w:tcPr>
            <w:tcW w:type="dxa" w:w="2880"/>
          </w:tcPr>
          <w:p>
            <w:pPr/>
            <w:r>
              <w:rPr>
                <w:sz w:val="18"/>
              </w:rPr>
              <w:t>**SGX RegCo**</w:t>
            </w:r>
          </w:p>
        </w:tc>
        <w:tc>
          <w:tcPr>
            <w:tcW w:type="dxa" w:w="2880"/>
          </w:tcPr>
          <w:p>
            <w:pPr/>
            <w:r>
              <w:rPr>
                <w:sz w:val="18"/>
              </w:rPr>
              <w:t>Self-regulatory organization</w:t>
            </w:r>
          </w:p>
        </w:tc>
        <w:tc>
          <w:tcPr>
            <w:tcW w:type="dxa" w:w="2880"/>
          </w:tcPr>
          <w:p>
            <w:pPr/>
            <w:r>
              <w:rPr>
                <w:sz w:val="18"/>
              </w:rPr>
              <w:t>Front-line regulation of SGX-listed markets; subsidiary of SGX Group</w:t>
            </w:r>
          </w:p>
        </w:tc>
      </w:tr>
    </w:tbl>
    <w:p/>
    <w:p>
      <w:pPr>
        <w:pStyle w:val="ListBullet"/>
      </w:pPr>
      <w:r>
        <w:t>Singapore uses a fully integrated regulatory model: MAS is both the central bank and the financial regulator.</w:t>
      </w:r>
    </w:p>
    <w:p>
      <w:pPr>
        <w:pStyle w:val="ListBullet"/>
      </w:pPr>
      <w:r>
        <w:t>SGX RegCo was established as a separate subsidiary in 2017 to strengthen the independence of regulatory functions from SGX's commercial operations.</w:t>
      </w:r>
    </w:p>
    <w:p>
      <w:r>
        <w:rPr>
          <w:i/>
          <w:sz w:val="18"/>
        </w:rPr>
        <w:t>Source: [MAS — About MAS](https://www.mas.gov.sg); [SGX RegCo](https://www.sgx.com/regulation/sgx-regco)</w:t>
      </w:r>
    </w:p>
    <w:p>
      <w:pPr>
        <w:pStyle w:val="Heading3"/>
      </w:pPr>
      <w:r>
        <w:t>3.2 Key Legislation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Legislation</w:t>
            </w:r>
          </w:p>
        </w:tc>
        <w:tc>
          <w:tcPr>
            <w:tcW w:type="dxa" w:w="2880"/>
          </w:tcPr>
          <w:p>
            <w:pPr/>
            <w:r>
              <w:rPr>
                <w:b/>
                <w:sz w:val="18"/>
              </w:rPr>
              <w:t>Year</w:t>
            </w:r>
          </w:p>
        </w:tc>
        <w:tc>
          <w:tcPr>
            <w:tcW w:type="dxa" w:w="2880"/>
          </w:tcPr>
          <w:p>
            <w:pPr/>
            <w:r>
              <w:rPr>
                <w:b/>
                <w:sz w:val="18"/>
              </w:rPr>
              <w:t>Scope</w:t>
            </w:r>
          </w:p>
        </w:tc>
      </w:tr>
      <w:tr>
        <w:tc>
          <w:tcPr>
            <w:tcW w:type="dxa" w:w="2880"/>
          </w:tcPr>
          <w:p>
            <w:pPr/>
            <w:r>
              <w:rPr>
                <w:sz w:val="18"/>
              </w:rPr>
              <w:t>**Securities and Futures Act (SFA)**</w:t>
            </w:r>
          </w:p>
        </w:tc>
        <w:tc>
          <w:tcPr>
            <w:tcW w:type="dxa" w:w="2880"/>
          </w:tcPr>
          <w:p>
            <w:pPr/>
            <w:r>
              <w:rPr>
                <w:sz w:val="18"/>
              </w:rPr>
              <w:t>2001 (current version)</w:t>
            </w:r>
          </w:p>
        </w:tc>
        <w:tc>
          <w:tcPr>
            <w:tcW w:type="dxa" w:w="2880"/>
          </w:tcPr>
          <w:p>
            <w:pPr/>
            <w:r>
              <w:rPr>
                <w:sz w:val="18"/>
              </w:rPr>
              <w:t>Primary law governing securities, futures, and derivatives markets; licensing, market conduct, clearing</w:t>
            </w:r>
          </w:p>
        </w:tc>
      </w:tr>
      <w:tr>
        <w:tc>
          <w:tcPr>
            <w:tcW w:type="dxa" w:w="2880"/>
          </w:tcPr>
          <w:p>
            <w:pPr/>
            <w:r>
              <w:rPr>
                <w:sz w:val="18"/>
              </w:rPr>
              <w:t>**Securities and Futures (Reporting of Derivatives Contracts) Regulations 2013**</w:t>
            </w:r>
          </w:p>
        </w:tc>
        <w:tc>
          <w:tcPr>
            <w:tcW w:type="dxa" w:w="2880"/>
          </w:tcPr>
          <w:p>
            <w:pPr/>
            <w:r>
              <w:rPr>
                <w:sz w:val="18"/>
              </w:rPr>
              <w:t>2013 (amended 2024)</w:t>
            </w:r>
          </w:p>
        </w:tc>
        <w:tc>
          <w:tcPr>
            <w:tcW w:type="dxa" w:w="2880"/>
          </w:tcPr>
          <w:p>
            <w:pPr/>
            <w:r>
              <w:rPr>
                <w:sz w:val="18"/>
              </w:rPr>
              <w:t>Mandatory reporting of OTC derivatives contracts</w:t>
            </w:r>
          </w:p>
        </w:tc>
      </w:tr>
      <w:tr>
        <w:tc>
          <w:tcPr>
            <w:tcW w:type="dxa" w:w="2880"/>
          </w:tcPr>
          <w:p>
            <w:pPr/>
            <w:r>
              <w:rPr>
                <w:sz w:val="18"/>
              </w:rPr>
              <w:t>**Securities and Futures (Licensing and Conduct of Business) Regulations**</w:t>
            </w:r>
          </w:p>
        </w:tc>
        <w:tc>
          <w:tcPr>
            <w:tcW w:type="dxa" w:w="2880"/>
          </w:tcPr>
          <w:p>
            <w:pPr/>
            <w:r>
              <w:rPr>
                <w:sz w:val="18"/>
              </w:rPr>
              <w:t>Various</w:t>
            </w:r>
          </w:p>
        </w:tc>
        <w:tc>
          <w:tcPr>
            <w:tcW w:type="dxa" w:w="2880"/>
          </w:tcPr>
          <w:p>
            <w:pPr/>
            <w:r>
              <w:rPr>
                <w:sz w:val="18"/>
              </w:rPr>
              <w:t>Licensing requirements for capital markets services</w:t>
            </w:r>
          </w:p>
        </w:tc>
      </w:tr>
    </w:tbl>
    <w:p/>
    <w:p>
      <w:r>
        <w:rPr>
          <w:i/>
          <w:sz w:val="18"/>
        </w:rPr>
        <w:t>Source: [MAS — Securities and Futures Act 2001](https://www.mas.gov.sg/regulation/acts/securities-and-futures-act); [Singapore Statutes Online — SFA](https://sso.agc.gov.sg/SL/SFA2001-RG10)</w:t>
      </w:r>
    </w:p>
    <w:p>
      <w:pPr>
        <w:pStyle w:val="Heading3"/>
      </w:pPr>
      <w:r>
        <w:t>3.3 Clearing Framework</w:t>
      </w:r>
    </w:p>
    <w:p>
      <w:r>
        <w:t>Central Counterparty: SGX Derivatives Clearing Limited (SGX-DC)</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Service</w:t>
            </w:r>
          </w:p>
        </w:tc>
        <w:tc>
          <w:tcPr>
            <w:tcW w:type="dxa" w:w="2880"/>
          </w:tcPr>
          <w:p>
            <w:pPr/>
            <w:r>
              <w:rPr>
                <w:b/>
                <w:sz w:val="18"/>
              </w:rPr>
              <w:t>Products</w:t>
            </w:r>
          </w:p>
        </w:tc>
        <w:tc>
          <w:tcPr>
            <w:tcW w:type="dxa" w:w="2880"/>
          </w:tcPr>
          <w:p>
            <w:pPr/>
            <w:r>
              <w:rPr>
                <w:b/>
                <w:sz w:val="18"/>
              </w:rPr>
              <w:t>Notes</w:t>
            </w:r>
          </w:p>
        </w:tc>
      </w:tr>
      <w:tr>
        <w:tc>
          <w:tcPr>
            <w:tcW w:type="dxa" w:w="2880"/>
          </w:tcPr>
          <w:p>
            <w:pPr/>
            <w:r>
              <w:rPr>
                <w:sz w:val="18"/>
              </w:rPr>
              <w:t>Listed derivatives clearing</w:t>
            </w:r>
          </w:p>
        </w:tc>
        <w:tc>
          <w:tcPr>
            <w:tcW w:type="dxa" w:w="2880"/>
          </w:tcPr>
          <w:p>
            <w:pPr/>
            <w:r>
              <w:rPr>
                <w:sz w:val="18"/>
              </w:rPr>
              <w:t>All SGX-listed futures &amp; options</w:t>
            </w:r>
          </w:p>
        </w:tc>
        <w:tc>
          <w:tcPr>
            <w:tcW w:type="dxa" w:w="2880"/>
          </w:tcPr>
          <w:p>
            <w:pPr/>
            <w:r>
              <w:rPr>
                <w:sz w:val="18"/>
              </w:rPr>
              <w:t>Equity index, FX, commodity, interest rate derivatives</w:t>
            </w:r>
          </w:p>
        </w:tc>
      </w:tr>
      <w:tr>
        <w:tc>
          <w:tcPr>
            <w:tcW w:type="dxa" w:w="2880"/>
          </w:tcPr>
          <w:p>
            <w:pPr/>
            <w:r>
              <w:rPr>
                <w:sz w:val="18"/>
              </w:rPr>
              <w:t>OTC IRS clearing</w:t>
            </w:r>
          </w:p>
        </w:tc>
        <w:tc>
          <w:tcPr>
            <w:tcW w:type="dxa" w:w="2880"/>
          </w:tcPr>
          <w:p>
            <w:pPr/>
            <w:r>
              <w:rPr>
                <w:sz w:val="18"/>
              </w:rPr>
              <w:t>SGD and USD IRS</w:t>
            </w:r>
          </w:p>
        </w:tc>
        <w:tc>
          <w:tcPr>
            <w:tcW w:type="dxa" w:w="2880"/>
          </w:tcPr>
          <w:p>
            <w:pPr/>
            <w:r>
              <w:rPr>
                <w:sz w:val="18"/>
              </w:rPr>
              <w:t>Mandatory for entities exceeding S$20 billion threshold</w:t>
            </w:r>
          </w:p>
        </w:tc>
      </w:tr>
      <w:tr>
        <w:tc>
          <w:tcPr>
            <w:tcW w:type="dxa" w:w="2880"/>
          </w:tcPr>
          <w:p>
            <w:pPr/>
            <w:r>
              <w:rPr>
                <w:sz w:val="18"/>
              </w:rPr>
              <w:t>OTC FX clearing</w:t>
            </w:r>
          </w:p>
        </w:tc>
        <w:tc>
          <w:tcPr>
            <w:tcW w:type="dxa" w:w="2880"/>
          </w:tcPr>
          <w:p>
            <w:pPr/>
            <w:r>
              <w:rPr>
                <w:sz w:val="18"/>
              </w:rPr>
              <w:t>NDFs, FX options</w:t>
            </w:r>
          </w:p>
        </w:tc>
        <w:tc>
          <w:tcPr>
            <w:tcW w:type="dxa" w:w="2880"/>
          </w:tcPr>
          <w:p>
            <w:pPr/>
            <w:r>
              <w:rPr>
                <w:sz w:val="18"/>
              </w:rPr>
              <w:t>Voluntary clearing available</w:t>
            </w:r>
          </w:p>
        </w:tc>
      </w:tr>
    </w:tbl>
    <w:p/>
    <w:p>
      <w:r>
        <w:t>Mandatory clearing scope:</w:t>
      </w:r>
    </w:p>
    <w:p>
      <w:pPr>
        <w:pStyle w:val="ListBullet"/>
      </w:pPr>
      <w:r>
        <w:t>MAS mandated clearing for certain IRS contracts (originally SGD fixed-to-floating SOR IRS and USD fixed-to-floating LIBOR IRS; transitioned to SORA-based benchmarks).</w:t>
      </w:r>
    </w:p>
    <w:p>
      <w:pPr>
        <w:pStyle w:val="ListBullet"/>
      </w:pPr>
      <w:r>
        <w:t>Applies to banks and other specified persons exceeding the S$20 billion gross notional outstanding threshold (measured over four consecutive calendar quarters for derivatives booked in Singapore).</w:t>
      </w:r>
    </w:p>
    <w:p>
      <w:pPr>
        <w:pStyle w:val="ListBullet"/>
      </w:pPr>
      <w:r>
        <w:t>Banks below the threshold and non-bank entities below the threshold are exempt.</w:t>
      </w:r>
    </w:p>
    <w:p>
      <w:r>
        <w:t>SGX-DC is CFTC-registered as a Derivatives Clearing Organization (DCO), enabling U.S. customers to access SGX-cleared products.</w:t>
      </w:r>
    </w:p>
    <w:p>
      <w:r>
        <w:rPr>
          <w:i/>
          <w:sz w:val="18"/>
        </w:rPr>
        <w:t>Sources: [MAS — Consultation Paper on Mandatory Clearing](https://www.mas.gov.sg/-/media/MAS/News-and-Publications/Consultation-Papers/Consultation-Paper-on-Draft-Regulations-for-Mandatory-Clearing-of-Derivatives-Contracts.pdf); [CFTC — SGX-DC Registration](https://www.cftc.gov/PressRoom/PressReleases/6812-13)</w:t>
      </w:r>
    </w:p>
    <w:p>
      <w:pPr>
        <w:pStyle w:val="Heading3"/>
      </w:pPr>
      <w:r>
        <w:t>3.4 Position Limits</w:t>
      </w:r>
    </w:p>
    <w:p>
      <w:pPr>
        <w:pStyle w:val="ListBullet"/>
      </w:pPr>
      <w:r>
        <w:t>Position limits are set by SGX at the exchange rule level.</w:t>
      </w:r>
    </w:p>
    <w:p>
      <w:pPr>
        <w:pStyle w:val="ListBullet"/>
      </w:pPr>
      <w:r>
        <w:t>SGX uses a dual framework:</w:t>
      </w:r>
    </w:p>
    <w:p>
      <w:pPr>
        <w:pStyle w:val="ListBullet"/>
      </w:pPr>
      <w:r>
        <w:t>Position limits: Hard caps on net positions for speculative accounts.</w:t>
      </w:r>
    </w:p>
    <w:p>
      <w:pPr>
        <w:pStyle w:val="ListBullet"/>
      </w:pPr>
      <w:r>
        <w:t>Accountability levels: Soft thresholds that trigger exchange inquiry but do not automatically prohibit additional positions.</w:t>
      </w:r>
    </w:p>
    <w:p>
      <w:pPr>
        <w:pStyle w:val="ListBullet"/>
      </w:pPr>
      <w:r>
        <w:t>Large position reporting is required when positions exceed prescribed thresholds.</w:t>
      </w:r>
    </w:p>
    <w:p>
      <w:pPr>
        <w:pStyle w:val="ListBullet"/>
      </w:pPr>
      <w:r>
        <w:t>Hedge exemptions are available upon application to SGX.</w:t>
      </w:r>
    </w:p>
    <w:p>
      <w:r>
        <w:rPr>
          <w:i/>
          <w:sz w:val="18"/>
        </w:rPr>
        <w:t>Source: [SGX-DC Clearing Rules](https://rulebook.sgx.com/rulebook/sgx-dc-clearing-rules)</w:t>
      </w:r>
    </w:p>
    <w:p>
      <w:pPr>
        <w:pStyle w:val="Heading3"/>
      </w:pPr>
      <w:r>
        <w:t>3.5 Trade Reporting</w:t>
      </w:r>
    </w:p>
    <w:p>
      <w:r>
        <w:t>October 21, 2024 reform (MAS Rewrite):</w:t>
      </w:r>
    </w:p>
    <w:p>
      <w:pPr>
        <w:pStyle w:val="ListBullet"/>
      </w:pPr>
      <w:r>
        <w:t>Major overhaul of OTC derivatives reporting requirements, harmonizing with CPMI-IOSCO standards:</w:t>
      </w:r>
    </w:p>
    <w:p>
      <w:pPr>
        <w:pStyle w:val="ListBullet"/>
      </w:pPr>
      <w:r>
        <w:t>Adoption of ISO 20022 messaging standard</w:t>
      </w:r>
    </w:p>
    <w:p>
      <w:pPr>
        <w:pStyle w:val="ListBullet"/>
      </w:pPr>
      <w:r>
        <w:t>Mandatory reporting to licensed trade repositories within two business days</w:t>
      </w:r>
    </w:p>
    <w:p>
      <w:pPr>
        <w:pStyle w:val="ListBullet"/>
      </w:pPr>
      <w:r>
        <w:t>Covers: interest rate, credit, FX, commodity, and equity derivatives contracts booked or traded in Singapore</w:t>
      </w:r>
    </w:p>
    <w:p>
      <w:pPr>
        <w:pStyle w:val="ListBullet"/>
      </w:pPr>
      <w:r>
        <w:t>Re-reporting requirement: All outstanding specified derivatives contracts with remaining maturity of 6+ months as of October 21, 2024, were required to be re-reported by April 21, 2025.</w:t>
      </w:r>
    </w:p>
    <w:p>
      <w:r>
        <w:rPr>
          <w:i/>
          <w:sz w:val="18"/>
        </w:rPr>
        <w:t>Sources: [MAS — Reporting Guidelines (May 2024)](https://www.mas.gov.sg/-/media/mas/regulations-and-financial-stability/regulations-guidance-and-licensing/securities-futures-and-fund-management/regulations-guidance-and-licensing/guidelines/guidelines-to-the-securities-and-futures-reporting-of-derivatives-contracts-regulations_31-may-2024.pdf); [Rajah &amp; Tann — OTC Reporting Changes (Oct 2024)](https://www.rajahtannasia.com/viewpoints/changes-to-the-otc-derivatives-reporting-regime-commencing-on-21-october-2024/)</w:t>
      </w:r>
    </w:p>
    <w:p>
      <w:pPr>
        <w:pStyle w:val="Heading3"/>
      </w:pPr>
      <w:r>
        <w:t>3.6 Recent Developments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Development</w:t>
            </w:r>
          </w:p>
        </w:tc>
        <w:tc>
          <w:tcPr>
            <w:tcW w:type="dxa" w:w="2880"/>
          </w:tcPr>
          <w:p>
            <w:pPr/>
            <w:r>
              <w:rPr>
                <w:b/>
                <w:sz w:val="18"/>
              </w:rPr>
              <w:t>Date</w:t>
            </w:r>
          </w:p>
        </w:tc>
        <w:tc>
          <w:tcPr>
            <w:tcW w:type="dxa" w:w="2880"/>
          </w:tcPr>
          <w:p>
            <w:pPr/>
            <w:r>
              <w:rPr>
                <w:b/>
                <w:sz w:val="18"/>
              </w:rPr>
              <w:t>Details</w:t>
            </w:r>
          </w:p>
        </w:tc>
      </w:tr>
      <w:tr>
        <w:tc>
          <w:tcPr>
            <w:tcW w:type="dxa" w:w="2880"/>
          </w:tcPr>
          <w:p>
            <w:pPr/>
            <w:r>
              <w:rPr>
                <w:sz w:val="18"/>
              </w:rPr>
              <w:t>**GIFT Connect with NSE**</w:t>
            </w:r>
          </w:p>
        </w:tc>
        <w:tc>
          <w:tcPr>
            <w:tcW w:type="dxa" w:w="2880"/>
          </w:tcPr>
          <w:p>
            <w:pPr/>
            <w:r>
              <w:rPr>
                <w:sz w:val="18"/>
              </w:rPr>
              <w:t>Jul 2023</w:t>
            </w:r>
          </w:p>
        </w:tc>
        <w:tc>
          <w:tcPr>
            <w:tcW w:type="dxa" w:w="2880"/>
          </w:tcPr>
          <w:p>
            <w:pPr/>
            <w:r>
              <w:rPr>
                <w:sz w:val="18"/>
              </w:rPr>
              <w:t>GIFT Nifty launched --- migration of SGX Nifty derivatives to NSE IX in GIFT City, India; $9 billion OI at launch; SGX members access via connectivity arrangement</w:t>
            </w:r>
          </w:p>
        </w:tc>
      </w:tr>
      <w:tr>
        <w:tc>
          <w:tcPr>
            <w:tcW w:type="dxa" w:w="2880"/>
          </w:tcPr>
          <w:p>
            <w:pPr/>
            <w:r>
              <w:rPr>
                <w:sz w:val="18"/>
              </w:rPr>
              <w:t>**Extended trading hours**</w:t>
            </w:r>
          </w:p>
        </w:tc>
        <w:tc>
          <w:tcPr>
            <w:tcW w:type="dxa" w:w="2880"/>
          </w:tcPr>
          <w:p>
            <w:pPr/>
            <w:r>
              <w:rPr>
                <w:sz w:val="18"/>
              </w:rPr>
              <w:t>Nov 2024</w:t>
            </w:r>
          </w:p>
        </w:tc>
        <w:tc>
          <w:tcPr>
            <w:tcW w:type="dxa" w:w="2880"/>
          </w:tcPr>
          <w:p>
            <w:pPr/>
            <w:r>
              <w:rPr>
                <w:sz w:val="18"/>
              </w:rPr>
              <w:t>SGX Nikkei derivatives and FTSE Blossom Japan Index Futures trading hours extended by 30 minutes</w:t>
            </w:r>
          </w:p>
        </w:tc>
      </w:tr>
      <w:tr>
        <w:tc>
          <w:tcPr>
            <w:tcW w:type="dxa" w:w="2880"/>
          </w:tcPr>
          <w:p>
            <w:pPr/>
            <w:r>
              <w:rPr>
                <w:sz w:val="18"/>
              </w:rPr>
              <w:t>**OTC reporting reform**</w:t>
            </w:r>
          </w:p>
        </w:tc>
        <w:tc>
          <w:tcPr>
            <w:tcW w:type="dxa" w:w="2880"/>
          </w:tcPr>
          <w:p>
            <w:pPr/>
            <w:r>
              <w:rPr>
                <w:sz w:val="18"/>
              </w:rPr>
              <w:t>Oct 2024</w:t>
            </w:r>
          </w:p>
        </w:tc>
        <w:tc>
          <w:tcPr>
            <w:tcW w:type="dxa" w:w="2880"/>
          </w:tcPr>
          <w:p>
            <w:pPr/>
            <w:r>
              <w:rPr>
                <w:sz w:val="18"/>
              </w:rPr>
              <w:t>Major rewrite of OTC derivatives reporting (ISO 20022, UTI, UPI, CDE)</w:t>
            </w:r>
          </w:p>
        </w:tc>
      </w:tr>
      <w:tr>
        <w:tc>
          <w:tcPr>
            <w:tcW w:type="dxa" w:w="2880"/>
          </w:tcPr>
          <w:p>
            <w:pPr/>
            <w:r>
              <w:rPr>
                <w:sz w:val="18"/>
              </w:rPr>
              <w:t>**FX futures leadership**</w:t>
            </w:r>
          </w:p>
        </w:tc>
        <w:tc>
          <w:tcPr>
            <w:tcW w:type="dxa" w:w="2880"/>
          </w:tcPr>
          <w:p>
            <w:pPr/>
            <w:r>
              <w:rPr>
                <w:sz w:val="18"/>
              </w:rPr>
              <w:t>Ongoing</w:t>
            </w:r>
          </w:p>
        </w:tc>
        <w:tc>
          <w:tcPr>
            <w:tcW w:type="dxa" w:w="2880"/>
          </w:tcPr>
          <w:p>
            <w:pPr/>
            <w:r>
              <w:rPr>
                <w:sz w:val="18"/>
              </w:rPr>
              <w:t>SGX is Asia's largest exchange for FX futures and options; continues adding new currency pairs</w:t>
            </w:r>
          </w:p>
        </w:tc>
      </w:tr>
      <w:tr>
        <w:tc>
          <w:tcPr>
            <w:tcW w:type="dxa" w:w="2880"/>
          </w:tcPr>
          <w:p>
            <w:pPr/>
            <w:r>
              <w:rPr>
                <w:sz w:val="18"/>
              </w:rPr>
              <w:t>**CME mutual offset**</w:t>
            </w:r>
          </w:p>
        </w:tc>
        <w:tc>
          <w:tcPr>
            <w:tcW w:type="dxa" w:w="2880"/>
          </w:tcPr>
          <w:p>
            <w:pPr/>
            <w:r>
              <w:rPr>
                <w:sz w:val="18"/>
              </w:rPr>
              <w:t>Ongoing</w:t>
            </w:r>
          </w:p>
        </w:tc>
        <w:tc>
          <w:tcPr>
            <w:tcW w:type="dxa" w:w="2880"/>
          </w:tcPr>
          <w:p>
            <w:pPr/>
            <w:r>
              <w:rPr>
                <w:sz w:val="18"/>
              </w:rPr>
              <w:t>Agreement with CME Group allows futures positions opened on one exchange to be liquidated on the other (Eurodollar/Euroyen and Nikkei 225 futures)</w:t>
            </w:r>
          </w:p>
        </w:tc>
      </w:tr>
    </w:tbl>
    <w:p/>
    <w:p>
      <w:r>
        <w:rPr>
          <w:i/>
          <w:sz w:val="18"/>
        </w:rPr>
        <w:t>Sources: [SGX — GIFT Connect](https://www.sgx.com/derivatives/products/gift-connect); [Phillip Nova — SGX Extended Hours (Nov 2024)](https://www.phillipnova.com.sg/announcement/extension-of-t-session-trading-hours-for-sgx-nikkei-derivatives-and-sgx-ftse-blossom-japan-index-futures/)</w:t>
      </w:r>
    </w:p>
    <w:p>
      <w:r>
        <w:t>────────────────────────────────────────────────────────────</w:t>
      </w:r>
    </w:p>
    <w:p>
      <w:pPr>
        <w:pStyle w:val="Heading2"/>
      </w:pPr>
      <w:r>
        <w:t>4. Comparative Analysis</w:t>
      </w:r>
    </w:p>
    <w:p>
      <w:pPr>
        <w:pStyle w:val="Heading3"/>
      </w:pPr>
      <w:r>
        <w:t>4.1 Regulatory Structure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Dimension</w:t>
            </w:r>
          </w:p>
        </w:tc>
        <w:tc>
          <w:tcPr>
            <w:tcW w:type="dxa" w:w="1728"/>
          </w:tcPr>
          <w:p>
            <w:pPr/>
            <w:r>
              <w:rPr>
                <w:b/>
                <w:sz w:val="18"/>
              </w:rPr>
              <w:t>Japan</w:t>
            </w:r>
          </w:p>
        </w:tc>
        <w:tc>
          <w:tcPr>
            <w:tcW w:type="dxa" w:w="1728"/>
          </w:tcPr>
          <w:p>
            <w:pPr/>
            <w:r>
              <w:rPr>
                <w:b/>
                <w:sz w:val="18"/>
              </w:rPr>
              <w:t>Hong Kong</w:t>
            </w:r>
          </w:p>
        </w:tc>
        <w:tc>
          <w:tcPr>
            <w:tcW w:type="dxa" w:w="1728"/>
          </w:tcPr>
          <w:p>
            <w:pPr/>
            <w:r>
              <w:rPr>
                <w:b/>
                <w:sz w:val="18"/>
              </w:rPr>
              <w:t>Singapore</w:t>
            </w:r>
          </w:p>
        </w:tc>
        <w:tc>
          <w:tcPr>
            <w:tcW w:type="dxa" w:w="1728"/>
          </w:tcPr>
          <w:p>
            <w:pPr/>
            <w:r>
              <w:rPr>
                <w:b/>
                <w:sz w:val="18"/>
              </w:rPr>
              <w:t>Korea</w:t>
            </w:r>
          </w:p>
        </w:tc>
      </w:tr>
      <w:tr>
        <w:tc>
          <w:tcPr>
            <w:tcW w:type="dxa" w:w="1728"/>
          </w:tcPr>
          <w:p>
            <w:pPr/>
            <w:r>
              <w:rPr>
                <w:sz w:val="18"/>
              </w:rPr>
              <w:t>**Primary regulator**</w:t>
            </w:r>
          </w:p>
        </w:tc>
        <w:tc>
          <w:tcPr>
            <w:tcW w:type="dxa" w:w="1728"/>
          </w:tcPr>
          <w:p>
            <w:pPr/>
            <w:r>
              <w:rPr>
                <w:sz w:val="18"/>
              </w:rPr>
              <w:t>JFSA (Financial Services Agency)</w:t>
            </w:r>
          </w:p>
        </w:tc>
        <w:tc>
          <w:tcPr>
            <w:tcW w:type="dxa" w:w="1728"/>
          </w:tcPr>
          <w:p>
            <w:pPr/>
            <w:r>
              <w:rPr>
                <w:sz w:val="18"/>
              </w:rPr>
              <w:t>SFC (Securities and Futures Commission)</w:t>
            </w:r>
          </w:p>
        </w:tc>
        <w:tc>
          <w:tcPr>
            <w:tcW w:type="dxa" w:w="1728"/>
          </w:tcPr>
          <w:p>
            <w:pPr/>
            <w:r>
              <w:rPr>
                <w:sz w:val="18"/>
              </w:rPr>
              <w:t>MAS (Monetary Authority of Singapore)</w:t>
            </w:r>
          </w:p>
        </w:tc>
        <w:tc>
          <w:tcPr>
            <w:tcW w:type="dxa" w:w="1728"/>
          </w:tcPr>
          <w:p>
            <w:pPr/>
            <w:r>
              <w:rPr>
                <w:sz w:val="18"/>
              </w:rPr>
              <w:t>FSC (Financial Services Commission)</w:t>
            </w:r>
          </w:p>
        </w:tc>
      </w:tr>
      <w:tr>
        <w:tc>
          <w:tcPr>
            <w:tcW w:type="dxa" w:w="1728"/>
          </w:tcPr>
          <w:p>
            <w:pPr/>
            <w:r>
              <w:rPr>
                <w:sz w:val="18"/>
              </w:rPr>
              <w:t>**Regulator type**</w:t>
            </w:r>
          </w:p>
        </w:tc>
        <w:tc>
          <w:tcPr>
            <w:tcW w:type="dxa" w:w="1728"/>
          </w:tcPr>
          <w:p>
            <w:pPr/>
            <w:r>
              <w:rPr>
                <w:sz w:val="18"/>
              </w:rPr>
              <w:t>External bureau of Cabinet Office (ministry-level)</w:t>
            </w:r>
          </w:p>
        </w:tc>
        <w:tc>
          <w:tcPr>
            <w:tcW w:type="dxa" w:w="1728"/>
          </w:tcPr>
          <w:p>
            <w:pPr/>
            <w:r>
              <w:rPr>
                <w:sz w:val="18"/>
              </w:rPr>
              <w:t>Independent statutory body</w:t>
            </w:r>
          </w:p>
        </w:tc>
        <w:tc>
          <w:tcPr>
            <w:tcW w:type="dxa" w:w="1728"/>
          </w:tcPr>
          <w:p>
            <w:pPr/>
            <w:r>
              <w:rPr>
                <w:sz w:val="18"/>
              </w:rPr>
              <w:t>Integrated regulator + central bank</w:t>
            </w:r>
          </w:p>
        </w:tc>
        <w:tc>
          <w:tcPr>
            <w:tcW w:type="dxa" w:w="1728"/>
          </w:tcPr>
          <w:p>
            <w:pPr/>
            <w:r>
              <w:rPr>
                <w:sz w:val="18"/>
              </w:rPr>
              <w:t>Government commission under Prime Minister's Office</w:t>
            </w:r>
          </w:p>
        </w:tc>
      </w:tr>
      <w:tr>
        <w:tc>
          <w:tcPr>
            <w:tcW w:type="dxa" w:w="1728"/>
          </w:tcPr>
          <w:p>
            <w:pPr/>
            <w:r>
              <w:rPr>
                <w:sz w:val="18"/>
              </w:rPr>
              <w:t>**Supervisory arm**</w:t>
            </w:r>
          </w:p>
        </w:tc>
        <w:tc>
          <w:tcPr>
            <w:tcW w:type="dxa" w:w="1728"/>
          </w:tcPr>
          <w:p>
            <w:pPr/>
            <w:r>
              <w:rPr>
                <w:sz w:val="18"/>
              </w:rPr>
              <w:t>SESC (enforcement)</w:t>
            </w:r>
          </w:p>
        </w:tc>
        <w:tc>
          <w:tcPr>
            <w:tcW w:type="dxa" w:w="1728"/>
          </w:tcPr>
          <w:p>
            <w:pPr/>
            <w:r>
              <w:rPr>
                <w:sz w:val="18"/>
              </w:rPr>
              <w:t>SFC Enforcement Division</w:t>
            </w:r>
          </w:p>
        </w:tc>
        <w:tc>
          <w:tcPr>
            <w:tcW w:type="dxa" w:w="1728"/>
          </w:tcPr>
          <w:p>
            <w:pPr/>
            <w:r>
              <w:rPr>
                <w:sz w:val="18"/>
              </w:rPr>
              <w:t>MAS (integrated)</w:t>
            </w:r>
          </w:p>
        </w:tc>
        <w:tc>
          <w:tcPr>
            <w:tcW w:type="dxa" w:w="1728"/>
          </w:tcPr>
          <w:p>
            <w:pPr/>
            <w:r>
              <w:rPr>
                <w:sz w:val="18"/>
              </w:rPr>
              <w:t>FSS (Financial Supervisory Service)</w:t>
            </w:r>
          </w:p>
        </w:tc>
      </w:tr>
      <w:tr>
        <w:tc>
          <w:tcPr>
            <w:tcW w:type="dxa" w:w="1728"/>
          </w:tcPr>
          <w:p>
            <w:pPr/>
            <w:r>
              <w:rPr>
                <w:sz w:val="18"/>
              </w:rPr>
              <w:t>**SRO**</w:t>
            </w:r>
          </w:p>
        </w:tc>
        <w:tc>
          <w:tcPr>
            <w:tcW w:type="dxa" w:w="1728"/>
          </w:tcPr>
          <w:p>
            <w:pPr/>
            <w:r>
              <w:rPr>
                <w:sz w:val="18"/>
              </w:rPr>
              <w:t>JPX-R</w:t>
            </w:r>
          </w:p>
        </w:tc>
        <w:tc>
          <w:tcPr>
            <w:tcW w:type="dxa" w:w="1728"/>
          </w:tcPr>
          <w:p>
            <w:pPr/>
            <w:r>
              <w:rPr>
                <w:sz w:val="18"/>
              </w:rPr>
              <w:t>HKEX (dual role)</w:t>
            </w:r>
          </w:p>
        </w:tc>
        <w:tc>
          <w:tcPr>
            <w:tcW w:type="dxa" w:w="1728"/>
          </w:tcPr>
          <w:p>
            <w:pPr/>
            <w:r>
              <w:rPr>
                <w:sz w:val="18"/>
              </w:rPr>
              <w:t>SGX RegCo</w:t>
            </w:r>
          </w:p>
        </w:tc>
        <w:tc>
          <w:tcPr>
            <w:tcW w:type="dxa" w:w="1728"/>
          </w:tcPr>
          <w:p>
            <w:pPr/>
            <w:r>
              <w:rPr>
                <w:sz w:val="18"/>
              </w:rPr>
              <w:t>KRX (dual role: exchange + SRO)</w:t>
            </w:r>
          </w:p>
        </w:tc>
      </w:tr>
      <w:tr>
        <w:tc>
          <w:tcPr>
            <w:tcW w:type="dxa" w:w="1728"/>
          </w:tcPr>
          <w:p>
            <w:pPr/>
            <w:r>
              <w:rPr>
                <w:sz w:val="18"/>
              </w:rPr>
              <w:t>**Central bank role**</w:t>
            </w:r>
          </w:p>
        </w:tc>
        <w:tc>
          <w:tcPr>
            <w:tcW w:type="dxa" w:w="1728"/>
          </w:tcPr>
          <w:p>
            <w:pPr/>
            <w:r>
              <w:rPr>
                <w:sz w:val="18"/>
              </w:rPr>
              <w:t>BOJ --- systemic oversight of JSCC</w:t>
            </w:r>
          </w:p>
        </w:tc>
        <w:tc>
          <w:tcPr>
            <w:tcW w:type="dxa" w:w="1728"/>
          </w:tcPr>
          <w:p>
            <w:pPr/>
            <w:r>
              <w:rPr>
                <w:sz w:val="18"/>
              </w:rPr>
              <w:t>HKMA --- co-regulator for OTC derivatives (banks)</w:t>
            </w:r>
          </w:p>
        </w:tc>
        <w:tc>
          <w:tcPr>
            <w:tcW w:type="dxa" w:w="1728"/>
          </w:tcPr>
          <w:p>
            <w:pPr/>
            <w:r>
              <w:rPr>
                <w:sz w:val="18"/>
              </w:rPr>
              <w:t>MAS is the central bank</w:t>
            </w:r>
          </w:p>
        </w:tc>
        <w:tc>
          <w:tcPr>
            <w:tcW w:type="dxa" w:w="1728"/>
          </w:tcPr>
          <w:p>
            <w:pPr/>
            <w:r>
              <w:rPr>
                <w:sz w:val="18"/>
              </w:rPr>
              <w:t>BOK --- limited direct role in derivatives regulation</w:t>
            </w:r>
          </w:p>
        </w:tc>
      </w:tr>
      <w:tr>
        <w:tc>
          <w:tcPr>
            <w:tcW w:type="dxa" w:w="1728"/>
          </w:tcPr>
          <w:p>
            <w:pPr/>
            <w:r>
              <w:rPr>
                <w:sz w:val="18"/>
              </w:rPr>
              <w:t>**Dual regulator?**</w:t>
            </w:r>
          </w:p>
        </w:tc>
        <w:tc>
          <w:tcPr>
            <w:tcW w:type="dxa" w:w="1728"/>
          </w:tcPr>
          <w:p>
            <w:pPr/>
            <w:r>
              <w:rPr>
                <w:sz w:val="18"/>
              </w:rPr>
              <w:t>No (JFSA unified post-2012)</w:t>
            </w:r>
          </w:p>
        </w:tc>
        <w:tc>
          <w:tcPr>
            <w:tcW w:type="dxa" w:w="1728"/>
          </w:tcPr>
          <w:p>
            <w:pPr/>
            <w:r>
              <w:rPr>
                <w:sz w:val="18"/>
              </w:rPr>
              <w:t>Yes (SFC + HKMA for OTC derivatives)</w:t>
            </w:r>
          </w:p>
        </w:tc>
        <w:tc>
          <w:tcPr>
            <w:tcW w:type="dxa" w:w="1728"/>
          </w:tcPr>
          <w:p>
            <w:pPr/>
            <w:r>
              <w:rPr>
                <w:sz w:val="18"/>
              </w:rPr>
              <w:t>No (MAS is fully integrated)</w:t>
            </w:r>
          </w:p>
        </w:tc>
        <w:tc>
          <w:tcPr>
            <w:tcW w:type="dxa" w:w="1728"/>
          </w:tcPr>
          <w:p>
            <w:pPr/>
            <w:r>
              <w:rPr>
                <w:sz w:val="18"/>
              </w:rPr>
              <w:t>Yes (FSC policy + FSS supervision)</w:t>
            </w:r>
          </w:p>
        </w:tc>
      </w:tr>
    </w:tbl>
    <w:p/>
    <w:p>
      <w:r>
        <w:t>Key distinctions:</w:t>
      </w:r>
    </w:p>
    <w:p>
      <w:pPr>
        <w:pStyle w:val="ListBullet"/>
      </w:pPr>
      <w:r>
        <w:t>Singapore stands out as the only fully integrated model where the central bank is also the financial regulator.</w:t>
      </w:r>
    </w:p>
    <w:p>
      <w:pPr>
        <w:pStyle w:val="ListBullet"/>
      </w:pPr>
      <w:r>
        <w:t>Korea has a unique dual structure: the FSC sets policy while the FSS (a separate organization) executes supervision and examination. This differs from Hong Kong's SFC/HKMA split, which is based on entity type (licensed corporations vs. banks), not function.</w:t>
      </w:r>
    </w:p>
    <w:p>
      <w:pPr>
        <w:pStyle w:val="ListBullet"/>
      </w:pPr>
      <w:r>
        <w:t>Japan completed its unification in 2012, bringing commodity derivatives under JFSA from METI/MAFF.</w:t>
      </w:r>
    </w:p>
    <w:p>
      <w:pPr>
        <w:pStyle w:val="Heading3"/>
      </w:pPr>
      <w:r>
        <w:t>4.2 Position Limit Approaches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Dimension</w:t>
            </w:r>
          </w:p>
        </w:tc>
        <w:tc>
          <w:tcPr>
            <w:tcW w:type="dxa" w:w="1728"/>
          </w:tcPr>
          <w:p>
            <w:pPr/>
            <w:r>
              <w:rPr>
                <w:b/>
                <w:sz w:val="18"/>
              </w:rPr>
              <w:t>Japan</w:t>
            </w:r>
          </w:p>
        </w:tc>
        <w:tc>
          <w:tcPr>
            <w:tcW w:type="dxa" w:w="1728"/>
          </w:tcPr>
          <w:p>
            <w:pPr/>
            <w:r>
              <w:rPr>
                <w:b/>
                <w:sz w:val="18"/>
              </w:rPr>
              <w:t>Hong Kong</w:t>
            </w:r>
          </w:p>
        </w:tc>
        <w:tc>
          <w:tcPr>
            <w:tcW w:type="dxa" w:w="1728"/>
          </w:tcPr>
          <w:p>
            <w:pPr/>
            <w:r>
              <w:rPr>
                <w:b/>
                <w:sz w:val="18"/>
              </w:rPr>
              <w:t>Singapore</w:t>
            </w:r>
          </w:p>
        </w:tc>
        <w:tc>
          <w:tcPr>
            <w:tcW w:type="dxa" w:w="1728"/>
          </w:tcPr>
          <w:p>
            <w:pPr/>
            <w:r>
              <w:rPr>
                <w:b/>
                <w:sz w:val="18"/>
              </w:rPr>
              <w:t>Korea</w:t>
            </w:r>
          </w:p>
        </w:tc>
      </w:tr>
      <w:tr>
        <w:tc>
          <w:tcPr>
            <w:tcW w:type="dxa" w:w="1728"/>
          </w:tcPr>
          <w:p>
            <w:pPr/>
            <w:r>
              <w:rPr>
                <w:sz w:val="18"/>
              </w:rPr>
              <w:t>**Authority setting limits**</w:t>
            </w:r>
          </w:p>
        </w:tc>
        <w:tc>
          <w:tcPr>
            <w:tcW w:type="dxa" w:w="1728"/>
          </w:tcPr>
          <w:p>
            <w:pPr/>
            <w:r>
              <w:rPr>
                <w:sz w:val="18"/>
              </w:rPr>
              <w:t>Exchange (OSE)</w:t>
            </w:r>
          </w:p>
        </w:tc>
        <w:tc>
          <w:tcPr>
            <w:tcW w:type="dxa" w:w="1728"/>
          </w:tcPr>
          <w:p>
            <w:pPr/>
            <w:r>
              <w:rPr>
                <w:sz w:val="18"/>
              </w:rPr>
              <w:t>Statutory (SFC)</w:t>
            </w:r>
          </w:p>
        </w:tc>
        <w:tc>
          <w:tcPr>
            <w:tcW w:type="dxa" w:w="1728"/>
          </w:tcPr>
          <w:p>
            <w:pPr/>
            <w:r>
              <w:rPr>
                <w:sz w:val="18"/>
              </w:rPr>
              <w:t>Exchange (SGX)</w:t>
            </w:r>
          </w:p>
        </w:tc>
        <w:tc>
          <w:tcPr>
            <w:tcW w:type="dxa" w:w="1728"/>
          </w:tcPr>
          <w:p>
            <w:pPr/>
            <w:r>
              <w:rPr>
                <w:sz w:val="18"/>
              </w:rPr>
              <w:t>Exchange (KRX) + FSC oversight</w:t>
            </w:r>
          </w:p>
        </w:tc>
      </w:tr>
      <w:tr>
        <w:tc>
          <w:tcPr>
            <w:tcW w:type="dxa" w:w="1728"/>
          </w:tcPr>
          <w:p>
            <w:pPr/>
            <w:r>
              <w:rPr>
                <w:sz w:val="18"/>
              </w:rPr>
              <w:t>**Expression**</w:t>
            </w:r>
          </w:p>
        </w:tc>
        <w:tc>
          <w:tcPr>
            <w:tcW w:type="dxa" w:w="1728"/>
          </w:tcPr>
          <w:p>
            <w:pPr/>
            <w:r>
              <w:rPr>
                <w:sz w:val="18"/>
              </w:rPr>
              <w:t>Number of contracts (net)</w:t>
            </w:r>
          </w:p>
        </w:tc>
        <w:tc>
          <w:tcPr>
            <w:tcW w:type="dxa" w:w="1728"/>
          </w:tcPr>
          <w:p>
            <w:pPr/>
            <w:r>
              <w:rPr>
                <w:sz w:val="18"/>
              </w:rPr>
              <w:t>Position delta</w:t>
            </w:r>
          </w:p>
        </w:tc>
        <w:tc>
          <w:tcPr>
            <w:tcW w:type="dxa" w:w="1728"/>
          </w:tcPr>
          <w:p>
            <w:pPr/>
            <w:r>
              <w:rPr>
                <w:sz w:val="18"/>
              </w:rPr>
              <w:t>Contracts + accountability levels</w:t>
            </w:r>
          </w:p>
        </w:tc>
        <w:tc>
          <w:tcPr>
            <w:tcW w:type="dxa" w:w="1728"/>
          </w:tcPr>
          <w:p>
            <w:pPr/>
            <w:r>
              <w:rPr>
                <w:sz w:val="18"/>
              </w:rPr>
              <w:t>Contracts (net); varies by investor type</w:t>
            </w:r>
          </w:p>
        </w:tc>
      </w:tr>
      <w:tr>
        <w:tc>
          <w:tcPr>
            <w:tcW w:type="dxa" w:w="1728"/>
          </w:tcPr>
          <w:p>
            <w:pPr/>
            <w:r>
              <w:rPr>
                <w:sz w:val="18"/>
              </w:rPr>
              <w:t>**Statutory vs. exchange rule**</w:t>
            </w:r>
          </w:p>
        </w:tc>
        <w:tc>
          <w:tcPr>
            <w:tcW w:type="dxa" w:w="1728"/>
          </w:tcPr>
          <w:p>
            <w:pPr/>
            <w:r>
              <w:rPr>
                <w:sz w:val="18"/>
              </w:rPr>
              <w:t>Exchange rule</w:t>
            </w:r>
          </w:p>
        </w:tc>
        <w:tc>
          <w:tcPr>
            <w:tcW w:type="dxa" w:w="1728"/>
          </w:tcPr>
          <w:p>
            <w:pPr/>
            <w:r>
              <w:rPr>
                <w:sz w:val="18"/>
              </w:rPr>
              <w:t>Statutory (SFO subsidiary legislation)</w:t>
            </w:r>
          </w:p>
        </w:tc>
        <w:tc>
          <w:tcPr>
            <w:tcW w:type="dxa" w:w="1728"/>
          </w:tcPr>
          <w:p>
            <w:pPr/>
            <w:r>
              <w:rPr>
                <w:sz w:val="18"/>
              </w:rPr>
              <w:t>Exchange rule</w:t>
            </w:r>
          </w:p>
        </w:tc>
        <w:tc>
          <w:tcPr>
            <w:tcW w:type="dxa" w:w="1728"/>
          </w:tcPr>
          <w:p>
            <w:pPr/>
            <w:r>
              <w:rPr>
                <w:sz w:val="18"/>
              </w:rPr>
              <w:t>KRX rules under FSC approval</w:t>
            </w:r>
          </w:p>
        </w:tc>
      </w:tr>
      <w:tr>
        <w:tc>
          <w:tcPr>
            <w:tcW w:type="dxa" w:w="1728"/>
          </w:tcPr>
          <w:p>
            <w:pPr/>
            <w:r>
              <w:rPr>
                <w:sz w:val="18"/>
              </w:rPr>
              <w:t>**Recent changes**</w:t>
            </w:r>
          </w:p>
        </w:tc>
        <w:tc>
          <w:tcPr>
            <w:tcW w:type="dxa" w:w="1728"/>
          </w:tcPr>
          <w:p>
            <w:pPr/>
            <w:r>
              <w:rPr>
                <w:sz w:val="18"/>
              </w:rPr>
              <w:t>No major changes</w:t>
            </w:r>
          </w:p>
        </w:tc>
        <w:tc>
          <w:tcPr>
            <w:tcW w:type="dxa" w:w="1728"/>
          </w:tcPr>
          <w:p>
            <w:pPr/>
            <w:r>
              <w:rPr>
                <w:sz w:val="18"/>
              </w:rPr>
              <w:t>HSI/HSCEI/HSTECH limits increased 50-108% (Jul 2025)</w:t>
            </w:r>
          </w:p>
        </w:tc>
        <w:tc>
          <w:tcPr>
            <w:tcW w:type="dxa" w:w="1728"/>
          </w:tcPr>
          <w:p>
            <w:pPr/>
            <w:r>
              <w:rPr>
                <w:sz w:val="18"/>
              </w:rPr>
              <w:t>[no major recent changes reported]</w:t>
            </w:r>
          </w:p>
        </w:tc>
        <w:tc>
          <w:tcPr>
            <w:tcW w:type="dxa" w:w="1728"/>
          </w:tcPr>
          <w:p>
            <w:pPr/>
            <w:r>
              <w:rPr>
                <w:sz w:val="18"/>
              </w:rPr>
              <w:t>Strike price ranges expanded (Mar 2026)</w:t>
            </w:r>
          </w:p>
        </w:tc>
      </w:tr>
      <w:tr>
        <w:tc>
          <w:tcPr>
            <w:tcW w:type="dxa" w:w="1728"/>
          </w:tcPr>
          <w:p>
            <w:pPr/>
            <w:r>
              <w:rPr>
                <w:sz w:val="18"/>
              </w:rPr>
              <w:t>**Foreign investor treatment**</w:t>
            </w:r>
          </w:p>
        </w:tc>
        <w:tc>
          <w:tcPr>
            <w:tcW w:type="dxa" w:w="1728"/>
          </w:tcPr>
          <w:p>
            <w:pPr/>
            <w:r>
              <w:rPr>
                <w:sz w:val="18"/>
              </w:rPr>
              <w:t>Same limits; registration required</w:t>
            </w:r>
          </w:p>
        </w:tc>
        <w:tc>
          <w:tcPr>
            <w:tcW w:type="dxa" w:w="1728"/>
          </w:tcPr>
          <w:p>
            <w:pPr/>
            <w:r>
              <w:rPr>
                <w:sz w:val="18"/>
              </w:rPr>
              <w:t>Same limits; SFC licensing required</w:t>
            </w:r>
          </w:p>
        </w:tc>
        <w:tc>
          <w:tcPr>
            <w:tcW w:type="dxa" w:w="1728"/>
          </w:tcPr>
          <w:p>
            <w:pPr/>
            <w:r>
              <w:rPr>
                <w:sz w:val="18"/>
              </w:rPr>
              <w:t>Same limits; MAS licensing required</w:t>
            </w:r>
          </w:p>
        </w:tc>
        <w:tc>
          <w:tcPr>
            <w:tcW w:type="dxa" w:w="1728"/>
          </w:tcPr>
          <w:p>
            <w:pPr/>
            <w:r>
              <w:rPr>
                <w:sz w:val="18"/>
              </w:rPr>
              <w:t>Separate registration; ID system for foreigners; historically stricter scrutiny</w:t>
            </w:r>
          </w:p>
        </w:tc>
      </w:tr>
      <w:tr>
        <w:tc>
          <w:tcPr>
            <w:tcW w:type="dxa" w:w="1728"/>
          </w:tcPr>
          <w:p>
            <w:pPr/>
            <w:r>
              <w:rPr>
                <w:sz w:val="18"/>
              </w:rPr>
              <w:t>**Hedge exemptions**</w:t>
            </w:r>
          </w:p>
        </w:tc>
        <w:tc>
          <w:tcPr>
            <w:tcW w:type="dxa" w:w="1728"/>
          </w:tcPr>
          <w:p>
            <w:pPr/>
            <w:r>
              <w:rPr>
                <w:sz w:val="18"/>
              </w:rPr>
              <w:t>Available (exchange application)</w:t>
            </w:r>
          </w:p>
        </w:tc>
        <w:tc>
          <w:tcPr>
            <w:tcW w:type="dxa" w:w="1728"/>
          </w:tcPr>
          <w:p>
            <w:pPr/>
            <w:r>
              <w:rPr>
                <w:sz w:val="18"/>
              </w:rPr>
              <w:t>Available (SFC application)</w:t>
            </w:r>
          </w:p>
        </w:tc>
        <w:tc>
          <w:tcPr>
            <w:tcW w:type="dxa" w:w="1728"/>
          </w:tcPr>
          <w:p>
            <w:pPr/>
            <w:r>
              <w:rPr>
                <w:sz w:val="18"/>
              </w:rPr>
              <w:t>Available (SGX application)</w:t>
            </w:r>
          </w:p>
        </w:tc>
        <w:tc>
          <w:tcPr>
            <w:tcW w:type="dxa" w:w="1728"/>
          </w:tcPr>
          <w:p>
            <w:pPr/>
            <w:r>
              <w:rPr>
                <w:sz w:val="18"/>
              </w:rPr>
              <w:t>Available (KRX application)</w:t>
            </w:r>
          </w:p>
        </w:tc>
      </w:tr>
    </w:tbl>
    <w:p/>
    <w:p>
      <w:pPr>
        <w:pStyle w:val="Heading3"/>
      </w:pPr>
      <w:r>
        <w:t>4.3 Clearing Mandate Comparison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Dimension</w:t>
            </w:r>
          </w:p>
        </w:tc>
        <w:tc>
          <w:tcPr>
            <w:tcW w:type="dxa" w:w="1728"/>
          </w:tcPr>
          <w:p>
            <w:pPr/>
            <w:r>
              <w:rPr>
                <w:b/>
                <w:sz w:val="18"/>
              </w:rPr>
              <w:t>Japan</w:t>
            </w:r>
          </w:p>
        </w:tc>
        <w:tc>
          <w:tcPr>
            <w:tcW w:type="dxa" w:w="1728"/>
          </w:tcPr>
          <w:p>
            <w:pPr/>
            <w:r>
              <w:rPr>
                <w:b/>
                <w:sz w:val="18"/>
              </w:rPr>
              <w:t>Hong Kong</w:t>
            </w:r>
          </w:p>
        </w:tc>
        <w:tc>
          <w:tcPr>
            <w:tcW w:type="dxa" w:w="1728"/>
          </w:tcPr>
          <w:p>
            <w:pPr/>
            <w:r>
              <w:rPr>
                <w:b/>
                <w:sz w:val="18"/>
              </w:rPr>
              <w:t>Singapore</w:t>
            </w:r>
          </w:p>
        </w:tc>
        <w:tc>
          <w:tcPr>
            <w:tcW w:type="dxa" w:w="1728"/>
          </w:tcPr>
          <w:p>
            <w:pPr/>
            <w:r>
              <w:rPr>
                <w:b/>
                <w:sz w:val="18"/>
              </w:rPr>
              <w:t>Korea</w:t>
            </w:r>
          </w:p>
        </w:tc>
      </w:tr>
      <w:tr>
        <w:tc>
          <w:tcPr>
            <w:tcW w:type="dxa" w:w="1728"/>
          </w:tcPr>
          <w:p>
            <w:pPr/>
            <w:r>
              <w:rPr>
                <w:sz w:val="18"/>
              </w:rPr>
              <w:t>**CCP for listed derivatives**</w:t>
            </w:r>
          </w:p>
        </w:tc>
        <w:tc>
          <w:tcPr>
            <w:tcW w:type="dxa" w:w="1728"/>
          </w:tcPr>
          <w:p>
            <w:pPr/>
            <w:r>
              <w:rPr>
                <w:sz w:val="18"/>
              </w:rPr>
              <w:t>JSCC</w:t>
            </w:r>
          </w:p>
        </w:tc>
        <w:tc>
          <w:tcPr>
            <w:tcW w:type="dxa" w:w="1728"/>
          </w:tcPr>
          <w:p>
            <w:pPr/>
            <w:r>
              <w:rPr>
                <w:sz w:val="18"/>
              </w:rPr>
              <w:t>HKCC, SEOCH</w:t>
            </w:r>
          </w:p>
        </w:tc>
        <w:tc>
          <w:tcPr>
            <w:tcW w:type="dxa" w:w="1728"/>
          </w:tcPr>
          <w:p>
            <w:pPr/>
            <w:r>
              <w:rPr>
                <w:sz w:val="18"/>
              </w:rPr>
              <w:t>SGX-DC</w:t>
            </w:r>
          </w:p>
        </w:tc>
        <w:tc>
          <w:tcPr>
            <w:tcW w:type="dxa" w:w="1728"/>
          </w:tcPr>
          <w:p>
            <w:pPr/>
            <w:r>
              <w:rPr>
                <w:sz w:val="18"/>
              </w:rPr>
              <w:t>KRX (vertically integrated)</w:t>
            </w:r>
          </w:p>
        </w:tc>
      </w:tr>
      <w:tr>
        <w:tc>
          <w:tcPr>
            <w:tcW w:type="dxa" w:w="1728"/>
          </w:tcPr>
          <w:p>
            <w:pPr/>
            <w:r>
              <w:rPr>
                <w:sz w:val="18"/>
              </w:rPr>
              <w:t>**CCP for OTC derivatives**</w:t>
            </w:r>
          </w:p>
        </w:tc>
        <w:tc>
          <w:tcPr>
            <w:tcW w:type="dxa" w:w="1728"/>
          </w:tcPr>
          <w:p>
            <w:pPr/>
            <w:r>
              <w:rPr>
                <w:sz w:val="18"/>
              </w:rPr>
              <w:t>JSCC</w:t>
            </w:r>
          </w:p>
        </w:tc>
        <w:tc>
          <w:tcPr>
            <w:tcW w:type="dxa" w:w="1728"/>
          </w:tcPr>
          <w:p>
            <w:pPr/>
            <w:r>
              <w:rPr>
                <w:sz w:val="18"/>
              </w:rPr>
              <w:t>OTC Clear</w:t>
            </w:r>
          </w:p>
        </w:tc>
        <w:tc>
          <w:tcPr>
            <w:tcW w:type="dxa" w:w="1728"/>
          </w:tcPr>
          <w:p>
            <w:pPr/>
            <w:r>
              <w:rPr>
                <w:sz w:val="18"/>
              </w:rPr>
              <w:t>SGX-DC</w:t>
            </w:r>
          </w:p>
        </w:tc>
        <w:tc>
          <w:tcPr>
            <w:tcW w:type="dxa" w:w="1728"/>
          </w:tcPr>
          <w:p>
            <w:pPr/>
            <w:r>
              <w:rPr>
                <w:sz w:val="18"/>
              </w:rPr>
              <w:t>KRX (limited OTC clearing)</w:t>
            </w:r>
          </w:p>
        </w:tc>
      </w:tr>
      <w:tr>
        <w:tc>
          <w:tcPr>
            <w:tcW w:type="dxa" w:w="1728"/>
          </w:tcPr>
          <w:p>
            <w:pPr/>
            <w:r>
              <w:rPr>
                <w:sz w:val="18"/>
              </w:rPr>
              <w:t>**Mandatory OTC clearing — IRS**</w:t>
            </w:r>
          </w:p>
        </w:tc>
        <w:tc>
          <w:tcPr>
            <w:tcW w:type="dxa" w:w="1728"/>
          </w:tcPr>
          <w:p>
            <w:pPr/>
            <w:r>
              <w:rPr>
                <w:sz w:val="18"/>
              </w:rPr>
              <w:t>Yes (JPY IRS)</w:t>
            </w:r>
          </w:p>
        </w:tc>
        <w:tc>
          <w:tcPr>
            <w:tcW w:type="dxa" w:w="1728"/>
          </w:tcPr>
          <w:p>
            <w:pPr/>
            <w:r>
              <w:rPr>
                <w:sz w:val="18"/>
              </w:rPr>
              <w:t>Yes (HKD, USD, EUR, GBP IRS)</w:t>
            </w:r>
          </w:p>
        </w:tc>
        <w:tc>
          <w:tcPr>
            <w:tcW w:type="dxa" w:w="1728"/>
          </w:tcPr>
          <w:p>
            <w:pPr/>
            <w:r>
              <w:rPr>
                <w:sz w:val="18"/>
              </w:rPr>
              <w:t>Yes (SGD, USD IRS --- above threshold)</w:t>
            </w:r>
          </w:p>
        </w:tc>
        <w:tc>
          <w:tcPr>
            <w:tcW w:type="dxa" w:w="1728"/>
          </w:tcPr>
          <w:p>
            <w:pPr/>
            <w:r>
              <w:rPr>
                <w:sz w:val="18"/>
              </w:rPr>
              <w:t>Limited</w:t>
            </w:r>
          </w:p>
        </w:tc>
      </w:tr>
      <w:tr>
        <w:tc>
          <w:tcPr>
            <w:tcW w:type="dxa" w:w="1728"/>
          </w:tcPr>
          <w:p>
            <w:pPr/>
            <w:r>
              <w:rPr>
                <w:sz w:val="18"/>
              </w:rPr>
              <w:t>**Mandatory OTC clearing — CDS**</w:t>
            </w:r>
          </w:p>
        </w:tc>
        <w:tc>
          <w:tcPr>
            <w:tcW w:type="dxa" w:w="1728"/>
          </w:tcPr>
          <w:p>
            <w:pPr/>
            <w:r>
              <w:rPr>
                <w:sz w:val="18"/>
              </w:rPr>
              <w:t>Yes (iTraxx Japan)</w:t>
            </w:r>
          </w:p>
        </w:tc>
        <w:tc>
          <w:tcPr>
            <w:tcW w:type="dxa" w:w="1728"/>
          </w:tcPr>
          <w:p>
            <w:pPr/>
            <w:r>
              <w:rPr>
                <w:sz w:val="18"/>
              </w:rPr>
              <w:t>No mandatory CDS clearing</w:t>
            </w:r>
          </w:p>
        </w:tc>
        <w:tc>
          <w:tcPr>
            <w:tcW w:type="dxa" w:w="1728"/>
          </w:tcPr>
          <w:p>
            <w:pPr/>
            <w:r>
              <w:rPr>
                <w:sz w:val="18"/>
              </w:rPr>
              <w:t>No mandatory CDS clearing</w:t>
            </w:r>
          </w:p>
        </w:tc>
        <w:tc>
          <w:tcPr>
            <w:tcW w:type="dxa" w:w="1728"/>
          </w:tcPr>
          <w:p>
            <w:pPr/>
            <w:r>
              <w:rPr>
                <w:sz w:val="18"/>
              </w:rPr>
              <w:t>No mandatory CDS clearing</w:t>
            </w:r>
          </w:p>
        </w:tc>
      </w:tr>
      <w:tr>
        <w:tc>
          <w:tcPr>
            <w:tcW w:type="dxa" w:w="1728"/>
          </w:tcPr>
          <w:p>
            <w:pPr/>
            <w:r>
              <w:rPr>
                <w:sz w:val="18"/>
              </w:rPr>
              <w:t>**Clearing threshold**</w:t>
            </w:r>
          </w:p>
        </w:tc>
        <w:tc>
          <w:tcPr>
            <w:tcW w:type="dxa" w:w="1728"/>
          </w:tcPr>
          <w:p>
            <w:pPr/>
            <w:r>
              <w:rPr>
                <w:sz w:val="18"/>
              </w:rPr>
              <w:t>Applies to designated FIBOs</w:t>
            </w:r>
          </w:p>
        </w:tc>
        <w:tc>
          <w:tcPr>
            <w:tcW w:type="dxa" w:w="1728"/>
          </w:tcPr>
          <w:p>
            <w:pPr/>
            <w:r>
              <w:rPr>
                <w:sz w:val="18"/>
              </w:rPr>
              <w:t>Transactions between prescribed persons and FSPs</w:t>
            </w:r>
          </w:p>
        </w:tc>
        <w:tc>
          <w:tcPr>
            <w:tcW w:type="dxa" w:w="1728"/>
          </w:tcPr>
          <w:p>
            <w:pPr/>
            <w:r>
              <w:rPr>
                <w:sz w:val="18"/>
              </w:rPr>
              <w:t>S$20 billion gross notional threshold</w:t>
            </w:r>
          </w:p>
        </w:tc>
        <w:tc>
          <w:tcPr>
            <w:tcW w:type="dxa" w:w="1728"/>
          </w:tcPr>
          <w:p>
            <w:pPr/>
            <w:r>
              <w:rPr>
                <w:sz w:val="18"/>
              </w:rPr>
              <w:t>[varies by regulation]</w:t>
            </w:r>
          </w:p>
        </w:tc>
      </w:tr>
      <w:tr>
        <w:tc>
          <w:tcPr>
            <w:tcW w:type="dxa" w:w="1728"/>
          </w:tcPr>
          <w:p>
            <w:pPr/>
            <w:r>
              <w:rPr>
                <w:sz w:val="18"/>
              </w:rPr>
              <w:t>**Trade reporting**</w:t>
            </w:r>
          </w:p>
        </w:tc>
        <w:tc>
          <w:tcPr>
            <w:tcW w:type="dxa" w:w="1728"/>
          </w:tcPr>
          <w:p>
            <w:pPr/>
            <w:r>
              <w:rPr>
                <w:sz w:val="18"/>
              </w:rPr>
              <w:t>Yes (LEI, UTI, CDE from Apr 2024)</w:t>
            </w:r>
          </w:p>
        </w:tc>
        <w:tc>
          <w:tcPr>
            <w:tcW w:type="dxa" w:w="1728"/>
          </w:tcPr>
          <w:p>
            <w:pPr/>
            <w:r>
              <w:rPr>
                <w:sz w:val="18"/>
              </w:rPr>
              <w:t>Yes (UTI, UPI, CDE from Sep 2025)</w:t>
            </w:r>
          </w:p>
        </w:tc>
        <w:tc>
          <w:tcPr>
            <w:tcW w:type="dxa" w:w="1728"/>
          </w:tcPr>
          <w:p>
            <w:pPr/>
            <w:r>
              <w:rPr>
                <w:sz w:val="18"/>
              </w:rPr>
              <w:t>Yes (ISO 20022, UTI, CDE from Oct 2024)</w:t>
            </w:r>
          </w:p>
        </w:tc>
        <w:tc>
          <w:tcPr>
            <w:tcW w:type="dxa" w:w="1728"/>
          </w:tcPr>
          <w:p>
            <w:pPr/>
            <w:r>
              <w:rPr>
                <w:sz w:val="18"/>
              </w:rPr>
              <w:t>Yes (to KRX/FSS)</w:t>
            </w:r>
          </w:p>
        </w:tc>
      </w:tr>
    </w:tbl>
    <w:p/>
    <w:p>
      <w:r>
        <w:t>Notable patterns:</w:t>
      </w:r>
    </w:p>
    <w:p>
      <w:pPr>
        <w:pStyle w:val="ListBullet"/>
      </w:pPr>
      <w:r>
        <w:t>All four jurisdictions have implemented mandatory OTC IRS clearing, with Hong Kong covering the broadest range of currencies.</w:t>
      </w:r>
    </w:p>
    <w:p>
      <w:pPr>
        <w:pStyle w:val="ListBullet"/>
      </w:pPr>
      <w:r>
        <w:t>Japan is unique in mandating CDS clearing (iTraxx Japan).</w:t>
      </w:r>
    </w:p>
    <w:p>
      <w:pPr>
        <w:pStyle w:val="ListBullet"/>
      </w:pPr>
      <w:r>
        <w:t>Singapore applies a quantitative threshold (S$20 billion) to determine clearing obligations.</w:t>
      </w:r>
    </w:p>
    <w:p>
      <w:pPr>
        <w:pStyle w:val="ListBullet"/>
      </w:pPr>
      <w:r>
        <w:t>All four jurisdictions have recently upgraded trade reporting to align with CPMI-IOSCO CDE standards (2024-2025 implementation wave).</w:t>
      </w:r>
    </w:p>
    <w:p>
      <w:pPr>
        <w:pStyle w:val="Heading3"/>
      </w:pPr>
      <w:r>
        <w:t>4.4 Cross-Border Arrangements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Arrangement</w:t>
            </w:r>
          </w:p>
        </w:tc>
        <w:tc>
          <w:tcPr>
            <w:tcW w:type="dxa" w:w="2880"/>
          </w:tcPr>
          <w:p>
            <w:pPr/>
            <w:r>
              <w:rPr>
                <w:b/>
                <w:sz w:val="18"/>
              </w:rPr>
              <w:t>Participants</w:t>
            </w:r>
          </w:p>
        </w:tc>
        <w:tc>
          <w:tcPr>
            <w:tcW w:type="dxa" w:w="2880"/>
          </w:tcPr>
          <w:p>
            <w:pPr/>
            <w:r>
              <w:rPr>
                <w:b/>
                <w:sz w:val="18"/>
              </w:rPr>
              <w:t>Status</w:t>
            </w:r>
          </w:p>
        </w:tc>
      </w:tr>
      <w:tr>
        <w:tc>
          <w:tcPr>
            <w:tcW w:type="dxa" w:w="2880"/>
          </w:tcPr>
          <w:p>
            <w:pPr/>
            <w:r>
              <w:rPr>
                <w:sz w:val="18"/>
              </w:rPr>
              <w:t>**IOSCO MMOU**</w:t>
            </w:r>
          </w:p>
        </w:tc>
        <w:tc>
          <w:tcPr>
            <w:tcW w:type="dxa" w:w="2880"/>
          </w:tcPr>
          <w:p>
            <w:pPr/>
            <w:r>
              <w:rPr>
                <w:sz w:val="18"/>
              </w:rPr>
              <w:t>All four jurisdictions (JFSA, SFC, MAS, FSC/FSS)</w:t>
            </w:r>
          </w:p>
        </w:tc>
        <w:tc>
          <w:tcPr>
            <w:tcW w:type="dxa" w:w="2880"/>
          </w:tcPr>
          <w:p>
            <w:pPr/>
            <w:r>
              <w:rPr>
                <w:sz w:val="18"/>
              </w:rPr>
              <w:t>Full signatories</w:t>
            </w:r>
          </w:p>
        </w:tc>
      </w:tr>
      <w:tr>
        <w:tc>
          <w:tcPr>
            <w:tcW w:type="dxa" w:w="2880"/>
          </w:tcPr>
          <w:p>
            <w:pPr/>
            <w:r>
              <w:rPr>
                <w:sz w:val="18"/>
              </w:rPr>
              <w:t>**IOSCO APRC Supervisory MMoU**</w:t>
            </w:r>
          </w:p>
        </w:tc>
        <w:tc>
          <w:tcPr>
            <w:tcW w:type="dxa" w:w="2880"/>
          </w:tcPr>
          <w:p>
            <w:pPr/>
            <w:r>
              <w:rPr>
                <w:sz w:val="18"/>
              </w:rPr>
              <w:t>JFSA, SFC, MAS, FSC/FSS (12 APRC signatories total)</w:t>
            </w:r>
          </w:p>
        </w:tc>
        <w:tc>
          <w:tcPr>
            <w:tcW w:type="dxa" w:w="2880"/>
          </w:tcPr>
          <w:p>
            <w:pPr/>
            <w:r>
              <w:rPr>
                <w:sz w:val="18"/>
              </w:rPr>
              <w:t>Full signatories; enables supervisory (not just enforcement) information exchange</w:t>
            </w:r>
          </w:p>
        </w:tc>
      </w:tr>
      <w:tr>
        <w:tc>
          <w:tcPr>
            <w:tcW w:type="dxa" w:w="2880"/>
          </w:tcPr>
          <w:p>
            <w:pPr/>
            <w:r>
              <w:rPr>
                <w:sz w:val="18"/>
              </w:rPr>
              <w:t>**CFTC — JSCC exemption**</w:t>
            </w:r>
          </w:p>
        </w:tc>
        <w:tc>
          <w:tcPr>
            <w:tcW w:type="dxa" w:w="2880"/>
          </w:tcPr>
          <w:p>
            <w:pPr/>
            <w:r>
              <w:rPr>
                <w:sz w:val="18"/>
              </w:rPr>
              <w:t>Japan / U.S.</w:t>
            </w:r>
          </w:p>
        </w:tc>
        <w:tc>
          <w:tcPr>
            <w:tcW w:type="dxa" w:w="2880"/>
          </w:tcPr>
          <w:p>
            <w:pPr/>
            <w:r>
              <w:rPr>
                <w:sz w:val="18"/>
              </w:rPr>
              <w:t>JSCC exempt from DCO registration; U.S. customers can clear JPY-IRS (Sep 2025)</w:t>
            </w:r>
          </w:p>
        </w:tc>
      </w:tr>
      <w:tr>
        <w:tc>
          <w:tcPr>
            <w:tcW w:type="dxa" w:w="2880"/>
          </w:tcPr>
          <w:p>
            <w:pPr/>
            <w:r>
              <w:rPr>
                <w:sz w:val="18"/>
              </w:rPr>
              <w:t>**CFTC — SGX-DC registration**</w:t>
            </w:r>
          </w:p>
        </w:tc>
        <w:tc>
          <w:tcPr>
            <w:tcW w:type="dxa" w:w="2880"/>
          </w:tcPr>
          <w:p>
            <w:pPr/>
            <w:r>
              <w:rPr>
                <w:sz w:val="18"/>
              </w:rPr>
              <w:t>Singapore / U.S.</w:t>
            </w:r>
          </w:p>
        </w:tc>
        <w:tc>
          <w:tcPr>
            <w:tcW w:type="dxa" w:w="2880"/>
          </w:tcPr>
          <w:p>
            <w:pPr/>
            <w:r>
              <w:rPr>
                <w:sz w:val="18"/>
              </w:rPr>
              <w:t>SGX-DC fully registered as CFTC DCO</w:t>
            </w:r>
          </w:p>
        </w:tc>
      </w:tr>
      <w:tr>
        <w:tc>
          <w:tcPr>
            <w:tcW w:type="dxa" w:w="2880"/>
          </w:tcPr>
          <w:p>
            <w:pPr/>
            <w:r>
              <w:rPr>
                <w:sz w:val="18"/>
              </w:rPr>
              <w:t>**CFTC — OTC Clear exemption**</w:t>
            </w:r>
          </w:p>
        </w:tc>
        <w:tc>
          <w:tcPr>
            <w:tcW w:type="dxa" w:w="2880"/>
          </w:tcPr>
          <w:p>
            <w:pPr/>
            <w:r>
              <w:rPr>
                <w:sz w:val="18"/>
              </w:rPr>
              <w:t>Hong Kong / U.S.</w:t>
            </w:r>
          </w:p>
        </w:tc>
        <w:tc>
          <w:tcPr>
            <w:tcW w:type="dxa" w:w="2880"/>
          </w:tcPr>
          <w:p>
            <w:pPr/>
            <w:r>
              <w:rPr>
                <w:sz w:val="18"/>
              </w:rPr>
              <w:t>OTC Clear exempt from DCO registration (Dec 2015)</w:t>
            </w:r>
          </w:p>
        </w:tc>
      </w:tr>
      <w:tr>
        <w:tc>
          <w:tcPr>
            <w:tcW w:type="dxa" w:w="2880"/>
          </w:tcPr>
          <w:p>
            <w:pPr/>
            <w:r>
              <w:rPr>
                <w:sz w:val="18"/>
              </w:rPr>
              <w:t>**ESMA equivalence**</w:t>
            </w:r>
          </w:p>
        </w:tc>
        <w:tc>
          <w:tcPr>
            <w:tcW w:type="dxa" w:w="2880"/>
          </w:tcPr>
          <w:p>
            <w:pPr/>
            <w:r>
              <w:rPr>
                <w:sz w:val="18"/>
              </w:rPr>
              <w:t>Japan, Hong Kong, Singapore</w:t>
            </w:r>
          </w:p>
        </w:tc>
        <w:tc>
          <w:tcPr>
            <w:tcW w:type="dxa" w:w="2880"/>
          </w:tcPr>
          <w:p>
            <w:pPr/>
            <w:r>
              <w:rPr>
                <w:sz w:val="18"/>
              </w:rPr>
              <w:t>ESMA has assessed CCP regulatory equivalence for all three jurisdictions under EMIR</w:t>
            </w:r>
          </w:p>
        </w:tc>
      </w:tr>
      <w:tr>
        <w:tc>
          <w:tcPr>
            <w:tcW w:type="dxa" w:w="2880"/>
          </w:tcPr>
          <w:p>
            <w:pPr/>
            <w:r>
              <w:rPr>
                <w:sz w:val="18"/>
              </w:rPr>
              <w:t>**Swap Connect**</w:t>
            </w:r>
          </w:p>
        </w:tc>
        <w:tc>
          <w:tcPr>
            <w:tcW w:type="dxa" w:w="2880"/>
          </w:tcPr>
          <w:p>
            <w:pPr/>
            <w:r>
              <w:rPr>
                <w:sz w:val="18"/>
              </w:rPr>
              <w:t>Hong Kong / Mainland China</w:t>
            </w:r>
          </w:p>
        </w:tc>
        <w:tc>
          <w:tcPr>
            <w:tcW w:type="dxa" w:w="2880"/>
          </w:tcPr>
          <w:p>
            <w:pPr/>
            <w:r>
              <w:rPr>
                <w:sz w:val="18"/>
              </w:rPr>
              <w:t>Northbound live (May 2023); Southbound under exploration</w:t>
            </w:r>
          </w:p>
        </w:tc>
      </w:tr>
      <w:tr>
        <w:tc>
          <w:tcPr>
            <w:tcW w:type="dxa" w:w="2880"/>
          </w:tcPr>
          <w:p>
            <w:pPr/>
            <w:r>
              <w:rPr>
                <w:sz w:val="18"/>
              </w:rPr>
              <w:t>**GIFT Connect**</w:t>
            </w:r>
          </w:p>
        </w:tc>
        <w:tc>
          <w:tcPr>
            <w:tcW w:type="dxa" w:w="2880"/>
          </w:tcPr>
          <w:p>
            <w:pPr/>
            <w:r>
              <w:rPr>
                <w:sz w:val="18"/>
              </w:rPr>
              <w:t>Singapore / India</w:t>
            </w:r>
          </w:p>
        </w:tc>
        <w:tc>
          <w:tcPr>
            <w:tcW w:type="dxa" w:w="2880"/>
          </w:tcPr>
          <w:p>
            <w:pPr/>
            <w:r>
              <w:rPr>
                <w:sz w:val="18"/>
              </w:rPr>
              <w:t>SGX-NSE IX connectivity (Jul 2023)</w:t>
            </w:r>
          </w:p>
        </w:tc>
      </w:tr>
    </w:tbl>
    <w:p/>
    <w:p>
      <w:pPr>
        <w:pStyle w:val="ListBullet"/>
      </w:pPr>
      <w:r>
        <w:t>All four jurisdictions are IOSCO MMOU and APRC Supervisory MMoU signatories, facilitating cross-border enforcement and supervisory cooperation.</w:t>
      </w:r>
    </w:p>
    <w:p>
      <w:pPr>
        <w:pStyle w:val="ListBullet"/>
      </w:pPr>
      <w:r>
        <w:t>Cross-border CCP recognition is well-established: JSCC, OTC Clear, and SGX-DC all have CFTC exemption/registration status, and ESMA equivalence assessments.</w:t>
      </w:r>
    </w:p>
    <w:p>
      <w:pPr>
        <w:pStyle w:val="ListBullet"/>
      </w:pPr>
      <w:r>
        <w:t>Korea's KRX had a cooperation arrangement with Eurex for KOSPI 200 products, though Eurex cancelled admission to trading for its KOSPI derivatives [unverified — specific timeline].</w:t>
      </w:r>
    </w:p>
    <w:p>
      <w:r>
        <w:rPr>
          <w:i/>
          <w:sz w:val="18"/>
        </w:rPr>
        <w:t>Sources: [JFSA — APRC MMoU (Nov 2022)](https://www.fsa.go.jp/en/news/2022/20221111-3/20221111-3.html); [SFC — IOSCO MMOU](https://www.sfc.hk/en/About-the-SFC/Regulatory-collaboration/International/IOSCO-MMOU); [FSC — APRC MMoU](https://www.fsc.go.kr/eng/pr010101/81856)</w:t>
      </w:r>
    </w:p>
    <w:p>
      <w:pPr>
        <w:pStyle w:val="Heading3"/>
      </w:pPr>
      <w:r>
        <w:t>4.5 Key Differences from Korean Framework</w:t>
      </w:r>
    </w:p>
    <w:p>
      <w:r>
        <w:t>Korea's derivatives regulatory framework has several distinctive features compared to the other three jurisdictions:</w:t>
      </w:r>
    </w:p>
    <w:p>
      <w:pPr>
        <w:pStyle w:val="Heading4"/>
      </w:pPr>
      <w:r>
        <w:t>4.5.1 FSC/FSS Dual Structure</w:t>
      </w:r>
    </w:p>
    <w:p>
      <w:pPr>
        <w:pStyle w:val="ListBullet"/>
      </w:pPr>
      <w:r>
        <w:t>Korea's FSC (policy-making) and FSS (supervision/examination) split is functionally different from Hong Kong's SFC/HKMA split. Hong Kong divides by entity type (licensed corporations vs. banks); Korea divides by function (policy vs. execution).</w:t>
      </w:r>
    </w:p>
    <w:p>
      <w:pPr>
        <w:pStyle w:val="ListBullet"/>
      </w:pPr>
      <w:r>
        <w:t>The FSS is not a government body but a special statutory corporation, which creates a unique institutional dynamic.</w:t>
      </w:r>
    </w:p>
    <w:p>
      <w:pPr>
        <w:pStyle w:val="ListBullet"/>
      </w:pPr>
      <w:r>
        <w:t>In Japan and Singapore, these functions are consolidated in a single body (JFSA and MAS, respectively).</w:t>
      </w:r>
    </w:p>
    <w:p>
      <w:pPr>
        <w:pStyle w:val="Heading4"/>
      </w:pPr>
      <w:r>
        <w:t>4.5.2 KRX as Vertically Integrated Exchange + CCP</w:t>
      </w:r>
    </w:p>
    <w:p>
      <w:pPr>
        <w:pStyle w:val="ListBullet"/>
      </w:pPr>
      <w:r>
        <w:t>KRX operates as both exchange and CCP (vertical silo model), similar to HKEX's structure.</w:t>
      </w:r>
    </w:p>
    <w:p>
      <w:pPr>
        <w:pStyle w:val="ListBullet"/>
      </w:pPr>
      <w:r>
        <w:t>This contrasts with Japan, where JPX (exchange holding) and JSCC (CCP) are separate entities (though JSCC is a JPX subsidiary).</w:t>
      </w:r>
    </w:p>
    <w:p>
      <w:pPr>
        <w:pStyle w:val="ListBullet"/>
      </w:pPr>
      <w:r>
        <w:t>SGX also uses a vertical silo model (SGX-DC is a subsidiary), but MAS has maintained regulatory separation through SGX RegCo.</w:t>
      </w:r>
    </w:p>
    <w:p>
      <w:pPr>
        <w:pStyle w:val="ListBullet"/>
      </w:pPr>
      <w:r>
        <w:t>The vertical integration debate is particularly relevant for Korea given KRX's monopoly position as the sole exchange and CCP for Korean derivatives.</w:t>
      </w:r>
    </w:p>
    <w:p>
      <w:pPr>
        <w:pStyle w:val="Heading4"/>
      </w:pPr>
      <w:r>
        <w:t>4.5.3 KOSPI 200 Derivatives Position Limits</w:t>
      </w:r>
    </w:p>
    <w:p>
      <w:pPr>
        <w:pStyle w:val="ListBullet"/>
      </w:pPr>
      <w:r>
        <w:t>Korea has historically applied position limits differentiated by investor type (individual, institutional, foreign), with particularly strict limits for individual investors on KOSPI 200 options following the 2011 options multiplier increase (from 100,000 to 500,000 KRW).</w:t>
      </w:r>
    </w:p>
    <w:p>
      <w:pPr>
        <w:pStyle w:val="ListBullet"/>
      </w:pPr>
      <w:r>
        <w:t>This investor-type-based approach is more granular than the approach in Japan, Hong Kong, or Singapore, where limits are generally the same regardless of investor type (though market-maker exemptions apply everywhere).</w:t>
      </w:r>
    </w:p>
    <w:p>
      <w:pPr>
        <w:pStyle w:val="ListBullet"/>
      </w:pPr>
      <w:r>
        <w:t>March 2026: KRX expanded KOSPI 200 options strike price ranges from +/-80 to +/-120 points (first through third nearby months), and similarly for Mini KOSPI 200 options.</w:t>
      </w:r>
    </w:p>
    <w:p>
      <w:pPr>
        <w:pStyle w:val="Heading4"/>
      </w:pPr>
      <w:r>
        <w:t>4.5.4 Foreign Investor Access</w:t>
      </w:r>
    </w:p>
    <w:p>
      <w:pPr>
        <w:pStyle w:val="ListBullet"/>
      </w:pPr>
      <w:r>
        <w:t>Korea requires foreign investors to obtain a unique Investor Registration Certificate (IRC) from the FSS before trading derivatives.</w:t>
      </w:r>
    </w:p>
    <w:p>
      <w:pPr>
        <w:pStyle w:val="ListBullet"/>
      </w:pPr>
      <w:r>
        <w:t>This contrasts with:</w:t>
      </w:r>
    </w:p>
    <w:p>
      <w:pPr>
        <w:pStyle w:val="ListBullet"/>
      </w:pPr>
      <w:r>
        <w:t>Japan: Foreign investors access through licensed FIBOs; no separate investor registration</w:t>
      </w:r>
    </w:p>
    <w:p>
      <w:pPr>
        <w:pStyle w:val="ListBullet"/>
      </w:pPr>
      <w:r>
        <w:t>Hong Kong: Access through licensed intermediaries; no separate investor registration</w:t>
      </w:r>
    </w:p>
    <w:p>
      <w:pPr>
        <w:pStyle w:val="ListBullet"/>
      </w:pPr>
      <w:r>
        <w:t>Singapore: Access through licensed capital markets services holders; no separate investor registration</w:t>
      </w:r>
    </w:p>
    <w:p>
      <w:pPr>
        <w:pStyle w:val="ListBullet"/>
      </w:pPr>
      <w:r>
        <w:t>Korea's IRC system enables account-level tracking of foreign positions but adds an administrative layer not present in the other three markets.</w:t>
      </w:r>
    </w:p>
    <w:p>
      <w:pPr>
        <w:pStyle w:val="Heading4"/>
      </w:pPr>
      <w:r>
        <w:t>4.5.5 Regulatory Governance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Dimension</w:t>
            </w:r>
          </w:p>
        </w:tc>
        <w:tc>
          <w:tcPr>
            <w:tcW w:type="dxa" w:w="1728"/>
          </w:tcPr>
          <w:p>
            <w:pPr/>
            <w:r>
              <w:rPr>
                <w:b/>
                <w:sz w:val="18"/>
              </w:rPr>
              <w:t>Korea (FSC/FSS/KRX)</w:t>
            </w:r>
          </w:p>
        </w:tc>
        <w:tc>
          <w:tcPr>
            <w:tcW w:type="dxa" w:w="1728"/>
          </w:tcPr>
          <w:p>
            <w:pPr/>
            <w:r>
              <w:rPr>
                <w:b/>
                <w:sz w:val="18"/>
              </w:rPr>
              <w:t>Japan</w:t>
            </w:r>
          </w:p>
        </w:tc>
        <w:tc>
          <w:tcPr>
            <w:tcW w:type="dxa" w:w="1728"/>
          </w:tcPr>
          <w:p>
            <w:pPr/>
            <w:r>
              <w:rPr>
                <w:b/>
                <w:sz w:val="18"/>
              </w:rPr>
              <w:t>Hong Kong</w:t>
            </w:r>
          </w:p>
        </w:tc>
        <w:tc>
          <w:tcPr>
            <w:tcW w:type="dxa" w:w="1728"/>
          </w:tcPr>
          <w:p>
            <w:pPr/>
            <w:r>
              <w:rPr>
                <w:b/>
                <w:sz w:val="18"/>
              </w:rPr>
              <w:t>Singapore</w:t>
            </w:r>
          </w:p>
        </w:tc>
      </w:tr>
      <w:tr>
        <w:tc>
          <w:tcPr>
            <w:tcW w:type="dxa" w:w="1728"/>
          </w:tcPr>
          <w:p>
            <w:pPr/>
            <w:r>
              <w:rPr>
                <w:sz w:val="18"/>
              </w:rPr>
              <w:t>Capital Markets Act</w:t>
            </w:r>
          </w:p>
        </w:tc>
        <w:tc>
          <w:tcPr>
            <w:tcW w:type="dxa" w:w="1728"/>
          </w:tcPr>
          <w:p>
            <w:pPr/>
            <w:r>
              <w:rPr>
                <w:sz w:val="18"/>
              </w:rPr>
              <w:t>FSCMA (2009)</w:t>
            </w:r>
          </w:p>
        </w:tc>
        <w:tc>
          <w:tcPr>
            <w:tcW w:type="dxa" w:w="1728"/>
          </w:tcPr>
          <w:p>
            <w:pPr/>
            <w:r>
              <w:rPr>
                <w:sz w:val="18"/>
              </w:rPr>
              <w:t>FIEA (2006)</w:t>
            </w:r>
          </w:p>
        </w:tc>
        <w:tc>
          <w:tcPr>
            <w:tcW w:type="dxa" w:w="1728"/>
          </w:tcPr>
          <w:p>
            <w:pPr/>
            <w:r>
              <w:rPr>
                <w:sz w:val="18"/>
              </w:rPr>
              <w:t>SFO (2003)</w:t>
            </w:r>
          </w:p>
        </w:tc>
        <w:tc>
          <w:tcPr>
            <w:tcW w:type="dxa" w:w="1728"/>
          </w:tcPr>
          <w:p>
            <w:pPr/>
            <w:r>
              <w:rPr>
                <w:sz w:val="18"/>
              </w:rPr>
              <w:t>SFA (2001)</w:t>
            </w:r>
          </w:p>
        </w:tc>
      </w:tr>
      <w:tr>
        <w:tc>
          <w:tcPr>
            <w:tcW w:type="dxa" w:w="1728"/>
          </w:tcPr>
          <w:p>
            <w:pPr/>
            <w:r>
              <w:rPr>
                <w:sz w:val="18"/>
              </w:rPr>
              <w:t>Exchange governance</w:t>
            </w:r>
          </w:p>
        </w:tc>
        <w:tc>
          <w:tcPr>
            <w:tcW w:type="dxa" w:w="1728"/>
          </w:tcPr>
          <w:p>
            <w:pPr/>
            <w:r>
              <w:rPr>
                <w:sz w:val="18"/>
              </w:rPr>
              <w:t>KRX (member-owned, quasi-public)</w:t>
            </w:r>
          </w:p>
        </w:tc>
        <w:tc>
          <w:tcPr>
            <w:tcW w:type="dxa" w:w="1728"/>
          </w:tcPr>
          <w:p>
            <w:pPr/>
            <w:r>
              <w:rPr>
                <w:sz w:val="18"/>
              </w:rPr>
              <w:t>JPX (publicly listed)</w:t>
            </w:r>
          </w:p>
        </w:tc>
        <w:tc>
          <w:tcPr>
            <w:tcW w:type="dxa" w:w="1728"/>
          </w:tcPr>
          <w:p>
            <w:pPr/>
            <w:r>
              <w:rPr>
                <w:sz w:val="18"/>
              </w:rPr>
              <w:t>HKEX (publicly listed)</w:t>
            </w:r>
          </w:p>
        </w:tc>
        <w:tc>
          <w:tcPr>
            <w:tcW w:type="dxa" w:w="1728"/>
          </w:tcPr>
          <w:p>
            <w:pPr/>
            <w:r>
              <w:rPr>
                <w:sz w:val="18"/>
              </w:rPr>
              <w:t>SGX (publicly listed)</w:t>
            </w:r>
          </w:p>
        </w:tc>
      </w:tr>
      <w:tr>
        <w:tc>
          <w:tcPr>
            <w:tcW w:type="dxa" w:w="1728"/>
          </w:tcPr>
          <w:p>
            <w:pPr/>
            <w:r>
              <w:rPr>
                <w:sz w:val="18"/>
              </w:rPr>
              <w:t>CCP governance</w:t>
            </w:r>
          </w:p>
        </w:tc>
        <w:tc>
          <w:tcPr>
            <w:tcW w:type="dxa" w:w="1728"/>
          </w:tcPr>
          <w:p>
            <w:pPr/>
            <w:r>
              <w:rPr>
                <w:sz w:val="18"/>
              </w:rPr>
              <w:t>KRX (same entity)</w:t>
            </w:r>
          </w:p>
        </w:tc>
        <w:tc>
          <w:tcPr>
            <w:tcW w:type="dxa" w:w="1728"/>
          </w:tcPr>
          <w:p>
            <w:pPr/>
            <w:r>
              <w:rPr>
                <w:sz w:val="18"/>
              </w:rPr>
              <w:t>JSCC (JPX subsidiary)</w:t>
            </w:r>
          </w:p>
        </w:tc>
        <w:tc>
          <w:tcPr>
            <w:tcW w:type="dxa" w:w="1728"/>
          </w:tcPr>
          <w:p>
            <w:pPr/>
            <w:r>
              <w:rPr>
                <w:sz w:val="18"/>
              </w:rPr>
              <w:t>HKCC/OTC Clear (HKEX subsidiaries)</w:t>
            </w:r>
          </w:p>
        </w:tc>
        <w:tc>
          <w:tcPr>
            <w:tcW w:type="dxa" w:w="1728"/>
          </w:tcPr>
          <w:p>
            <w:pPr/>
            <w:r>
              <w:rPr>
                <w:sz w:val="18"/>
              </w:rPr>
              <w:t>SGX-DC (SGX subsidiary)</w:t>
            </w:r>
          </w:p>
        </w:tc>
      </w:tr>
      <w:tr>
        <w:tc>
          <w:tcPr>
            <w:tcW w:type="dxa" w:w="1728"/>
          </w:tcPr>
          <w:p>
            <w:pPr/>
            <w:r>
              <w:rPr>
                <w:sz w:val="18"/>
              </w:rPr>
              <w:t>Market surveillance</w:t>
            </w:r>
          </w:p>
        </w:tc>
        <w:tc>
          <w:tcPr>
            <w:tcW w:type="dxa" w:w="1728"/>
          </w:tcPr>
          <w:p>
            <w:pPr/>
            <w:r>
              <w:rPr>
                <w:sz w:val="18"/>
              </w:rPr>
              <w:t>KRX (account-based)</w:t>
            </w:r>
          </w:p>
        </w:tc>
        <w:tc>
          <w:tcPr>
            <w:tcW w:type="dxa" w:w="1728"/>
          </w:tcPr>
          <w:p>
            <w:pPr/>
            <w:r>
              <w:rPr>
                <w:sz w:val="18"/>
              </w:rPr>
              <w:t>JPX-R</w:t>
            </w:r>
          </w:p>
        </w:tc>
        <w:tc>
          <w:tcPr>
            <w:tcW w:type="dxa" w:w="1728"/>
          </w:tcPr>
          <w:p>
            <w:pPr/>
            <w:r>
              <w:rPr>
                <w:sz w:val="18"/>
              </w:rPr>
              <w:t>HKEX + SFC</w:t>
            </w:r>
          </w:p>
        </w:tc>
        <w:tc>
          <w:tcPr>
            <w:tcW w:type="dxa" w:w="1728"/>
          </w:tcPr>
          <w:p>
            <w:pPr/>
            <w:r>
              <w:rPr>
                <w:sz w:val="18"/>
              </w:rPr>
              <w:t>SGX RegCo + MAS</w:t>
            </w:r>
          </w:p>
        </w:tc>
      </w:tr>
      <w:tr>
        <w:tc>
          <w:tcPr>
            <w:tcW w:type="dxa" w:w="1728"/>
          </w:tcPr>
          <w:p>
            <w:pPr/>
            <w:r>
              <w:rPr>
                <w:sz w:val="18"/>
              </w:rPr>
              <w:t>OTC clearing development</w:t>
            </w:r>
          </w:p>
        </w:tc>
        <w:tc>
          <w:tcPr>
            <w:tcW w:type="dxa" w:w="1728"/>
          </w:tcPr>
          <w:p>
            <w:pPr/>
            <w:r>
              <w:rPr>
                <w:sz w:val="18"/>
              </w:rPr>
              <w:t>Limited</w:t>
            </w:r>
          </w:p>
        </w:tc>
        <w:tc>
          <w:tcPr>
            <w:tcW w:type="dxa" w:w="1728"/>
          </w:tcPr>
          <w:p>
            <w:pPr/>
            <w:r>
              <w:rPr>
                <w:sz w:val="18"/>
              </w:rPr>
              <w:t>Established (IRS, CDS)</w:t>
            </w:r>
          </w:p>
        </w:tc>
        <w:tc>
          <w:tcPr>
            <w:tcW w:type="dxa" w:w="1728"/>
          </w:tcPr>
          <w:p>
            <w:pPr/>
            <w:r>
              <w:rPr>
                <w:sz w:val="18"/>
              </w:rPr>
              <w:t>Established (IRS, NDF, CCS)</w:t>
            </w:r>
          </w:p>
        </w:tc>
        <w:tc>
          <w:tcPr>
            <w:tcW w:type="dxa" w:w="1728"/>
          </w:tcPr>
          <w:p>
            <w:pPr/>
            <w:r>
              <w:rPr>
                <w:sz w:val="18"/>
              </w:rPr>
              <w:t>Established (IRS, FX)</w:t>
            </w:r>
          </w:p>
        </w:tc>
      </w:tr>
    </w:tbl>
    <w:p/>
    <w:p>
      <w:r>
        <w:t>────────────────────────────────────────────────────────────</w:t>
      </w:r>
    </w:p>
    <w:p>
      <w:pPr>
        <w:pStyle w:val="Heading2"/>
      </w:pPr>
      <w:r>
        <w:t>5. Summary &amp; Outlook</w:t>
      </w:r>
    </w:p>
    <w:p>
      <w:pPr>
        <w:pStyle w:val="Heading3"/>
      </w:pPr>
      <w:r>
        <w:t>5.1 Convergence Trends</w:t>
      </w:r>
    </w:p>
    <w:p>
      <w:r>
        <w:t>All four jurisdictions are converging on several fronts:</w:t>
      </w:r>
    </w:p>
    <w:p>
      <w:pPr>
        <w:pStyle w:val="ListNumber"/>
      </w:pPr>
      <w:r>
        <w:t>Trade reporting harmonization: All adopted CPMI-IOSCO CDE, UTI, and UPI standards during 2024-2025.</w:t>
      </w:r>
    </w:p>
    <w:p>
      <w:pPr>
        <w:pStyle w:val="ListNumber"/>
      </w:pPr>
      <w:r>
        <w:t>OTC clearing mandates: All have mandatory IRS clearing, though scope and thresholds vary.</w:t>
      </w:r>
    </w:p>
    <w:p>
      <w:pPr>
        <w:pStyle w:val="ListNumber"/>
      </w:pPr>
      <w:r>
        <w:t>IOSCO participation: All are full MMOU and APRC Supervisory MMoU signatories.</w:t>
      </w:r>
    </w:p>
    <w:p>
      <w:pPr>
        <w:pStyle w:val="ListNumber"/>
      </w:pPr>
      <w:r>
        <w:t>Cross-border CCP recognition: Mutual recognition frameworks are well-established with major Western counterparts (CFTC, ESMA).</w:t>
      </w:r>
    </w:p>
    <w:p>
      <w:pPr>
        <w:pStyle w:val="Heading3"/>
      </w:pPr>
      <w:r>
        <w:t>5.2 Divergence Points</w:t>
      </w:r>
    </w:p>
    <w:p>
      <w:pPr>
        <w:pStyle w:val="ListNumber"/>
      </w:pPr>
      <w:r>
        <w:t>Regulatory architecture: Ranges from fully integrated (Singapore/MAS) to split-function (Korea/FSC+FSS) to split-by-entity (Hong Kong/SFC+HKMA).</w:t>
      </w:r>
    </w:p>
    <w:p>
      <w:pPr>
        <w:pStyle w:val="ListNumber"/>
      </w:pPr>
      <w:r>
        <w:t>Position limit authority: Statutory (Hong Kong) vs. exchange-level (Japan, Singapore, Korea).</w:t>
      </w:r>
    </w:p>
    <w:p>
      <w:pPr>
        <w:pStyle w:val="ListNumber"/>
      </w:pPr>
      <w:r>
        <w:t>Foreign investor access: Korea's IRC system remains more restrictive than the other three.</w:t>
      </w:r>
    </w:p>
    <w:p>
      <w:pPr>
        <w:pStyle w:val="ListNumber"/>
      </w:pPr>
      <w:r>
        <w:t>Exchange structure: KRX's monopoly quasi-public model differs from the publicly listed exchange groups in the other three jurisdictions.</w:t>
      </w:r>
    </w:p>
    <w:p>
      <w:pPr>
        <w:pStyle w:val="Heading3"/>
      </w:pPr>
      <w:r>
        <w:t>5.3 Key Watchpoints (2026-2027)</w:t>
      </w:r>
    </w:p>
    <w:p>
      <w:pPr>
        <w:pStyle w:val="ListBullet"/>
      </w:pPr>
      <w:r>
        <w:t>Japan: FIEA 2024 amendments taking effect May 2026; continued TONA futures market development</w:t>
      </w:r>
    </w:p>
    <w:p>
      <w:pPr>
        <w:pStyle w:val="ListBullet"/>
      </w:pPr>
      <w:r>
        <w:t>Hong Kong: Southbound Swap Connect development; Clearing Rules calculation period amendments (proposed effective March 2027); ODP platform rollout</w:t>
      </w:r>
    </w:p>
    <w:p>
      <w:pPr>
        <w:pStyle w:val="ListBullet"/>
      </w:pPr>
      <w:r>
        <w:t>Singapore: Continued expansion of FX futures product suite; potential updates to mandatory clearing thresholds</w:t>
      </w:r>
    </w:p>
    <w:p>
      <w:pPr>
        <w:pStyle w:val="ListBullet"/>
      </w:pPr>
      <w:r>
        <w:t>Korea: Potential KRX IPO implications for regulatory structure; ongoing derivatives market reforms; foreign investor access modernization</w:t>
      </w:r>
    </w:p>
    <w:p>
      <w:r>
        <w:t>────────────────────────────────────────────────────────────</w:t>
      </w:r>
    </w:p>
    <w:p>
      <w:pPr>
        <w:pStyle w:val="Heading2"/>
      </w:pPr>
      <w:r>
        <w:t>Sources</w:t>
      </w:r>
    </w:p>
    <w:p>
      <w:pPr>
        <w:pStyle w:val="ListBullet"/>
      </w:pPr>
      <w:r>
        <w:t>[Chambers — Derivatives 2025: Japan](https://practiceguides.chambers.com/practice-guides/derivatives-2025/japan)</w:t>
      </w:r>
    </w:p>
    <w:p>
      <w:pPr>
        <w:pStyle w:val="ListBullet"/>
      </w:pPr>
      <w:r>
        <w:t>[ICLG — Derivatives 2025-2026: Japan](https://iclg.com/practice-areas/derivatives-laws-and-regulations/japan)</w:t>
      </w:r>
    </w:p>
    <w:p>
      <w:pPr>
        <w:pStyle w:val="ListBullet"/>
      </w:pPr>
      <w:r>
        <w:t>[ICLG — Derivatives 2025-2026: Hong Kong](https://iclg.com/practice-areas/derivatives-laws-and-regulations/hong-kong)</w:t>
      </w:r>
    </w:p>
    <w:p>
      <w:pPr>
        <w:pStyle w:val="ListBullet"/>
      </w:pPr>
      <w:r>
        <w:t>[Chambers — Financial Services Regulation 2025: South Korea](https://practiceguides.chambers.com/practice-guides/financial-services-regulation-2025/south-korea)</w:t>
      </w:r>
    </w:p>
    <w:p>
      <w:pPr>
        <w:pStyle w:val="ListBullet"/>
      </w:pPr>
      <w:r>
        <w:t>[JSCC — OTC Derivatives Clearing](https://www.jpx.co.jp/jscc/en/otc/index.html)</w:t>
      </w:r>
    </w:p>
    <w:p>
      <w:pPr>
        <w:pStyle w:val="ListBullet"/>
      </w:pPr>
      <w:r>
        <w:t>[SFC — OTC Derivatives Regime](https://www.sfc.hk/en/faqs/OTC-derivatives)</w:t>
      </w:r>
    </w:p>
    <w:p>
      <w:pPr>
        <w:pStyle w:val="ListBullet"/>
      </w:pPr>
      <w:r>
        <w:t>[MAS — Securities and Futures Act](https://www.mas.gov.sg/regulation/acts/securities-and-futures-act)</w:t>
      </w:r>
    </w:p>
    <w:p>
      <w:pPr>
        <w:pStyle w:val="ListBullet"/>
      </w:pPr>
      <w:r>
        <w:t>[HKMA — Clearing Rules Consultation (Jan 2026)](https://www.hkma.gov.hk/eng/news-and-media/press-releases/2026/01/20260129-4/)</w:t>
      </w:r>
    </w:p>
    <w:p>
      <w:pPr>
        <w:pStyle w:val="ListBullet"/>
      </w:pPr>
      <w:r>
        <w:t>[SFC — Position Limit Increases (Jun 2025)](https://apps.sfc.hk/edistributionWeb/gateway/EN/news-and-announcements/news/doc?refNo=25PR100)</w:t>
      </w:r>
    </w:p>
    <w:p>
      <w:pPr>
        <w:pStyle w:val="ListBullet"/>
      </w:pPr>
      <w:r>
        <w:t>[CFTC — JSCC Letter No. 25-32 (Sep 2025)](https://www.cftc.gov/csl/25-32/download)</w:t>
      </w:r>
    </w:p>
    <w:p>
      <w:pPr>
        <w:pStyle w:val="ListBullet"/>
      </w:pPr>
      <w:r>
        <w:t>[JPX — TONA Futures Records](https://www.jpx.co.jp/english/corporate/news/news-releases/2041/20250314-01.html)</w:t>
      </w:r>
    </w:p>
    <w:p>
      <w:pPr>
        <w:pStyle w:val="ListBullet"/>
      </w:pPr>
      <w:r>
        <w:t>[HKEX — Swap Connect 30-Year Launch (Jun 2025)](https://www.hkex.com.hk/News/News-Release/2025/250630news?sc_lang=en)</w:t>
      </w:r>
    </w:p>
    <w:p>
      <w:pPr>
        <w:pStyle w:val="ListBullet"/>
      </w:pPr>
      <w:r>
        <w:t>[SGX — GIFT Connect](https://www.sgx.com/derivatives/products/gift-connect)</w:t>
      </w:r>
    </w:p>
    <w:p>
      <w:pPr>
        <w:pStyle w:val="ListBullet"/>
      </w:pPr>
      <w:r>
        <w:t>[MAS — OTC Derivatives Reporting Guidelines](https://www.mas.gov.sg/regulation/guidelines/guidelines-on-reporting-of-otc-derivatives-contracts-sfa-06a-g01)</w:t>
      </w:r>
    </w:p>
    <w:p>
      <w:pPr>
        <w:pStyle w:val="ListBullet"/>
      </w:pPr>
      <w:r>
        <w:t>[Rajah &amp; Tann — MAS OTC Reporting Changes (Oct 2024)](https://www.rajahtannasia.com/viewpoints/changes-to-the-otc-derivatives-reporting-regime-commencing-on-21-october-2024/)</w:t>
      </w:r>
    </w:p>
    <w:p>
      <w:pPr>
        <w:pStyle w:val="ListBullet"/>
      </w:pPr>
      <w:r>
        <w:t>[JFSA — APRC Supervisory MMoU](https://www.fsa.go.jp/en/news/2022/20221111-3/20221111-3.html)</w:t>
      </w:r>
    </w:p>
    <w:p>
      <w:pPr>
        <w:pStyle w:val="ListBullet"/>
      </w:pPr>
      <w:r>
        <w:t>[FSC Korea — Press Releases](https://www.fsc.go.kr/eng/pr010101)</w:t>
      </w:r>
    </w:p>
    <w:p>
      <w:pPr>
        <w:pStyle w:val="ListBullet"/>
      </w:pPr>
      <w:r>
        <w:t>[FIA — JPX Extended Hours](https://www.fia.org/marketvoice/articles/market-never-sleeps-success-extended-trading-hours-jpx)</w:t>
      </w:r>
    </w:p>
    <w:p>
      <w:pPr>
        <w:pStyle w:val="ListBullet"/>
      </w:pPr>
      <w:r>
        <w:t>[KRX — KOSPI 200 Options Expansion (Mar 2026)](https://en.sedaily.com/news/2026/03/11/krx-expands-kospi-200-options-strike-prices-to-ease-trading)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