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 Derivatives Regulation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**Domain:** Derivatives -- Regulatory Framework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Regulatory Authorities</w:t>
      </w:r>
    </w:p>
    <w:p>
      <w:pPr>
        <w:pStyle w:val="Heading3"/>
      </w:pPr>
      <w:r>
        <w:t>1.1 European Commission</w:t>
      </w:r>
    </w:p>
    <w:p>
      <w:pPr>
        <w:pStyle w:val="ListBullet"/>
      </w:pPr>
      <w:r>
        <w:t>Initiates and proposes legislative measures for derivatives markets (e.g., EMIR, MiFID II/MiFIR)</w:t>
      </w:r>
    </w:p>
    <w:p>
      <w:pPr>
        <w:pStyle w:val="ListBullet"/>
      </w:pPr>
      <w:r>
        <w:t>Adopts delegated and implementing acts (Regulatory Technical Standards, Implementing Technical Standards) based on ESMA drafts</w:t>
      </w:r>
    </w:p>
    <w:p>
      <w:pPr>
        <w:pStyle w:val="ListBullet"/>
      </w:pPr>
      <w:r>
        <w:t>Issues equivalence decisions for third-country regulatory regimes</w:t>
      </w:r>
    </w:p>
    <w:p>
      <w:pPr>
        <w:pStyle w:val="ListBullet"/>
      </w:pPr>
      <w:r>
        <w:t>Responsible for legislative reviews and impact assessments (e.g., EMIR review proposals)</w:t>
      </w:r>
    </w:p>
    <w:p>
      <w:pPr>
        <w:pStyle w:val="Heading3"/>
      </w:pPr>
      <w:r>
        <w:t>1.2 ESMA (European Securities and Markets Authority)</w:t>
      </w:r>
    </w:p>
    <w:p>
      <w:pPr>
        <w:pStyle w:val="ListBullet"/>
      </w:pPr>
      <w:r>
        <w:t>Supervisory coordination: coordinates NCAs' supervision of derivatives markets across the EU</w:t>
      </w:r>
    </w:p>
    <w:p>
      <w:pPr>
        <w:pStyle w:val="ListBullet"/>
      </w:pPr>
      <w:r>
        <w:t>Direct CCP supervision: directly supervises Tier 2 third-country CCPs under EMIR 2.2 and EMIR 3.0; monitors risk models, liquidity, and operational risk</w:t>
      </w:r>
    </w:p>
    <w:p>
      <w:pPr>
        <w:pStyle w:val="ListBullet"/>
      </w:pPr>
      <w:r>
        <w:t>Technical standards: drafts RTS and ITS for Commission adoption (clearing obligation, reporting formats, CCP requirements)</w:t>
      </w:r>
    </w:p>
    <w:p>
      <w:pPr>
        <w:pStyle w:val="ListBullet"/>
      </w:pPr>
      <w:r>
        <w:t>Third-country CCP recognition: determines tiering (Tier 1 vs Tier 2) and grants or refuses recognition</w:t>
      </w:r>
    </w:p>
    <w:p>
      <w:pPr>
        <w:pStyle w:val="ListBullet"/>
      </w:pPr>
      <w:r>
        <w:t>Data and transparency: oversees trade repositories, consolidated tape provider selection, and data quality</w:t>
      </w:r>
    </w:p>
    <w:p>
      <w:pPr>
        <w:pStyle w:val="ListBullet"/>
      </w:pPr>
      <w:r>
        <w:t>Position limits: establishes the commodity derivatives position limit framework under MiFID II</w:t>
      </w:r>
    </w:p>
    <w:p>
      <w:pPr>
        <w:pStyle w:val="ListBullet"/>
      </w:pPr>
      <w:r>
        <w:t>Established: 2011, headquartered in Paris</w:t>
      </w:r>
    </w:p>
    <w:p>
      <w:pPr>
        <w:pStyle w:val="Heading3"/>
      </w:pPr>
      <w:r>
        <w:t>1.3 National Competent Authorities (NCAs)</w:t>
      </w:r>
    </w:p>
    <w:p>
      <w:r>
        <w:t>Key NCAs include: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NCA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Country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Role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**BaFin**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Germany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Supervision of Eurex participants, German banks' derivatives exposure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**AMF** (Autorite des Marches Financiers)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Oversight of Euronext derivatives, French market participants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**CONSOB**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Italy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Italian derivatives market supervision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**CNMV**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Spanish derivatives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**AFM**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Netherlands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Dutch derivatives market oversight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**DNB** (De Nederlandsche Bank)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Netherlands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Prudential supervision of Dutch CCPs</w:t>
            </w:r>
          </w:p>
        </w:tc>
      </w:tr>
    </w:tbl>
    <w:p/>
    <w:p>
      <w:pPr>
        <w:pStyle w:val="ListBullet"/>
      </w:pPr>
      <w:r>
        <w:t>NCAs authorize EU CCPs under EMIR, supported by colleges of supervisors</w:t>
      </w:r>
    </w:p>
    <w:p>
      <w:pPr>
        <w:pStyle w:val="ListBullet"/>
      </w:pPr>
      <w:r>
        <w:t>NCAs set and enforce position limits for commodity derivatives under MiFID II (except for critical/significant contracts where ESMA has a direct role)</w:t>
      </w:r>
    </w:p>
    <w:p>
      <w:pPr>
        <w:pStyle w:val="ListBullet"/>
      </w:pPr>
      <w:r>
        <w:t>NCAs enforce MAR provisions including derivatives-related market abuse</w:t>
      </w:r>
    </w:p>
    <w:p>
      <w:pPr>
        <w:pStyle w:val="Heading3"/>
      </w:pPr>
      <w:r>
        <w:t>1.4 ECB / ESCB (European Central Bank / European System of Central Banks)</w:t>
      </w:r>
    </w:p>
    <w:p>
      <w:pPr>
        <w:pStyle w:val="ListBullet"/>
      </w:pPr>
      <w:r>
        <w:t>Systemic risk monitoring for CCPs and derivatives markets</w:t>
      </w:r>
    </w:p>
    <w:p>
      <w:pPr>
        <w:pStyle w:val="ListBullet"/>
      </w:pPr>
      <w:r>
        <w:t>Participates in CCP supervisory colleges (particularly for euro-denominated clearing)</w:t>
      </w:r>
    </w:p>
    <w:p>
      <w:pPr>
        <w:pStyle w:val="ListBullet"/>
      </w:pPr>
      <w:r>
        <w:t>Provides central bank of issue opinions on CCP authorization and recognition</w:t>
      </w:r>
    </w:p>
    <w:p>
      <w:pPr>
        <w:pStyle w:val="ListBullet"/>
      </w:pPr>
      <w:r>
        <w:t>EMIR 3.0 enhances ECB involvement in third-country CCP oversight for euro-denominated products</w:t>
      </w:r>
    </w:p>
    <w:p>
      <w:pPr>
        <w:pStyle w:val="Heading3"/>
      </w:pPr>
      <w:r>
        <w:t>1.5 ESRB (European Systemic Risk Board)</w:t>
      </w:r>
    </w:p>
    <w:p>
      <w:pPr>
        <w:pStyle w:val="ListBullet"/>
      </w:pPr>
      <w:r>
        <w:t>Macro-prudential oversight of EU derivatives markets</w:t>
      </w:r>
    </w:p>
    <w:p>
      <w:pPr>
        <w:pStyle w:val="ListBullet"/>
      </w:pPr>
      <w:r>
        <w:t>Issues warnings and recommendations on systemic risks arising from derivatives exposures</w:t>
      </w:r>
    </w:p>
    <w:p>
      <w:pPr>
        <w:pStyle w:val="ListBullet"/>
      </w:pPr>
      <w:r>
        <w:t>Coordinates with ESMA on CCP stress testing and systemic risk assessment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Key Legislation</w:t>
      </w:r>
    </w:p>
    <w:p>
      <w:pPr>
        <w:pStyle w:val="Heading3"/>
      </w:pPr>
      <w:r>
        <w:t>2.1 EMIR (European Market Infrastructure Regulation)</w:t>
      </w:r>
    </w:p>
    <w:p>
      <w:pPr>
        <w:pStyle w:val="Heading4"/>
      </w:pPr>
      <w:r>
        <w:t>2.1.1 Original EMIR -- Regulation (EU) No 648/2012</w:t>
      </w:r>
    </w:p>
    <w:p>
      <w:pPr>
        <w:pStyle w:val="ListBullet"/>
      </w:pPr>
      <w:r>
        <w:t>Adopted: 4 July 2012; In force: 16 August 2012</w:t>
      </w:r>
    </w:p>
    <w:p>
      <w:pPr>
        <w:pStyle w:val="ListBullet"/>
      </w:pPr>
      <w:r>
        <w:t>Core pillars:</w:t>
      </w:r>
    </w:p>
    <w:p>
      <w:pPr>
        <w:pStyle w:val="ListBullet"/>
      </w:pPr>
      <w:r>
        <w:t>Clearing obligation: mandatory central clearing for standardized OTC derivatives through authorized or recognized CCPs</w:t>
      </w:r>
    </w:p>
    <w:p>
      <w:pPr>
        <w:pStyle w:val="ListBullet"/>
      </w:pPr>
      <w:r>
        <w:t>Trade reporting: all derivative contracts (OTC and exchange-traded) reported to authorized trade repositories</w:t>
      </w:r>
    </w:p>
    <w:p>
      <w:pPr>
        <w:pStyle w:val="ListBullet"/>
      </w:pPr>
      <w:r>
        <w:t>Risk mitigation for non-cleared OTC derivatives: timely confirmation, portfolio reconciliation and compression, dispute resolution, daily mark-to-market/mark-to-model valuation, exchange of collateral (bilateral margining)</w:t>
      </w:r>
    </w:p>
    <w:p>
      <w:pPr>
        <w:pStyle w:val="ListBullet"/>
      </w:pPr>
      <w:r>
        <w:t>CCP authorization: comprehensive requirements for EU CCP authorization including capital, governance, risk management, default procedures</w:t>
      </w:r>
    </w:p>
    <w:p>
      <w:pPr>
        <w:pStyle w:val="ListBullet"/>
      </w:pPr>
      <w:r>
        <w:t>Counterparty classification:</w:t>
      </w:r>
    </w:p>
    <w:p>
      <w:pPr>
        <w:pStyle w:val="ListBullet"/>
      </w:pPr>
      <w:r>
        <w:t>Financial Counterparties (FC): banks, investment firms, insurers, UCITS, AIFs, pension funds, CCPs</w:t>
      </w:r>
    </w:p>
    <w:p>
      <w:pPr>
        <w:pStyle w:val="ListBullet"/>
      </w:pPr>
      <w:r>
        <w:t>Non-Financial Counterparties (NFC): any undertaking established in the EU not qualifying as FC</w:t>
      </w:r>
    </w:p>
    <w:p>
      <w:pPr>
        <w:pStyle w:val="ListBullet"/>
      </w:pPr>
      <w:r>
        <w:t>NFC+: NFCs exceeding clearing thresholds; NFC-: NFCs below thresholds</w:t>
      </w:r>
    </w:p>
    <w:p>
      <w:pPr>
        <w:pStyle w:val="Heading4"/>
      </w:pPr>
      <w:r>
        <w:t>2.1.2 EMIR 2.2 -- Regulation (EU) 2019/2099</w:t>
      </w:r>
    </w:p>
    <w:p>
      <w:pPr>
        <w:pStyle w:val="ListBullet"/>
      </w:pPr>
      <w:r>
        <w:t>Adopted: 23 October 2019</w:t>
      </w:r>
    </w:p>
    <w:p>
      <w:pPr>
        <w:pStyle w:val="ListBullet"/>
      </w:pPr>
      <w:r>
        <w:t>Enhanced ESMA's direct supervisory powers over third-country CCPs</w:t>
      </w:r>
    </w:p>
    <w:p>
      <w:pPr>
        <w:pStyle w:val="ListBullet"/>
      </w:pPr>
      <w:r>
        <w:t>Introduced the tiering framework for third-country CCPs:</w:t>
      </w:r>
    </w:p>
    <w:p>
      <w:pPr>
        <w:pStyle w:val="ListBullet"/>
      </w:pPr>
      <w:r>
        <w:t>Tier 1: non-systemically important; subject to recognition with ongoing compliance monitoring</w:t>
      </w:r>
    </w:p>
    <w:p>
      <w:pPr>
        <w:pStyle w:val="ListBullet"/>
      </w:pPr>
      <w:r>
        <w:t>Tier 2: systemically important (or likely to become so) for EU financial stability; subject to direct ESMA supervision and compliance with EMIR requirements</w:t>
      </w:r>
    </w:p>
    <w:p>
      <w:pPr>
        <w:pStyle w:val="ListBullet"/>
      </w:pPr>
      <w:r>
        <w:t>Strengthened role of central banks of issue in CCP supervision</w:t>
      </w:r>
    </w:p>
    <w:p>
      <w:pPr>
        <w:pStyle w:val="ListBullet"/>
      </w:pPr>
      <w:r>
        <w:t>Established CCP Supervisory Committee within ESMA</w:t>
      </w:r>
    </w:p>
    <w:p>
      <w:pPr>
        <w:pStyle w:val="Heading4"/>
      </w:pPr>
      <w:r>
        <w:t>2.1.3 EMIR Refit -- Regulation (EU) 2019/834</w:t>
      </w:r>
    </w:p>
    <w:p>
      <w:pPr>
        <w:pStyle w:val="ListBullet"/>
      </w:pPr>
      <w:r>
        <w:t>Published: 28 May 2019; In force: 17 June 2019</w:t>
      </w:r>
    </w:p>
    <w:p>
      <w:pPr>
        <w:pStyle w:val="ListBullet"/>
      </w:pPr>
      <w:r>
        <w:t>Key simplifications:</w:t>
      </w:r>
    </w:p>
    <w:p>
      <w:pPr>
        <w:pStyle w:val="ListBullet"/>
      </w:pPr>
      <w:r>
        <w:t>Eliminated the frontloading requirement for the clearing obligation</w:t>
      </w:r>
    </w:p>
    <w:p>
      <w:pPr>
        <w:pStyle w:val="ListBullet"/>
      </w:pPr>
      <w:r>
        <w:t>Simplified clearing obligation for small financial counterparties (FCs below clearing thresholds exempt from clearing obligation but must still calculate positions)</w:t>
      </w:r>
    </w:p>
    <w:p>
      <w:pPr>
        <w:pStyle w:val="ListBullet"/>
      </w:pPr>
      <w:r>
        <w:t>NFCs need only calculate positions in the asset class exceeding the threshold (not all classes)</w:t>
      </w:r>
    </w:p>
    <w:p>
      <w:pPr>
        <w:pStyle w:val="ListBullet"/>
      </w:pPr>
      <w:r>
        <w:t>Simplified reporting: NFC- reporting delegated to FC counterparty</w:t>
      </w:r>
    </w:p>
    <w:p>
      <w:pPr>
        <w:pStyle w:val="ListBullet"/>
      </w:pPr>
      <w:r>
        <w:t>Suspended clearing obligation for pension scheme arrangements (extended multiple times)</w:t>
      </w:r>
    </w:p>
    <w:p>
      <w:pPr>
        <w:pStyle w:val="ListBullet"/>
      </w:pPr>
      <w:r>
        <w:t>Reporting enhancements (RTS/ITS applicable from 29 April 2024):</w:t>
      </w:r>
    </w:p>
    <w:p>
      <w:pPr>
        <w:pStyle w:val="ListBullet"/>
      </w:pPr>
      <w:r>
        <w:t>Alignment with CPMI-IOSCO global standards for data elements</w:t>
      </w:r>
    </w:p>
    <w:p>
      <w:pPr>
        <w:pStyle w:val="ListBullet"/>
      </w:pPr>
      <w:r>
        <w:t>Introduction of Unique Transaction Identifier (UTI), Unique Product Identifier (UPI), Legal Entity Identifier (LEI)</w:t>
      </w:r>
    </w:p>
    <w:p>
      <w:pPr>
        <w:pStyle w:val="ListBullet"/>
      </w:pPr>
      <w:r>
        <w:t>ISIN required for derivatives traded on regulated markets, MTFs, OTFs, and SIs under MiFIR; UPI for remaining OTC derivatives</w:t>
      </w:r>
    </w:p>
    <w:p>
      <w:pPr>
        <w:pStyle w:val="ListBullet"/>
      </w:pPr>
      <w:r>
        <w:t>Enhanced data quality, validation, and reconciliation at trade repositories</w:t>
      </w:r>
    </w:p>
    <w:p>
      <w:pPr>
        <w:pStyle w:val="Heading4"/>
      </w:pPr>
      <w:r>
        <w:t>2.1.4 EMIR 3.0 -- Regulation (EU) 2024/2987</w:t>
      </w:r>
    </w:p>
    <w:p>
      <w:pPr>
        <w:pStyle w:val="ListBullet"/>
      </w:pPr>
      <w:r>
        <w:t>Adopted: 27 November 2024; Published in OJ: 4 December 2024 (OJ L, 2024/2987)</w:t>
      </w:r>
    </w:p>
    <w:p>
      <w:pPr>
        <w:pStyle w:val="ListBullet"/>
      </w:pPr>
      <w:r>
        <w:t>In force: 24 December 2024</w:t>
      </w:r>
    </w:p>
    <w:p>
      <w:pPr>
        <w:pStyle w:val="ListBullet"/>
      </w:pPr>
      <w:r>
        <w:t>Objective: reduce excessive EU exposures to third-country CCPs, improve efficiency of EU clearing markets</w:t>
      </w:r>
    </w:p>
    <w:p>
      <w:pPr>
        <w:pStyle w:val="ListBullet"/>
      </w:pPr>
      <w:r>
        <w:t>Key provisions:</w:t>
      </w:r>
    </w:p>
    <w:p>
      <w:pPr>
        <w:pStyle w:val="ListBullet"/>
      </w:pPr>
      <w:r>
        <w:t>Active Account Requirement (AAR): EU counterparties must maintain an active clearing account at an EU-authorized CCP for certain derivatives of substantial systemic importance (primarily euro-denominated interest rate derivatives, short-term interest rate derivatives, CDS)</w:t>
      </w:r>
    </w:p>
    <w:p>
      <w:pPr>
        <w:pStyle w:val="ListBullet"/>
      </w:pPr>
      <w:r>
        <w:t>Three operational conditions to ensure accounts are genuinely active and functional, including stress testing</w:t>
      </w:r>
    </w:p>
    <w:p>
      <w:pPr>
        <w:pStyle w:val="ListBullet"/>
      </w:pPr>
      <w:r>
        <w:t>Representativeness obligation for the most active counterparties</w:t>
      </w:r>
    </w:p>
    <w:p>
      <w:pPr>
        <w:pStyle w:val="ListBullet"/>
      </w:pPr>
      <w:r>
        <w:t>Reporting obligations to assess AAR compliance (reporting commenced 25 June 2025)</w:t>
      </w:r>
    </w:p>
    <w:p>
      <w:pPr>
        <w:pStyle w:val="ListBullet"/>
      </w:pPr>
      <w:r>
        <w:t>ESMA required to develop RTS within six months of entry into force</w:t>
      </w:r>
    </w:p>
    <w:p>
      <w:pPr>
        <w:pStyle w:val="ListBullet"/>
      </w:pPr>
      <w:r>
        <w:t>ESMA published final report on AAR in June 2025; consultation on draft RTS on participation requirements in October 2025</w:t>
      </w:r>
    </w:p>
    <w:p>
      <w:pPr>
        <w:pStyle w:val="ListBullet"/>
      </w:pPr>
      <w:r>
        <w:t>Revised clearing thresholds: new methodology focusing on uncleared OTC derivatives activity, ensuring proportionate clearing obligation</w:t>
      </w:r>
    </w:p>
    <w:p>
      <w:pPr>
        <w:pStyle w:val="ListBullet"/>
      </w:pPr>
      <w:r>
        <w:t>Enhanced intragroup exemptions framework: permanent regime replacing temporary extensions</w:t>
      </w:r>
    </w:p>
    <w:p>
      <w:pPr>
        <w:pStyle w:val="ListBullet"/>
      </w:pPr>
      <w:r>
        <w:t>Amendments to CRR (Regulation 575/2013) and MMFR (Regulation 2017/1131) to incentivize EU clearing</w:t>
      </w:r>
    </w:p>
    <w:p>
      <w:pPr>
        <w:pStyle w:val="Heading4"/>
      </w:pPr>
      <w:r>
        <w:t>2.1.5 Clearing Obligation Categories</w:t>
      </w:r>
    </w:p>
    <w:p>
      <w:r>
        <w:t>Classes of OTC derivatives subject to mandatory clearing: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Delegated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**Interest Rate Derivatives (IRS)**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Fixed-to-float IRS, basis swaps, FRAs, OIS in EUR, GBP, USD, JPY, NOK, PLN, SEK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(EU) 2015/2205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**Credit Derivatives (CDS)**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Untranched European index CDS (iTraxx Europe Main, iTraxx Europe Crossover)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(EU) 2016/592</w:t>
            </w:r>
          </w:p>
        </w:tc>
      </w:tr>
    </w:tbl>
    <w:p/>
    <w:p>
      <w:pPr>
        <w:pStyle w:val="Heading4"/>
      </w:pPr>
      <w:r>
        <w:t>2.1.6 Clearing Thresholds (Pre-EMIR 3.0 Review)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Derivative 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NFC 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FC Threshold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Credit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 billion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aggregate calculation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Equity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 billion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aggregate calculation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Interest rate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3 billion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aggregate calculation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FX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3 billion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aggregate calculation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Commodity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4 billion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aggregate calculation</w:t>
            </w:r>
          </w:p>
        </w:tc>
      </w:tr>
    </w:tbl>
    <w:p/>
    <w:p>
      <w:pPr>
        <w:pStyle w:val="ListBullet"/>
      </w:pPr>
      <w:r>
        <w:t>Under EMIR 3.0, ESMA consulted on revised clearing thresholds (April 2025) with a final report published in February 2026, introducing a dual-threshold approach assessing both uncleared positions and aggregate OTC exposure for FCs</w:t>
      </w:r>
    </w:p>
    <w:p>
      <w:pPr>
        <w:pStyle w:val="Heading3"/>
      </w:pPr>
      <w:r>
        <w:t>2.2 MiFID II / MiFIR (Derivatives Provisions)</w:t>
      </w:r>
    </w:p>
    <w:p>
      <w:pPr>
        <w:pStyle w:val="Heading4"/>
      </w:pPr>
      <w:r>
        <w:t>2.2.1 MiFID II -- Directive 2014/65/EU</w:t>
      </w:r>
    </w:p>
    <w:p>
      <w:pPr>
        <w:pStyle w:val="ListBullet"/>
      </w:pPr>
      <w:r>
        <w:t>In force: 3 January 2018</w:t>
      </w:r>
    </w:p>
    <w:p>
      <w:pPr>
        <w:pStyle w:val="ListBullet"/>
      </w:pPr>
      <w:r>
        <w:t>Derivatives-specific provisions:</w:t>
      </w:r>
    </w:p>
    <w:p>
      <w:pPr>
        <w:pStyle w:val="ListBullet"/>
      </w:pPr>
      <w:r>
        <w:t>Organized Trading Facilities (OTFs): new venue category specifically for non-equity instruments including derivatives; operator discretion in execution</w:t>
      </w:r>
    </w:p>
    <w:p>
      <w:pPr>
        <w:pStyle w:val="ListBullet"/>
      </w:pPr>
      <w:r>
        <w:t>Position limits for commodity derivatives (Article 57): NCAs must establish limits on the net position a person can hold in commodity derivatives traded on trading venues and economically equivalent OTC (EEOTC) contracts</w:t>
      </w:r>
    </w:p>
    <w:p>
      <w:pPr>
        <w:pStyle w:val="ListBullet"/>
        <w:ind w:left="720"/>
      </w:pPr>
      <w:r>
        <w:t>Critical/significant contracts: net open interest above 300,000 lots over one year</w:t>
      </w:r>
    </w:p>
    <w:p>
      <w:pPr>
        <w:pStyle w:val="ListBullet"/>
        <w:ind w:left="720"/>
      </w:pPr>
      <w:r>
        <w:t>ESMA coordinates and can intervene on NCA-set limits</w:t>
      </w:r>
    </w:p>
    <w:p>
      <w:pPr>
        <w:pStyle w:val="ListBullet"/>
      </w:pPr>
      <w:r>
        <w:t>Position management controls: trading venues must apply position management controls</w:t>
      </w:r>
    </w:p>
    <w:p>
      <w:pPr>
        <w:pStyle w:val="ListBullet"/>
      </w:pPr>
      <w:r>
        <w:t>Position reporting: trading venues must publish weekly aggregate position reports by participant category</w:t>
      </w:r>
    </w:p>
    <w:p>
      <w:pPr>
        <w:pStyle w:val="ListBullet"/>
      </w:pPr>
      <w:r>
        <w:t>Hedging exemptions: NCAs can grant exemptions from position limits for bona fide hedging activities</w:t>
      </w:r>
    </w:p>
    <w:p>
      <w:pPr>
        <w:pStyle w:val="ListBullet"/>
      </w:pPr>
      <w:r>
        <w:t>Ancillary activity exemption: non-financial entities dealing in commodity derivatives as ancillary to their main business may be exempt from MiFID II authorization (revised methodology under MiFID II review)</w:t>
      </w:r>
    </w:p>
    <w:p>
      <w:pPr>
        <w:pStyle w:val="ListBullet"/>
      </w:pPr>
      <w:r>
        <w:t>MiFID II Review: transposition deadline for all changes: 29 September 2025</w:t>
      </w:r>
    </w:p>
    <w:p>
      <w:pPr>
        <w:pStyle w:val="ListBullet"/>
      </w:pPr>
      <w:r>
        <w:t>December 2024: ESMA proposed extending position monitoring and accountability levels to emission allowance derivatives</w:t>
      </w:r>
    </w:p>
    <w:p>
      <w:pPr>
        <w:pStyle w:val="Heading4"/>
      </w:pPr>
      <w:r>
        <w:t>2.2.2 MiFIR -- Regulation (EU) No 600/2014</w:t>
      </w:r>
    </w:p>
    <w:p>
      <w:pPr>
        <w:pStyle w:val="ListBullet"/>
      </w:pPr>
      <w:r>
        <w:t>Trading obligation: standardized OTC derivatives subject to the clearing obligation must be traded on regulated markets, MTFs, OTFs, or equivalent third-country venues</w:t>
      </w:r>
    </w:p>
    <w:p>
      <w:pPr>
        <w:pStyle w:val="ListBullet"/>
      </w:pPr>
      <w:r>
        <w:t>Pre-trade transparency: bid/offer prices and depth of trading interest for derivatives on trading venues (with waivers for large-in-scale orders and package orders)</w:t>
      </w:r>
    </w:p>
    <w:p>
      <w:pPr>
        <w:pStyle w:val="ListBullet"/>
      </w:pPr>
      <w:r>
        <w:t>Post-trade transparency: price, volume, and time of transactions in derivatives, with deferred publication regimes for large-in-scale and illiquid instruments</w:t>
      </w:r>
    </w:p>
    <w:p>
      <w:pPr>
        <w:pStyle w:val="ListBullet"/>
      </w:pPr>
      <w:r>
        <w:t>Systematic internalisers: transparency obligations for SIs dealing in derivatives</w:t>
      </w:r>
    </w:p>
    <w:p>
      <w:pPr>
        <w:pStyle w:val="ListBullet"/>
      </w:pPr>
      <w:r>
        <w:t>Transaction reporting: derivatives transactions reported to NCAs under Article 26</w:t>
      </w:r>
    </w:p>
    <w:p>
      <w:pPr>
        <w:pStyle w:val="Heading4"/>
      </w:pPr>
      <w:r>
        <w:t>2.2.3 MiFIR Review -- Regulation (EU) 2024/791</w:t>
      </w:r>
    </w:p>
    <w:p>
      <w:pPr>
        <w:pStyle w:val="ListBullet"/>
      </w:pPr>
      <w:r>
        <w:t>Adopted: 2024; amends Regulation (EU) No 600/2014</w:t>
      </w:r>
    </w:p>
    <w:p>
      <w:pPr>
        <w:pStyle w:val="ListBullet"/>
      </w:pPr>
      <w:r>
        <w:t>Key changes for derivatives:</w:t>
      </w:r>
    </w:p>
    <w:p>
      <w:pPr>
        <w:pStyle w:val="ListBullet"/>
      </w:pPr>
      <w:r>
        <w:t>Consolidated Tape Provider (CTP) for OTC derivatives: ESMA authorized to select, authorize, and supervise CTPs; selection procedure for OTC derivatives CTP launched 5 January 2026 (submission deadline: 11 February 2026)</w:t>
      </w:r>
    </w:p>
    <w:p>
      <w:pPr>
        <w:pStyle w:val="ListBullet"/>
      </w:pPr>
      <w:r>
        <w:t>Revised pre- and post-trade transparency requirements for derivatives: balance between transparency and liquidity provider protection</w:t>
      </w:r>
    </w:p>
    <w:p>
      <w:pPr>
        <w:pStyle w:val="ListBullet"/>
      </w:pPr>
      <w:r>
        <w:t>Static thresholds replacing dynamic calculations for derivatives transparency</w:t>
      </w:r>
    </w:p>
    <w:p>
      <w:pPr>
        <w:pStyle w:val="ListBullet"/>
      </w:pPr>
      <w:r>
        <w:t>Single application date across amended RTS for derivatives</w:t>
      </w:r>
    </w:p>
    <w:p>
      <w:pPr>
        <w:pStyle w:val="ListBullet"/>
      </w:pPr>
      <w:r>
        <w:t>Removal of derivatives transparency reporting to ESMA (simplification)</w:t>
      </w:r>
    </w:p>
    <w:p>
      <w:pPr>
        <w:pStyle w:val="ListBullet"/>
      </w:pPr>
      <w:r>
        <w:t>ESMA submitted final report on derivatives transparency and CTP input/output to Commission on 11 December 2025</w:t>
      </w:r>
    </w:p>
    <w:p>
      <w:pPr>
        <w:pStyle w:val="ListBullet"/>
      </w:pPr>
      <w:r>
        <w:t>Payment for Order Flow (PFOF): prohibition, with transitional period</w:t>
      </w:r>
    </w:p>
    <w:p>
      <w:pPr>
        <w:pStyle w:val="ListBullet"/>
      </w:pPr>
      <w:r>
        <w:t>Enhanced data quality requirements</w:t>
      </w:r>
    </w:p>
    <w:p>
      <w:pPr>
        <w:pStyle w:val="Heading3"/>
      </w:pPr>
      <w:r>
        <w:t>2.3 Other Relevant Regulations</w:t>
      </w:r>
    </w:p>
    <w:p>
      <w:pPr>
        <w:pStyle w:val="Heading4"/>
      </w:pPr>
      <w:r>
        <w:t>2.3.1 MAR -- Market Abuse Regulation (EU) No 596/2014</w:t>
      </w:r>
    </w:p>
    <w:p>
      <w:pPr>
        <w:pStyle w:val="ListBullet"/>
      </w:pPr>
      <w:r>
        <w:t>Extends market abuse framework to derivatives: insider dealing and market manipulation provisions apply to derivatives whose underlying is a financial instrument admitted to trading</w:t>
      </w:r>
    </w:p>
    <w:p>
      <w:pPr>
        <w:pStyle w:val="ListBullet"/>
      </w:pPr>
      <w:r>
        <w:t>Explicitly bans benchmark manipulation (post-LIBOR scandal reforms)</w:t>
      </w:r>
    </w:p>
    <w:p>
      <w:pPr>
        <w:pStyle w:val="ListBullet"/>
      </w:pPr>
      <w:r>
        <w:t>Applies to commodity derivatives and related spot commodity contracts</w:t>
      </w:r>
    </w:p>
    <w:p>
      <w:pPr>
        <w:pStyle w:val="ListBullet"/>
      </w:pPr>
      <w:r>
        <w:t>Cross-market surveillance obligations: trading venues must monitor for abuse across related derivatives and underlying markets</w:t>
      </w:r>
    </w:p>
    <w:p>
      <w:pPr>
        <w:pStyle w:val="ListBullet"/>
      </w:pPr>
      <w:r>
        <w:t>Reinforced investigative and sanctioning powers for NCAs</w:t>
      </w:r>
    </w:p>
    <w:p>
      <w:pPr>
        <w:pStyle w:val="Heading4"/>
      </w:pPr>
      <w:r>
        <w:t>2.3.2 CRR / CRD (Capital Requirements)</w:t>
      </w:r>
    </w:p>
    <w:p>
      <w:pPr>
        <w:pStyle w:val="ListBullet"/>
      </w:pPr>
      <w:r>
        <w:t>CRR -- Regulation (EU) No 575/2013 (as amended by CRR II/III):</w:t>
      </w:r>
    </w:p>
    <w:p>
      <w:pPr>
        <w:pStyle w:val="ListBullet"/>
      </w:pPr>
      <w:r>
        <w:t>Counterparty credit risk framework for derivatives: SA-CCR (Standardised Approach for Counterparty Credit Risk) mandatory from June 2021</w:t>
      </w:r>
    </w:p>
    <w:p>
      <w:pPr>
        <w:pStyle w:val="ListBullet"/>
      </w:pPr>
      <w:r>
        <w:t>Credit Valuation Adjustment (CVA) risk capital charge</w:t>
      </w:r>
    </w:p>
    <w:p>
      <w:pPr>
        <w:pStyle w:val="ListBullet"/>
      </w:pPr>
      <w:r>
        <w:t>Favorable capital treatment for centrally cleared derivatives (lower risk weights for CCP exposures)</w:t>
      </w:r>
    </w:p>
    <w:p>
      <w:pPr>
        <w:pStyle w:val="ListBullet"/>
      </w:pPr>
      <w:r>
        <w:t>EMIR 3.0 amendments to CRR incentivize EU clearing through adjusted capital requirements</w:t>
      </w:r>
    </w:p>
    <w:p>
      <w:pPr>
        <w:pStyle w:val="ListBullet"/>
      </w:pPr>
      <w:r>
        <w:t>CRD -- Directive 2013/36/EU: governance and internal control requirements applicable to banks' derivatives activities</w:t>
      </w:r>
    </w:p>
    <w:p>
      <w:pPr>
        <w:pStyle w:val="Heading4"/>
      </w:pPr>
      <w:r>
        <w:t>2.3.3 SFTR -- Securities Financing Transactions Regulation (EU) 2015/2365</w:t>
      </w:r>
    </w:p>
    <w:p>
      <w:pPr>
        <w:pStyle w:val="ListBullet"/>
      </w:pPr>
      <w:r>
        <w:t>Reporting obligation for securities financing transactions (repos, securities lending, margin lending) to trade repositories</w:t>
      </w:r>
    </w:p>
    <w:p>
      <w:pPr>
        <w:pStyle w:val="ListBullet"/>
      </w:pPr>
      <w:r>
        <w:t>Transparency of re-hypothecation/reuse of collateral received under derivatives transactions</w:t>
      </w:r>
    </w:p>
    <w:p>
      <w:pPr>
        <w:pStyle w:val="ListBullet"/>
      </w:pPr>
      <w:r>
        <w:t>Overlaps with EMIR reporting for certain collateral-related transactions</w:t>
      </w:r>
    </w:p>
    <w:p>
      <w:pPr>
        <w:pStyle w:val="ListBullet"/>
      </w:pPr>
      <w:r>
        <w:t>Trade repository infrastructure shared with EMIR</w:t>
      </w:r>
    </w:p>
    <w:p>
      <w:pPr>
        <w:pStyle w:val="Heading4"/>
      </w:pPr>
      <w:r>
        <w:t>2.3.4 BMR -- Benchmarks Regulation (EU) 2016/1011</w:t>
      </w:r>
    </w:p>
    <w:p>
      <w:pPr>
        <w:pStyle w:val="ListBullet"/>
      </w:pPr>
      <w:r>
        <w:t>Regulates benchmark administrators providing reference rates used in derivatives contracts (e.g., EURIBOR, EONIA successor ESTR)</w:t>
      </w:r>
    </w:p>
    <w:p>
      <w:pPr>
        <w:pStyle w:val="ListBullet"/>
      </w:pPr>
      <w:r>
        <w:t>Authorization/registration of benchmark administrators</w:t>
      </w:r>
    </w:p>
    <w:p>
      <w:pPr>
        <w:pStyle w:val="ListBullet"/>
      </w:pPr>
      <w:r>
        <w:t>BMR Review (political agreement December 2024, published May 2025): from January 2026, scope focused on critical/significant benchmarks, EU Climate Transition and Paris-aligned benchmarks, and certain commodity benchmarks</w:t>
      </w:r>
    </w:p>
    <w:p>
      <w:pPr>
        <w:pStyle w:val="ListBullet"/>
      </w:pPr>
      <w:r>
        <w:t>Third-country benchmark regime applicable from 31 December 2025</w:t>
      </w:r>
    </w:p>
    <w:p>
      <w:pPr>
        <w:pStyle w:val="ListBullet"/>
      </w:pPr>
      <w:r>
        <w:t>Post-LIBOR transition: ESTR as EU risk-free rate; impact on derivatives referencing legacy benchmarks</w:t>
      </w:r>
    </w:p>
    <w:p>
      <w:pPr>
        <w:pStyle w:val="Heading4"/>
      </w:pPr>
      <w:r>
        <w:t>2.3.5 MiCA -- Markets in Crypto-Assets Regulation (EU) 2023/1114</w:t>
      </w:r>
    </w:p>
    <w:p>
      <w:pPr>
        <w:pStyle w:val="ListBullet"/>
      </w:pPr>
      <w:r>
        <w:t>Fully applicable: 30 December 2024</w:t>
      </w:r>
    </w:p>
    <w:p>
      <w:pPr>
        <w:pStyle w:val="ListBullet"/>
      </w:pPr>
      <w:r>
        <w:t>Relevant to derivatives where crypto-assets are the underlying</w:t>
      </w:r>
    </w:p>
    <w:p>
      <w:pPr>
        <w:pStyle w:val="ListBullet"/>
      </w:pPr>
      <w:r>
        <w:t>Crypto-assets qualifying as financial instruments under MiFID II Annex I Section C fall under existing derivatives regulation</w:t>
      </w:r>
    </w:p>
    <w:p>
      <w:pPr>
        <w:pStyle w:val="ListBullet"/>
      </w:pPr>
      <w:r>
        <w:t>Transitional period for existing crypto-asset service providers: until 1 July 2026</w:t>
      </w:r>
    </w:p>
    <w:p>
      <w:pPr>
        <w:pStyle w:val="ListBullet"/>
      </w:pPr>
      <w:r>
        <w:t>DAC8 tax transparency rules for crypto-asset transactions: in force 1 January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Position Limits Framework</w:t>
      </w:r>
    </w:p>
    <w:p>
      <w:pPr>
        <w:pStyle w:val="Heading3"/>
      </w:pPr>
      <w:r>
        <w:t>3.1 Legal Basis</w:t>
      </w:r>
    </w:p>
    <w:p>
      <w:pPr>
        <w:pStyle w:val="ListBullet"/>
      </w:pPr>
      <w:r>
        <w:t>MiFID II Article 57: NCAs must set position limits on commodity derivatives and emission allowance derivatives</w:t>
      </w:r>
    </w:p>
    <w:p>
      <w:pPr>
        <w:pStyle w:val="ListBullet"/>
      </w:pPr>
      <w:r>
        <w:t>MiFID II Article 58: position reporting obligations</w:t>
      </w:r>
    </w:p>
    <w:p>
      <w:pPr>
        <w:pStyle w:val="Heading3"/>
      </w:pPr>
      <w:r>
        <w:t>3.2 Scope</w:t>
      </w:r>
    </w:p>
    <w:p>
      <w:pPr>
        <w:pStyle w:val="ListBullet"/>
      </w:pPr>
      <w:r>
        <w:t>Commodity derivatives traded on EU trading venues (regulated markets, MTFs, OTFs)</w:t>
      </w:r>
    </w:p>
    <w:p>
      <w:pPr>
        <w:pStyle w:val="ListBullet"/>
      </w:pPr>
      <w:r>
        <w:t>Economically Equivalent OTC Contracts (EEOTC): OTC derivatives economically equivalent to exchange-traded commodity derivatives</w:t>
      </w:r>
    </w:p>
    <w:p>
      <w:pPr>
        <w:pStyle w:val="ListBullet"/>
      </w:pPr>
      <w:r>
        <w:t>Emission allowance derivatives: derivatives on EU ETS emission allowances</w:t>
      </w:r>
    </w:p>
    <w:p>
      <w:pPr>
        <w:pStyle w:val="Heading3"/>
      </w:pPr>
      <w:r>
        <w:t>3.3 Position Limit Setting</w:t>
      </w:r>
    </w:p>
    <w:p>
      <w:pPr>
        <w:pStyle w:val="ListBullet"/>
      </w:pPr>
      <w:r>
        <w:t>NCAs set limits based on ESMA methodology:</w:t>
      </w:r>
    </w:p>
    <w:p>
      <w:pPr>
        <w:pStyle w:val="ListBullet"/>
      </w:pPr>
      <w:r>
        <w:t>Spot month limit: based on deliverable supply (typically 25% of deliverable supply)</w:t>
      </w:r>
    </w:p>
    <w:p>
      <w:pPr>
        <w:pStyle w:val="ListBullet"/>
      </w:pPr>
      <w:r>
        <w:t>Other months limit: based on open interest (typically 25% of open interest)</w:t>
      </w:r>
    </w:p>
    <w:p>
      <w:pPr>
        <w:pStyle w:val="ListBullet"/>
      </w:pPr>
      <w:r>
        <w:t>Critical/significant contracts: commodity derivatives with net open interest above 300,000 lots; subject to ESMA coordination</w:t>
      </w:r>
    </w:p>
    <w:p>
      <w:pPr>
        <w:pStyle w:val="ListBullet"/>
      </w:pPr>
      <w:r>
        <w:t>ESMA can issue opinions on NCA-proposed limits and, in exceptional cases, directly impose or revise limits</w:t>
      </w:r>
    </w:p>
    <w:p>
      <w:pPr>
        <w:pStyle w:val="Heading3"/>
      </w:pPr>
      <w:r>
        <w:t>3.4 Hedging Exemptions</w:t>
      </w:r>
    </w:p>
    <w:p>
      <w:pPr>
        <w:pStyle w:val="ListBullet"/>
      </w:pPr>
      <w:r>
        <w:t>NCAs may grant exemptions from position limits for positions that are objectively measurable as reducing risks directly related to commercial activity</w:t>
      </w:r>
    </w:p>
    <w:p>
      <w:pPr>
        <w:pStyle w:val="ListBullet"/>
      </w:pPr>
      <w:r>
        <w:t>Applicants must demonstrate that positions qualify as hedging under defined criteria</w:t>
      </w:r>
    </w:p>
    <w:p>
      <w:pPr>
        <w:pStyle w:val="ListBullet"/>
      </w:pPr>
      <w:r>
        <w:t>Financial entities acting on behalf of NFC hedgers may also benefit from exemptions (under revised framework)</w:t>
      </w:r>
    </w:p>
    <w:p>
      <w:pPr>
        <w:pStyle w:val="Heading3"/>
      </w:pPr>
      <w:r>
        <w:t>3.5 Position Management Controls</w:t>
      </w:r>
    </w:p>
    <w:p>
      <w:pPr>
        <w:pStyle w:val="ListBullet"/>
      </w:pPr>
      <w:r>
        <w:t>Trading venues must apply position management controls including:</w:t>
      </w:r>
    </w:p>
    <w:p>
      <w:pPr>
        <w:pStyle w:val="ListBullet"/>
      </w:pPr>
      <w:r>
        <w:t>Monitoring of open positions</w:t>
      </w:r>
    </w:p>
    <w:p>
      <w:pPr>
        <w:pStyle w:val="ListBullet"/>
      </w:pPr>
      <w:r>
        <w:t>Obtaining information from participants about positions (including in EEOTC contracts)</w:t>
      </w:r>
    </w:p>
    <w:p>
      <w:pPr>
        <w:pStyle w:val="ListBullet"/>
      </w:pPr>
      <w:r>
        <w:t>Requiring participants to terminate or reduce positions</w:t>
      </w:r>
    </w:p>
    <w:p>
      <w:pPr>
        <w:pStyle w:val="ListBullet"/>
      </w:pPr>
      <w:r>
        <w:t>Requiring participants to provide liquidity back to the market at an agreed price and volume</w:t>
      </w:r>
    </w:p>
    <w:p>
      <w:pPr>
        <w:pStyle w:val="Heading3"/>
      </w:pPr>
      <w:r>
        <w:t>3.6 Position Reporting</w:t>
      </w:r>
    </w:p>
    <w:p>
      <w:pPr>
        <w:pStyle w:val="ListBullet"/>
      </w:pPr>
      <w:r>
        <w:t>Trading venues must publish weekly Commitment of Traders (CoT) reports with aggregate positions by participant category</w:t>
      </w:r>
    </w:p>
    <w:p>
      <w:pPr>
        <w:pStyle w:val="ListBullet"/>
      </w:pPr>
      <w:r>
        <w:t>Members and participants must report daily positions to the trading venue</w:t>
      </w:r>
    </w:p>
    <w:p>
      <w:pPr>
        <w:pStyle w:val="ListBullet"/>
      </w:pPr>
      <w:r>
        <w:t>NCAs receive position data and can share with ESMA</w:t>
      </w:r>
    </w:p>
    <w:p>
      <w:pPr>
        <w:pStyle w:val="Heading3"/>
      </w:pPr>
      <w:r>
        <w:t>3.7 December 2024 Updates</w:t>
      </w:r>
    </w:p>
    <w:p>
      <w:pPr>
        <w:pStyle w:val="ListBullet"/>
      </w:pPr>
      <w:r>
        <w:t>ESMA proposed extending general monitoring and accountability level requirements to derivatives on emission allowances</w:t>
      </w:r>
    </w:p>
    <w:p>
      <w:pPr>
        <w:pStyle w:val="ListBullet"/>
      </w:pPr>
      <w:r>
        <w:t>MiFID II review changes in position limit framework to be transposed by 29 September 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Clearing Obligations</w:t>
      </w:r>
    </w:p>
    <w:p>
      <w:pPr>
        <w:pStyle w:val="Heading3"/>
      </w:pPr>
      <w:r>
        <w:t>4.1 Product Scope</w:t>
      </w:r>
    </w:p>
    <w:p>
      <w:r>
        <w:t>Products subject to mandatory clearing at authorized/recognized CCPs:</w:t>
      </w:r>
    </w:p>
    <w:p>
      <w:r>
        <w:t>Interest Rate Swaps (IRS):</w:t>
      </w:r>
    </w:p>
    <w:p>
      <w:pPr>
        <w:pStyle w:val="ListBullet"/>
      </w:pPr>
      <w:r>
        <w:t>Fixed-to-floating IRS (plain vanilla)</w:t>
      </w:r>
    </w:p>
    <w:p>
      <w:pPr>
        <w:pStyle w:val="ListBullet"/>
      </w:pPr>
      <w:r>
        <w:t>Basis swaps</w:t>
      </w:r>
    </w:p>
    <w:p>
      <w:pPr>
        <w:pStyle w:val="ListBullet"/>
      </w:pPr>
      <w:r>
        <w:t>Forward Rate Agreements (FRAs)</w:t>
      </w:r>
    </w:p>
    <w:p>
      <w:pPr>
        <w:pStyle w:val="ListBullet"/>
      </w:pPr>
      <w:r>
        <w:t>Overnight Index Swaps (OIS)</w:t>
      </w:r>
    </w:p>
    <w:p>
      <w:pPr>
        <w:pStyle w:val="ListBullet"/>
      </w:pPr>
      <w:r>
        <w:t>Currencies: EUR, GBP, USD, JPY, NOK, PLN, SEK</w:t>
      </w:r>
    </w:p>
    <w:p>
      <w:pPr>
        <w:pStyle w:val="ListBullet"/>
      </w:pPr>
      <w:r>
        <w:t>Reference rates: EURIBOR, LIBOR (legacy), SOFR, SONIA, TONA, ESTR</w:t>
      </w:r>
    </w:p>
    <w:p>
      <w:r>
        <w:t>Credit Default Swaps (CDS):</w:t>
      </w:r>
    </w:p>
    <w:p>
      <w:pPr>
        <w:pStyle w:val="ListBullet"/>
      </w:pPr>
      <w:r>
        <w:t>Untranched iTraxx Europe Main (Series 17 onwards, 5-year tenor)</w:t>
      </w:r>
    </w:p>
    <w:p>
      <w:pPr>
        <w:pStyle w:val="ListBullet"/>
      </w:pPr>
      <w:r>
        <w:t>Untranched iTraxx Europe Crossover (Series 17 onwards, 5-year tenor)</w:t>
      </w:r>
    </w:p>
    <w:p>
      <w:pPr>
        <w:pStyle w:val="Heading3"/>
      </w:pPr>
      <w:r>
        <w:t>4.2 Counterparty Categories and Phase-In</w:t>
      </w:r>
    </w:p>
    <w:p>
      <w:r>
        <w:t>The clearing obligation was phased in based on counterparty 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IRS Phase-In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CDS Phase-In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Clearing members of at least one CCP for relevant class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 June 2016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 February 2017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FCs and AIFs with aggregate notional &gt; EUR 8 billion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 December 2016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 August 2017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FCs and AIFs not in Categories 1 or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 June 2017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 February 2018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NFC+ (non-financial counterparties above clearing thresholds)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 December 2018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 May 2019</w:t>
            </w:r>
          </w:p>
        </w:tc>
      </w:tr>
    </w:tbl>
    <w:p/>
    <w:p>
      <w:pPr>
        <w:pStyle w:val="Heading3"/>
      </w:pPr>
      <w:r>
        <w:t>4.3 Frontloading</w:t>
      </w:r>
    </w:p>
    <w:p>
      <w:pPr>
        <w:pStyle w:val="ListBullet"/>
      </w:pPr>
      <w:r>
        <w:t>Eliminated under EMIR Refit (Regulation 2019/834): contracts entered into after notification but before the clearing obligation takes effect are no longer required to be retrospectively cleared</w:t>
      </w:r>
    </w:p>
    <w:p>
      <w:pPr>
        <w:pStyle w:val="Heading3"/>
      </w:pPr>
      <w:r>
        <w:t>4.4 Intragroup Exemptions</w:t>
      </w:r>
    </w:p>
    <w:p>
      <w:pPr>
        <w:pStyle w:val="ListBullet"/>
      </w:pPr>
      <w:r>
        <w:t>OTC derivative contracts between entities within the same group may be exempted from the clearing obligation (Article 3 of EMIR)</w:t>
      </w:r>
    </w:p>
    <w:p>
      <w:pPr>
        <w:pStyle w:val="ListBullet"/>
      </w:pPr>
      <w:r>
        <w:t>Conditions:</w:t>
      </w:r>
    </w:p>
    <w:p>
      <w:pPr>
        <w:pStyle w:val="ListBullet"/>
      </w:pPr>
      <w:r>
        <w:t>Both counterparties are included in the same consolidation</w:t>
      </w:r>
    </w:p>
    <w:p>
      <w:pPr>
        <w:pStyle w:val="ListBullet"/>
      </w:pPr>
      <w:r>
        <w:t>Both are subject to appropriate centralized risk evaluation, measurement, and control procedures</w:t>
      </w:r>
    </w:p>
    <w:p>
      <w:pPr>
        <w:pStyle w:val="ListBullet"/>
      </w:pPr>
      <w:r>
        <w:t>The parent undertaking is not a FC</w:t>
      </w:r>
    </w:p>
    <w:p>
      <w:pPr>
        <w:pStyle w:val="ListBullet"/>
      </w:pPr>
      <w:r>
        <w:t>Third-country intragroup exemptions: require equivalence decision for the third-country counterparty's jurisdiction</w:t>
      </w:r>
    </w:p>
    <w:p>
      <w:pPr>
        <w:pStyle w:val="ListBullet"/>
      </w:pPr>
      <w:r>
        <w:t>Temporary exemption regime extended multiple times (ESAs proposed three-year extension during EMIR review)</w:t>
      </w:r>
    </w:p>
    <w:p>
      <w:pPr>
        <w:pStyle w:val="ListBullet"/>
      </w:pPr>
      <w:r>
        <w:t>EMIR 3.0 establishes a more permanent intragroup exemptions framework</w:t>
      </w:r>
    </w:p>
    <w:p>
      <w:pPr>
        <w:pStyle w:val="Heading3"/>
      </w:pPr>
      <w:r>
        <w:t>4.5 Pension Scheme Arrangements</w:t>
      </w:r>
    </w:p>
    <w:p>
      <w:pPr>
        <w:pStyle w:val="ListBullet"/>
      </w:pPr>
      <w:r>
        <w:t>Temporary exemption from the clearing obligation for pension scheme arrangements (PSAs)</w:t>
      </w:r>
    </w:p>
    <w:p>
      <w:pPr>
        <w:pStyle w:val="ListBullet"/>
      </w:pPr>
      <w:r>
        <w:t>Multiple extensions granted; EMIR 3.0 addresses the long-term treatment of PSAs</w:t>
      </w:r>
    </w:p>
    <w:p>
      <w:pPr>
        <w:pStyle w:val="Heading3"/>
      </w:pPr>
      <w:r>
        <w:t>4.6 EMIR 3.0 Changes to Clearing</w:t>
      </w:r>
    </w:p>
    <w:p>
      <w:pPr>
        <w:pStyle w:val="ListBullet"/>
      </w:pPr>
      <w:r>
        <w:t>Revised clearing thresholds with dual assessment (uncleared positions + aggregate OTC exposure for FCs)</w:t>
      </w:r>
    </w:p>
    <w:p>
      <w:pPr>
        <w:pStyle w:val="ListBullet"/>
      </w:pPr>
      <w:r>
        <w:t>Active Account Requirement drives additional clearing volume to EU CCPs</w:t>
      </w:r>
    </w:p>
    <w:p>
      <w:pPr>
        <w:pStyle w:val="ListBullet"/>
      </w:pPr>
      <w:r>
        <w:t>Enhanced proportionality for smaller counterparties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CCP Supervision &amp; Authorization</w:t>
      </w:r>
    </w:p>
    <w:p>
      <w:pPr>
        <w:pStyle w:val="Heading3"/>
      </w:pPr>
      <w:r>
        <w:t>5.1 EU CCP Authorization (Title III of EMIR)</w:t>
      </w:r>
    </w:p>
    <w:p>
      <w:pPr>
        <w:pStyle w:val="ListBullet"/>
      </w:pPr>
      <w:r>
        <w:t>CCPs must be authorized by their home NCA, with involvement of a college of supervisors including:</w:t>
      </w:r>
    </w:p>
    <w:p>
      <w:pPr>
        <w:pStyle w:val="ListBullet"/>
      </w:pPr>
      <w:r>
        <w:t>Home NCA (lead supervisor)</w:t>
      </w:r>
    </w:p>
    <w:p>
      <w:pPr>
        <w:pStyle w:val="ListBullet"/>
      </w:pPr>
      <w:r>
        <w:t>ESMA</w:t>
      </w:r>
    </w:p>
    <w:p>
      <w:pPr>
        <w:pStyle w:val="ListBullet"/>
      </w:pPr>
      <w:r>
        <w:t>Relevant central banks of issue</w:t>
      </w:r>
    </w:p>
    <w:p>
      <w:pPr>
        <w:pStyle w:val="ListBullet"/>
      </w:pPr>
      <w:r>
        <w:t>NCAs of the most relevant clearing members</w:t>
      </w:r>
    </w:p>
    <w:p>
      <w:pPr>
        <w:pStyle w:val="ListBullet"/>
      </w:pPr>
      <w:r>
        <w:t>NCAs of trading venues served by the CCP</w:t>
      </w:r>
    </w:p>
    <w:p>
      <w:pPr>
        <w:pStyle w:val="ListBullet"/>
      </w:pPr>
      <w:r>
        <w:t>Authorization requirements:</w:t>
      </w:r>
    </w:p>
    <w:p>
      <w:pPr>
        <w:pStyle w:val="ListBullet"/>
      </w:pPr>
      <w:r>
        <w:t>Minimum capital: EUR 7.5 million</w:t>
      </w:r>
    </w:p>
    <w:p>
      <w:pPr>
        <w:pStyle w:val="ListBullet"/>
      </w:pPr>
      <w:r>
        <w:t>Governance: independent risk committee, senior management requirements</w:t>
      </w:r>
    </w:p>
    <w:p>
      <w:pPr>
        <w:pStyle w:val="ListBullet"/>
      </w:pPr>
      <w:r>
        <w:t>Risk management: margining framework (initial margin, variation margin, default fund), stress testing, back testing</w:t>
      </w:r>
    </w:p>
    <w:p>
      <w:pPr>
        <w:pStyle w:val="ListBullet"/>
      </w:pPr>
      <w:r>
        <w:t>Default waterfall: defaulter's margins -&gt; defaulter's default fund contribution -&gt; CCP's dedicated own resources (skin-in-the-game) -&gt; non-defaulting members' default fund contributions</w:t>
      </w:r>
    </w:p>
    <w:p>
      <w:pPr>
        <w:pStyle w:val="ListBullet"/>
      </w:pPr>
      <w:r>
        <w:t>Segregation and portability of client positions and collateral</w:t>
      </w:r>
    </w:p>
    <w:p>
      <w:pPr>
        <w:pStyle w:val="ListBullet"/>
      </w:pPr>
      <w:r>
        <w:t>Business continuity and disaster recovery</w:t>
      </w:r>
    </w:p>
    <w:p>
      <w:pPr>
        <w:pStyle w:val="ListBullet"/>
      </w:pPr>
      <w:r>
        <w:t>Interoperability arrangements (subject to NCA/ESMA approval)</w:t>
      </w:r>
    </w:p>
    <w:p>
      <w:pPr>
        <w:pStyle w:val="ListBullet"/>
      </w:pPr>
      <w:r>
        <w:t>Major EU CCPs: Eurex Clearing (Germany), LCH SA (France), CC&amp;G (Italy), BME Clearing (Spain), ICE Clear Netherlands, European Commodity Clearing (Germany)</w:t>
      </w:r>
    </w:p>
    <w:p>
      <w:pPr>
        <w:pStyle w:val="Heading3"/>
      </w:pPr>
      <w:r>
        <w:t>5.2 Third-Country CCP Recognition</w:t>
      </w:r>
    </w:p>
    <w:p>
      <w:pPr>
        <w:pStyle w:val="ListBullet"/>
      </w:pPr>
      <w:r>
        <w:t>Third-country CCPs must be recognized by ESMA to provide clearing services to EU members/venues</w:t>
      </w:r>
    </w:p>
    <w:p>
      <w:pPr>
        <w:pStyle w:val="ListBullet"/>
      </w:pPr>
      <w:r>
        <w:t>Prerequisites:</w:t>
      </w:r>
    </w:p>
    <w:p>
      <w:pPr>
        <w:pStyle w:val="ListBullet"/>
      </w:pPr>
      <w:r>
        <w:t>European Commission equivalence decision for the third country's regulatory framework</w:t>
      </w:r>
    </w:p>
    <w:p>
      <w:pPr>
        <w:pStyle w:val="ListBullet"/>
      </w:pPr>
      <w:r>
        <w:t>Cooperation arrangement between ESMA and the third-country authority</w:t>
      </w:r>
    </w:p>
    <w:p>
      <w:pPr>
        <w:pStyle w:val="ListBullet"/>
      </w:pPr>
      <w:r>
        <w:t>CCP authorized in its home jurisdiction</w:t>
      </w:r>
    </w:p>
    <w:p>
      <w:pPr>
        <w:pStyle w:val="ListBullet"/>
      </w:pPr>
      <w:r>
        <w:t>Tiering determination (introduced by EMIR 2.2):</w:t>
      </w:r>
    </w:p>
    <w:p>
      <w:pPr>
        <w:pStyle w:val="ListBullet"/>
      </w:pPr>
      <w:r>
        <w:t>Tier 1: non-systemically important; recognized subject to ongoing compliance with home-country rules</w:t>
      </w:r>
    </w:p>
    <w:p>
      <w:pPr>
        <w:pStyle w:val="ListBullet"/>
      </w:pPr>
      <w:r>
        <w:t>Tier 2: systemically important (or likely to become so) for EU/Member State financial stability</w:t>
      </w:r>
    </w:p>
    <w:p>
      <w:pPr>
        <w:pStyle w:val="ListBullet"/>
        <w:ind w:left="720"/>
      </w:pPr>
      <w:r>
        <w:t>Must comply with relevant EMIR requirements (or comparable compliance framework)</w:t>
      </w:r>
    </w:p>
    <w:p>
      <w:pPr>
        <w:pStyle w:val="ListBullet"/>
        <w:ind w:left="720"/>
      </w:pPr>
      <w:r>
        <w:t>Subject to direct ESMA supervision: risk model review, stress testing, liquidity monitoring, annual reviews</w:t>
      </w:r>
    </w:p>
    <w:p>
      <w:pPr>
        <w:pStyle w:val="ListBullet"/>
        <w:ind w:left="720"/>
      </w:pPr>
      <w:r>
        <w:t>ESMA can propose remedial actions to preserve EU financial stability</w:t>
      </w:r>
    </w:p>
    <w:p>
      <w:pPr>
        <w:pStyle w:val="ListBullet"/>
      </w:pPr>
      <w:r>
        <w:t>As of January 2026, ESMA has recognized CCPs from multiple jurisdictions (US, UK, Japan, Hong Kong, Singapore, Australia, and others)</w:t>
      </w:r>
    </w:p>
    <w:p>
      <w:pPr>
        <w:pStyle w:val="Heading3"/>
      </w:pPr>
      <w:r>
        <w:t>5.3 Brexit Implications for UK CCPs</w:t>
      </w:r>
    </w:p>
    <w:p>
      <w:pPr>
        <w:pStyle w:val="ListBullet"/>
      </w:pPr>
      <w:r>
        <w:t>Post-Brexit (1 January 2021): UK CCPs became third-country CCPs under EMIR</w:t>
      </w:r>
    </w:p>
    <w:p>
      <w:pPr>
        <w:pStyle w:val="ListBullet"/>
      </w:pPr>
      <w:r>
        <w:t>Key UK CCPs recognized by ESMA:</w:t>
      </w:r>
    </w:p>
    <w:p>
      <w:pPr>
        <w:pStyle w:val="ListBullet"/>
      </w:pPr>
      <w:r>
        <w:t>LCH Ltd (London): Tier 2 -- dominant in euro-denominated IRS clearing</w:t>
      </w:r>
    </w:p>
    <w:p>
      <w:pPr>
        <w:pStyle w:val="ListBullet"/>
      </w:pPr>
      <w:r>
        <w:t>ICE Clear Europe Ltd: Tier 2 -- significant CDS and energy derivatives clearing</w:t>
      </w:r>
    </w:p>
    <w:p>
      <w:pPr>
        <w:pStyle w:val="ListBullet"/>
      </w:pPr>
      <w:r>
        <w:t>LME Clear Ltd: Tier 1 -- metals derivatives</w:t>
      </w:r>
    </w:p>
    <w:p>
      <w:pPr>
        <w:pStyle w:val="ListBullet"/>
      </w:pPr>
      <w:r>
        <w:t>Equivalence timeline:</w:t>
      </w:r>
    </w:p>
    <w:p>
      <w:pPr>
        <w:pStyle w:val="ListBullet"/>
      </w:pPr>
      <w:r>
        <w:t>Initial temporary equivalence: to 30 June 2022</w:t>
      </w:r>
    </w:p>
    <w:p>
      <w:pPr>
        <w:pStyle w:val="ListBullet"/>
      </w:pPr>
      <w:r>
        <w:t>Extended to 30 June 2025</w:t>
      </w:r>
    </w:p>
    <w:p>
      <w:pPr>
        <w:pStyle w:val="ListBullet"/>
      </w:pPr>
      <w:r>
        <w:t>Latest extension (January 2025): extended to 30 June 2028 (three-year extension)</w:t>
      </w:r>
    </w:p>
    <w:p>
      <w:pPr>
        <w:pStyle w:val="ListBullet"/>
      </w:pPr>
      <w:r>
        <w:t>Purpose: provide implementation time for EMIR 3.0 measures to reduce reliance on UK CCPs</w:t>
      </w:r>
    </w:p>
    <w:p>
      <w:pPr>
        <w:pStyle w:val="ListBullet"/>
      </w:pPr>
      <w:r>
        <w:t>Central policy tension: EU firms heavily rely on LCH Ltd for euro IRS clearing, but EU policy aims to repatriate clearing to EU CCPs (Eurex, LCH SA)</w:t>
      </w:r>
    </w:p>
    <w:p>
      <w:pPr>
        <w:pStyle w:val="Heading3"/>
      </w:pPr>
      <w:r>
        <w:t>5.4 EMIR 3.0 Active Account Requirement</w:t>
      </w:r>
    </w:p>
    <w:p>
      <w:pPr>
        <w:pStyle w:val="ListBullet"/>
      </w:pPr>
      <w:r>
        <w:t>EU counterparties subject to the clearing obligation for derivatives of substantial systemic importance must:</w:t>
      </w:r>
    </w:p>
    <w:p>
      <w:pPr>
        <w:pStyle w:val="ListBullet"/>
      </w:pPr>
      <w:r>
        <w:t>Open and maintain an active account at an EU-authorized CCP</w:t>
      </w:r>
    </w:p>
    <w:p>
      <w:pPr>
        <w:pStyle w:val="ListBullet"/>
      </w:pPr>
      <w:r>
        <w:t>Clear a representative proportion of their relevant derivatives through this account</w:t>
      </w:r>
    </w:p>
    <w:p>
      <w:pPr>
        <w:pStyle w:val="ListBullet"/>
      </w:pPr>
      <w:r>
        <w:t>Ensure the account is operationally functional (including participation in stress tests)</w:t>
      </w:r>
    </w:p>
    <w:p>
      <w:pPr>
        <w:pStyle w:val="ListBullet"/>
      </w:pPr>
      <w:r>
        <w:t>Applies primarily to: euro-denominated IRS, short-term interest rate derivatives, certain CDS classes</w:t>
      </w:r>
    </w:p>
    <w:p>
      <w:pPr>
        <w:pStyle w:val="ListBullet"/>
      </w:pPr>
      <w:r>
        <w:t>Phased implementation with reporting from June 2025</w:t>
      </w:r>
    </w:p>
    <w:p>
      <w:pPr>
        <w:pStyle w:val="ListBullet"/>
      </w:pPr>
      <w:r>
        <w:t>ESMA developing detailed RTS on operational conditions, representativeness, and reporting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Reporting Requirements</w:t>
      </w:r>
    </w:p>
    <w:p>
      <w:pPr>
        <w:pStyle w:val="Heading3"/>
      </w:pPr>
      <w:r>
        <w:t>6.1 EMIR Trade Reporting (Article 9)</w:t>
      </w:r>
    </w:p>
    <w:p>
      <w:pPr>
        <w:pStyle w:val="ListBullet"/>
      </w:pPr>
      <w:r>
        <w:t>Scope: all derivative contracts (OTC and exchange-traded) must be reported to an EU-registered trade repository (TR)</w:t>
      </w:r>
    </w:p>
    <w:p>
      <w:pPr>
        <w:pStyle w:val="ListBullet"/>
      </w:pPr>
      <w:r>
        <w:t>Reporting parties:</w:t>
      </w:r>
    </w:p>
    <w:p>
      <w:pPr>
        <w:pStyle w:val="ListBullet"/>
      </w:pPr>
      <w:r>
        <w:t>Both counterparties must report (dual-sided reporting)</w:t>
      </w:r>
    </w:p>
    <w:p>
      <w:pPr>
        <w:pStyle w:val="ListBullet"/>
      </w:pPr>
      <w:r>
        <w:t>Under EMIR Refit: FC responsible for reporting on behalf of NFC- counterparty</w:t>
      </w:r>
    </w:p>
    <w:p>
      <w:pPr>
        <w:pStyle w:val="ListBullet"/>
      </w:pPr>
      <w:r>
        <w:t>Reporting can be delegated to the counterparty, CCP, or third-party service provider</w:t>
      </w:r>
    </w:p>
    <w:p>
      <w:pPr>
        <w:pStyle w:val="ListBullet"/>
      </w:pPr>
      <w:r>
        <w:t>Timeline: reported no later than T+1 (one working day after execution, modification, or termination)</w:t>
      </w:r>
    </w:p>
    <w:p>
      <w:pPr>
        <w:pStyle w:val="ListBullet"/>
      </w:pPr>
      <w:r>
        <w:t>Content: counterparty data, contract data, valuation data, collateral data</w:t>
      </w:r>
    </w:p>
    <w:p>
      <w:pPr>
        <w:pStyle w:val="Heading3"/>
      </w:pPr>
      <w:r>
        <w:t>6.2 Key Identifiers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Identifier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**LEI** (Legal Entity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Identify counterparties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ISO 17442 (GLEIF system)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**UTI** (Unique Transaction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Unique identification of each transaction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CPMI-IOSCO / ISO 23897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**UPI** (Unique Product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classification for OTC derivatives not identified by ISIN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CPMI-IOSCO / ANNA DSB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**ISIN**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Identify derivatives traded on RM, MTF, OTF, SI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ISO 6166</w:t>
            </w:r>
          </w:p>
        </w:tc>
      </w:tr>
    </w:tbl>
    <w:p/>
    <w:p>
      <w:pPr>
        <w:pStyle w:val="Heading3"/>
      </w:pPr>
      <w:r>
        <w:t>6.3 EMIR Refit Reporting Changes (Applicable 29 April 2024)</w:t>
      </w:r>
    </w:p>
    <w:p>
      <w:pPr>
        <w:pStyle w:val="ListBullet"/>
      </w:pPr>
      <w:r>
        <w:t>Alignment with CPMI-IOSCO global data standards (CDE -- Critical Data Elements)</w:t>
      </w:r>
    </w:p>
    <w:p>
      <w:pPr>
        <w:pStyle w:val="ListBullet"/>
      </w:pPr>
      <w:r>
        <w:t>Expanded reportable fields (from ~129 to ~203 fields)</w:t>
      </w:r>
    </w:p>
    <w:p>
      <w:pPr>
        <w:pStyle w:val="ListBullet"/>
      </w:pPr>
      <w:r>
        <w:t>XML reporting format based on ISO 20022</w:t>
      </w:r>
    </w:p>
    <w:p>
      <w:pPr>
        <w:pStyle w:val="ListBullet"/>
      </w:pPr>
      <w:r>
        <w:t>Enhanced data quality requirements: validation rules at TR level, reconciliation processes</w:t>
      </w:r>
    </w:p>
    <w:p>
      <w:pPr>
        <w:pStyle w:val="ListBullet"/>
      </w:pPr>
      <w:r>
        <w:t>Lifecycle event reporting standardized</w:t>
      </w:r>
    </w:p>
    <w:p>
      <w:pPr>
        <w:pStyle w:val="ListBullet"/>
      </w:pPr>
      <w:r>
        <w:t>Pairing and matching requirements between counterparties</w:t>
      </w:r>
    </w:p>
    <w:p>
      <w:pPr>
        <w:pStyle w:val="ListBullet"/>
      </w:pPr>
      <w:r>
        <w:t>ESMA Guidelines on EMIR Refit reporting published October 2023</w:t>
      </w:r>
    </w:p>
    <w:p>
      <w:pPr>
        <w:pStyle w:val="Heading3"/>
      </w:pPr>
      <w:r>
        <w:t>6.4 Trade Repositories</w:t>
      </w:r>
    </w:p>
    <w:p>
      <w:pPr>
        <w:pStyle w:val="ListBullet"/>
      </w:pPr>
      <w:r>
        <w:t>Must be registered with ESMA (or recognized if third-country TR)</w:t>
      </w:r>
    </w:p>
    <w:p>
      <w:pPr>
        <w:pStyle w:val="ListBullet"/>
      </w:pPr>
      <w:r>
        <w:t>Responsibilities: data collection, validation, reconciliation, secure storage, access provision to authorities</w:t>
      </w:r>
    </w:p>
    <w:p>
      <w:pPr>
        <w:pStyle w:val="ListBullet"/>
      </w:pPr>
      <w:r>
        <w:t>EU-registered TRs include: DTCC Derivatives Repository (DDRL), Regis-TR, UnaVista (LSEG), KDPW (Poland), CME TR</w:t>
      </w:r>
    </w:p>
    <w:p>
      <w:pPr>
        <w:pStyle w:val="ListBullet"/>
      </w:pPr>
      <w:r>
        <w:t>TRs must provide data access to relevant authorities (NCAs, ESMA, ECB, ESRB)</w:t>
      </w:r>
    </w:p>
    <w:p>
      <w:pPr>
        <w:pStyle w:val="Heading3"/>
      </w:pPr>
      <w:r>
        <w:t>6.5 EMIR 3.0 Reporting Obligations</w:t>
      </w:r>
    </w:p>
    <w:p>
      <w:pPr>
        <w:pStyle w:val="ListBullet"/>
      </w:pPr>
      <w:r>
        <w:t>New reporting on AAR compliance to ESMA (from 25 June 2025)</w:t>
      </w:r>
    </w:p>
    <w:p>
      <w:pPr>
        <w:pStyle w:val="ListBullet"/>
      </w:pPr>
      <w:r>
        <w:t>ESMA public statement on upcoming EMIR 3 reporting obligations (December 2025)</w:t>
      </w:r>
    </w:p>
    <w:p>
      <w:pPr>
        <w:pStyle w:val="ListBullet"/>
      </w:pPr>
      <w:r>
        <w:t>Enhanced reporting on clearing volumes at EU vs. third-country CCPs</w:t>
      </w:r>
    </w:p>
    <w:p>
      <w:pPr>
        <w:pStyle w:val="Heading3"/>
      </w:pPr>
      <w:r>
        <w:t>6.6 MiFID II Position Reporting</w:t>
      </w:r>
    </w:p>
    <w:p>
      <w:pPr>
        <w:pStyle w:val="ListBullet"/>
      </w:pPr>
      <w:r>
        <w:t>Daily position reports from members to trading venues</w:t>
      </w:r>
    </w:p>
    <w:p>
      <w:pPr>
        <w:pStyle w:val="ListBullet"/>
      </w:pPr>
      <w:r>
        <w:t>Weekly aggregate Commitment of Traders reports published by trading venues</w:t>
      </w:r>
    </w:p>
    <w:p>
      <w:pPr>
        <w:pStyle w:val="ListBullet"/>
      </w:pPr>
      <w:r>
        <w:t>Position data shared with NCAs and ESMA</w:t>
      </w:r>
    </w:p>
    <w:p>
      <w:pPr>
        <w:pStyle w:val="Heading3"/>
      </w:pPr>
      <w:r>
        <w:t>6.7 MiFIR Transaction Reporting (Article 26)</w:t>
      </w:r>
    </w:p>
    <w:p>
      <w:pPr>
        <w:pStyle w:val="ListBullet"/>
      </w:pPr>
      <w:r>
        <w:t>Investment firms report derivatives transactions to their NCA</w:t>
      </w:r>
    </w:p>
    <w:p>
      <w:pPr>
        <w:pStyle w:val="ListBullet"/>
      </w:pPr>
      <w:r>
        <w:t>Includes detailed client, decision-maker, and execution information</w:t>
      </w:r>
    </w:p>
    <w:p>
      <w:pPr>
        <w:pStyle w:val="ListBullet"/>
      </w:pPr>
      <w:r>
        <w:t>Data shared across NCAs and with ESMA for cross-border surveillance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Cross-Border Framework</w:t>
      </w:r>
    </w:p>
    <w:p>
      <w:pPr>
        <w:pStyle w:val="Heading3"/>
      </w:pPr>
      <w:r>
        <w:t>7.1 Third-Country CCP Recognition</w:t>
      </w:r>
    </w:p>
    <w:p>
      <w:pPr>
        <w:pStyle w:val="ListBullet"/>
      </w:pPr>
      <w:r>
        <w:t>ESMA recognition process requires:</w:t>
      </w:r>
    </w:p>
    <w:p>
      <w:pPr>
        <w:pStyle w:val="ListNumber"/>
      </w:pPr>
      <w:r>
        <w:t>Commission equivalence decision for the third country's CCP regulatory framework</w:t>
      </w:r>
    </w:p>
    <w:p>
      <w:pPr>
        <w:pStyle w:val="ListNumber"/>
      </w:pPr>
      <w:r>
        <w:t>Cooperation arrangement (MoU) between ESMA and third-country authority</w:t>
      </w:r>
    </w:p>
    <w:p>
      <w:pPr>
        <w:pStyle w:val="ListNumber"/>
      </w:pPr>
      <w:r>
        <w:t>Application by the third-country CCP</w:t>
      </w:r>
    </w:p>
    <w:p>
      <w:pPr>
        <w:pStyle w:val="ListNumber"/>
      </w:pPr>
      <w:r>
        <w:t>ESMA tiering assessment (Tier 1 or Tier 2)</w:t>
      </w:r>
    </w:p>
    <w:p>
      <w:pPr>
        <w:pStyle w:val="ListBullet"/>
      </w:pPr>
      <w:r>
        <w:t>Recognized third-country CCPs listed on ESMA register (updated regularly)</w:t>
      </w:r>
    </w:p>
    <w:p>
      <w:pPr>
        <w:pStyle w:val="Heading3"/>
      </w:pPr>
      <w:r>
        <w:t>7.2 Equivalence Decisions</w:t>
      </w:r>
    </w:p>
    <w:p>
      <w:pPr>
        <w:pStyle w:val="ListBullet"/>
      </w:pPr>
      <w:r>
        <w:t>Commission has adopted equivalence decisions for CCP frameworks of multiple jurisdictions:</w:t>
      </w:r>
    </w:p>
    <w:p>
      <w:pPr>
        <w:pStyle w:val="ListBullet"/>
      </w:pPr>
      <w:r>
        <w:t>Full equivalence: USA (CFTC-regulated), Japan, Hong Kong, Singapore, Australia, Brazil, Canada, Mexico, South Korea, India, and others</w:t>
      </w:r>
    </w:p>
    <w:p>
      <w:pPr>
        <w:pStyle w:val="ListBullet"/>
      </w:pPr>
      <w:r>
        <w:t>UK: time-limited equivalence extended to 30 June 2028</w:t>
      </w:r>
    </w:p>
    <w:p>
      <w:pPr>
        <w:pStyle w:val="ListBullet"/>
      </w:pPr>
      <w:r>
        <w:t>Equivalence assessed on an outcomes-based approach (not line-by-line regulatory matching)</w:t>
      </w:r>
    </w:p>
    <w:p>
      <w:pPr>
        <w:pStyle w:val="ListBullet"/>
      </w:pPr>
      <w:r>
        <w:t>Commission can withdraw equivalence decisions if conditions change</w:t>
      </w:r>
    </w:p>
    <w:p>
      <w:pPr>
        <w:pStyle w:val="Heading3"/>
      </w:pPr>
      <w:r>
        <w:t>7.3 Third-Country Trading Venue Recognition</w:t>
      </w:r>
    </w:p>
    <w:p>
      <w:pPr>
        <w:pStyle w:val="ListBullet"/>
      </w:pPr>
      <w:r>
        <w:t>Under MiFIR trading obligation, equivalence decisions allow derivatives to be traded on third-country venues deemed equivalent</w:t>
      </w:r>
    </w:p>
    <w:p>
      <w:pPr>
        <w:pStyle w:val="ListBullet"/>
      </w:pPr>
      <w:r>
        <w:t>Limited equivalence decisions adopted to date for trading venues</w:t>
      </w:r>
    </w:p>
    <w:p>
      <w:pPr>
        <w:pStyle w:val="Heading3"/>
      </w:pPr>
      <w:r>
        <w:t>7.4 IOSCO Coordination</w:t>
      </w:r>
    </w:p>
    <w:p>
      <w:pPr>
        <w:pStyle w:val="ListBullet"/>
      </w:pPr>
      <w:r>
        <w:t>EU framework aligned with IOSCO Principles for Financial Market Infrastructures (PFMIs)</w:t>
      </w:r>
    </w:p>
    <w:p>
      <w:pPr>
        <w:pStyle w:val="ListBullet"/>
      </w:pPr>
      <w:r>
        <w:t>CPMI-IOSCO standards for data harmonization (UTI, UPI, CDE) adopted in EMIR Refit</w:t>
      </w:r>
    </w:p>
    <w:p>
      <w:pPr>
        <w:pStyle w:val="ListBullet"/>
      </w:pPr>
      <w:r>
        <w:t>IOSCO coordination on cross-border CCP supervision and recovery/resolution</w:t>
      </w:r>
    </w:p>
    <w:p>
      <w:pPr>
        <w:pStyle w:val="Heading3"/>
      </w:pPr>
      <w:r>
        <w:t>7.5 Post-Brexit UK-EU Derivatives Landscape</w:t>
      </w:r>
    </w:p>
    <w:p>
      <w:pPr>
        <w:pStyle w:val="ListBullet"/>
      </w:pPr>
      <w:r>
        <w:t>UK equivalence for EU venues: UK (FCA) granted equivalence to EU regulated markets for trading obligation purposes</w:t>
      </w:r>
    </w:p>
    <w:p>
      <w:pPr>
        <w:pStyle w:val="ListBullet"/>
      </w:pPr>
      <w:r>
        <w:t>EU equivalence for UK CCPs: time-limited to 30 June 2028</w:t>
      </w:r>
    </w:p>
    <w:p>
      <w:pPr>
        <w:pStyle w:val="ListBullet"/>
      </w:pPr>
      <w:r>
        <w:t>Divergence risks:</w:t>
      </w:r>
    </w:p>
    <w:p>
      <w:pPr>
        <w:pStyle w:val="ListBullet"/>
      </w:pPr>
      <w:r>
        <w:t>UK developed independent derivatives regulation (UK EMIR, UK MiFIR)</w:t>
      </w:r>
    </w:p>
    <w:p>
      <w:pPr>
        <w:pStyle w:val="ListBullet"/>
      </w:pPr>
      <w:r>
        <w:t>Differences in clearing obligation scope, reporting formats, and CCP requirements are emerging</w:t>
      </w:r>
    </w:p>
    <w:p>
      <w:pPr>
        <w:pStyle w:val="ListBullet"/>
      </w:pPr>
      <w:r>
        <w:t>UK onshored EU regulations with subsequent UK-specific amendments</w:t>
      </w:r>
    </w:p>
    <w:p>
      <w:pPr>
        <w:pStyle w:val="ListBullet"/>
      </w:pPr>
      <w:r>
        <w:t>Market impact: fragmented liquidity in some derivatives markets; dual reporting obligations for cross-border participants</w:t>
      </w:r>
    </w:p>
    <w:p>
      <w:pPr>
        <w:pStyle w:val="ListBullet"/>
      </w:pPr>
      <w:r>
        <w:t>Memoranda of Understanding: ESMA-FCA cooperation arrangements for CCP supervision, TR data sharing, and market surveillance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Recent Developments (2023--2026)</w:t>
      </w:r>
    </w:p>
    <w:p>
      <w:pPr>
        <w:pStyle w:val="Heading3"/>
      </w:pPr>
      <w:r>
        <w:t>8.1 EMIR 3.0 Implementation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December 2022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Commission legislative proposal for EMIR review (EMIR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November 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European Parliament and Council adoption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4 December 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Publication in Official Journal (Regulation 2024/2987)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24 December 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Entry into force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 June 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AAR reporting obligations commence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June 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 final report on AAR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October 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 consultation on draft RTS for participation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December 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 public statement on upcoming EMIR 3 reporting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February 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 final report on clearing thresholds RTS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2026-2027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AAR operational requirements expected to apply</w:t>
            </w:r>
          </w:p>
        </w:tc>
      </w:tr>
    </w:tbl>
    <w:p/>
    <w:p>
      <w:pPr>
        <w:pStyle w:val="Heading3"/>
      </w:pPr>
      <w:r>
        <w:t>8.2 Active Account Requirement Debates</w:t>
      </w:r>
    </w:p>
    <w:p>
      <w:pPr>
        <w:pStyle w:val="ListBullet"/>
      </w:pPr>
      <w:r>
        <w:t>Significant industry debate on scope and calibration of the AAR</w:t>
      </w:r>
    </w:p>
    <w:p>
      <w:pPr>
        <w:pStyle w:val="ListBullet"/>
      </w:pPr>
      <w:r>
        <w:t>Concerns about market fragmentation and increased costs for EU participants</w:t>
      </w:r>
    </w:p>
    <w:p>
      <w:pPr>
        <w:pStyle w:val="ListBullet"/>
      </w:pPr>
      <w:r>
        <w:t>LCH Ltd (London) dominates euro-denominated IRS clearing (~90%+ market share historically)</w:t>
      </w:r>
    </w:p>
    <w:p>
      <w:pPr>
        <w:pStyle w:val="ListBullet"/>
      </w:pPr>
      <w:r>
        <w:t>EU CCPs (especially Eurex) investing in capacity and incentive programs to attract clearing volumes</w:t>
      </w:r>
    </w:p>
    <w:p>
      <w:pPr>
        <w:pStyle w:val="ListBullet"/>
      </w:pPr>
      <w:r>
        <w:t>Ongoing discussions on whether representativeness thresholds are set at appropriate levels</w:t>
      </w:r>
    </w:p>
    <w:p>
      <w:pPr>
        <w:pStyle w:val="ListBullet"/>
      </w:pPr>
      <w:r>
        <w:t>Potential impact on clearing liquidity and pricing for EU end-users</w:t>
      </w:r>
    </w:p>
    <w:p>
      <w:pPr>
        <w:pStyle w:val="Heading3"/>
      </w:pPr>
      <w:r>
        <w:t>8.3 Consolidated Tape Provider (CTP)</w:t>
      </w:r>
    </w:p>
    <w:p>
      <w:pPr>
        <w:pStyle w:val="ListBullet"/>
      </w:pPr>
      <w:r>
        <w:t>MiFIR Review establishes framework for CTPs across asset classes</w:t>
      </w:r>
    </w:p>
    <w:p>
      <w:pPr>
        <w:pStyle w:val="ListBullet"/>
      </w:pPr>
      <w:r>
        <w:t>OTC derivatives CTP: ESMA launched selection procedure on 5 January 2026</w:t>
      </w:r>
    </w:p>
    <w:p>
      <w:pPr>
        <w:pStyle w:val="ListBullet"/>
      </w:pPr>
      <w:r>
        <w:t>Submission deadline: 11 February 2026</w:t>
      </w:r>
    </w:p>
    <w:p>
      <w:pPr>
        <w:pStyle w:val="ListBullet"/>
      </w:pPr>
      <w:r>
        <w:t>ESMA to select, authorize, and supervise the CTP</w:t>
      </w:r>
    </w:p>
    <w:p>
      <w:pPr>
        <w:pStyle w:val="ListBullet"/>
      </w:pPr>
      <w:r>
        <w:t>CTP expected to consolidate post-trade data for OTC derivatives, enhancing price transparency</w:t>
      </w:r>
    </w:p>
    <w:p>
      <w:pPr>
        <w:pStyle w:val="ListBullet"/>
      </w:pPr>
      <w:r>
        <w:t>Revenue-sharing model between data contributors and CTP</w:t>
      </w:r>
    </w:p>
    <w:p>
      <w:pPr>
        <w:pStyle w:val="Heading3"/>
      </w:pPr>
      <w:r>
        <w:t>8.4 ESG Derivatives Regulation</w:t>
      </w:r>
    </w:p>
    <w:p>
      <w:pPr>
        <w:pStyle w:val="ListBullet"/>
      </w:pPr>
      <w:r>
        <w:t>Growing market for ESG-linked derivatives (sustainability-linked swaps, carbon derivatives, green bond futures)</w:t>
      </w:r>
    </w:p>
    <w:p>
      <w:pPr>
        <w:pStyle w:val="ListBullet"/>
      </w:pPr>
      <w:r>
        <w:t>EU ETS emission allowance derivatives subject to MiFID II position limit regime</w:t>
      </w:r>
    </w:p>
    <w:p>
      <w:pPr>
        <w:pStyle w:val="ListBullet"/>
      </w:pPr>
      <w:r>
        <w:t>EU Taxonomy Regulation and SFDR: increasing focus on ESG-related disclosure for derivatives portfolios</w:t>
      </w:r>
    </w:p>
    <w:p>
      <w:pPr>
        <w:pStyle w:val="ListBullet"/>
      </w:pPr>
      <w:r>
        <w:t>ESG Rating Regulation: application date 2 July 2026; ESMA developing supporting technical standards</w:t>
      </w:r>
    </w:p>
    <w:p>
      <w:pPr>
        <w:pStyle w:val="ListBullet"/>
      </w:pPr>
      <w:r>
        <w:t>Carbon border adjustment mechanism (CBAM) may generate new derivatives products</w:t>
      </w:r>
    </w:p>
    <w:p>
      <w:pPr>
        <w:pStyle w:val="ListBullet"/>
      </w:pPr>
      <w:r>
        <w:t>ESMA monitoring ESG-related greenwashing risks in derivatives markets</w:t>
      </w:r>
    </w:p>
    <w:p>
      <w:pPr>
        <w:pStyle w:val="Heading3"/>
      </w:pPr>
      <w:r>
        <w:t>8.5 Digital / Crypto Derivatives</w:t>
      </w:r>
    </w:p>
    <w:p>
      <w:pPr>
        <w:pStyle w:val="ListBullet"/>
      </w:pPr>
      <w:r>
        <w:t>MiCA (fully applicable December 2024): framework for crypto-assets; crypto-assets qualifying as financial instruments fall under MiFID II/EMIR</w:t>
      </w:r>
    </w:p>
    <w:p>
      <w:pPr>
        <w:pStyle w:val="ListBullet"/>
      </w:pPr>
      <w:r>
        <w:t>Derivatives on crypto-assets subject to same clearing, reporting, and transparency requirements as traditional derivatives (where underlying qualifies under MiFID II)</w:t>
      </w:r>
    </w:p>
    <w:p>
      <w:pPr>
        <w:pStyle w:val="ListBullet"/>
      </w:pPr>
      <w:r>
        <w:t>DLT Pilot Regime (Regulation 2022/858): sandbox for trading and settlement of DLT-based financial instruments, including derivatives (limited scope)</w:t>
      </w:r>
    </w:p>
    <w:p>
      <w:pPr>
        <w:pStyle w:val="ListBullet"/>
      </w:pPr>
      <w:r>
        <w:t>DAC8: tax transparency for crypto-asset transactions from 1 January 2026</w:t>
      </w:r>
    </w:p>
    <w:p>
      <w:pPr>
        <w:pStyle w:val="ListBullet"/>
      </w:pPr>
      <w:r>
        <w:t>ESMA guidelines on qualification of crypto-assets as financial instruments to ensure consistent NCA interpretation</w:t>
      </w:r>
    </w:p>
    <w:p>
      <w:pPr>
        <w:pStyle w:val="Heading3"/>
      </w:pPr>
      <w:r>
        <w:t>8.6 CCP Recovery and Resolution</w:t>
      </w:r>
    </w:p>
    <w:p>
      <w:pPr>
        <w:pStyle w:val="ListBullet"/>
      </w:pPr>
      <w:r>
        <w:t>CCPRRR -- CCP Recovery and Resolution Regulation (EU) 2021/23:</w:t>
      </w:r>
    </w:p>
    <w:p>
      <w:pPr>
        <w:pStyle w:val="ListBullet"/>
      </w:pPr>
      <w:r>
        <w:t>Recovery plans, resolution plans, and resolution authorities for EU CCPs</w:t>
      </w:r>
    </w:p>
    <w:p>
      <w:pPr>
        <w:pStyle w:val="ListBullet"/>
      </w:pPr>
      <w:r>
        <w:t>Resolution tools: position allocation, forced contract termination, write-down of equity/debt</w:t>
      </w:r>
    </w:p>
    <w:p>
      <w:pPr>
        <w:pStyle w:val="ListBullet"/>
      </w:pPr>
      <w:r>
        <w:t>Resolution fund contributions from clearing members</w:t>
      </w:r>
    </w:p>
    <w:p>
      <w:pPr>
        <w:pStyle w:val="ListBullet"/>
      </w:pPr>
      <w:r>
        <w:t>Ongoing ESMA work on CCP stress testing and resolution readiness</w:t>
      </w:r>
    </w:p>
    <w:p>
      <w:pPr>
        <w:pStyle w:val="Heading3"/>
      </w:pPr>
      <w:r>
        <w:t>8.7 ESMA 2026 Work Programme (Key Derivatives Items)</w:t>
      </w:r>
    </w:p>
    <w:p>
      <w:pPr>
        <w:pStyle w:val="ListBullet"/>
      </w:pPr>
      <w:r>
        <w:t>Continued Tier 2 CCP supervision (risk model monitoring, stress testing, liquidity and operational risk)</w:t>
      </w:r>
    </w:p>
    <w:p>
      <w:pPr>
        <w:pStyle w:val="ListBullet"/>
      </w:pPr>
      <w:r>
        <w:t>EMIR 3.0 RTS development and implementation</w:t>
      </w:r>
    </w:p>
    <w:p>
      <w:pPr>
        <w:pStyle w:val="ListBullet"/>
      </w:pPr>
      <w:r>
        <w:t>MiFIR Review technical standards finalization</w:t>
      </w:r>
    </w:p>
    <w:p>
      <w:pPr>
        <w:pStyle w:val="ListBullet"/>
      </w:pPr>
      <w:r>
        <w:t>CTP selection and authorization process</w:t>
      </w:r>
    </w:p>
    <w:p>
      <w:pPr>
        <w:pStyle w:val="ListBullet"/>
      </w:pPr>
      <w:r>
        <w:t>Simplification of financial transaction reporting (call for evidence issued June 2025)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Comparison with Korea</w:t>
      </w:r>
    </w:p>
    <w:p>
      <w:pPr>
        <w:pStyle w:val="Heading3"/>
      </w:pPr>
      <w:r>
        <w:t>9.1 Regulatory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**Primary regulator**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 (coordination) + NCAs (national)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(Financial Services Commission) + FSS (Financial Supervisory Service)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**Exchange operator**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 (Eurex, Euronext, ICE, Nasdaq Nordic, etc.)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(Korea Exchange) -- single integrated exchange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**CCP model**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 authorized CCPs (Eurex Clearing, LCH SA, etc.)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-- single CCP for exchange-traded and OTC derivatives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**Legislative framework**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EMIR, MiFID II/MiFIR (EU regulations/directives)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Investment Services and Capital Markets Act (FSCMA, amended March 2013)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**Supervisory approach**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Multi-layered (ESMA + 27 NCAs + ECB)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Centralized (FSC/FSS)</w:t>
            </w:r>
          </w:p>
        </w:tc>
      </w:tr>
    </w:tbl>
    <w:p/>
    <w:p>
      <w:pPr>
        <w:pStyle w:val="Heading3"/>
      </w:pPr>
      <w:r>
        <w:t>9.2 Position Limit Approaches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**Legal basis**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MiFID II Article 57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FSCMA + KRX rules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**Scope**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Commodity and emission allowance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 listed derivatives (equities, indices, commodities)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**Setting authority**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NCAs (ESMA coordination)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(with FSC/FSS oversight)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**Methodology**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Based on deliverable supply and open interest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Based on open interest and notional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**Hedging exemptions**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NCA-granted exemptions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KRX-granted exemptions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**Speculative limits**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Per-contract limits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Per-account and per-product limits</w:t>
            </w:r>
          </w:p>
        </w:tc>
      </w:tr>
    </w:tbl>
    <w:p/>
    <w:p>
      <w:pPr>
        <w:pStyle w:val="Heading3"/>
      </w:pPr>
      <w:r>
        <w:t>9.3 Clearing Mandates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**OTC clearing mandate**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Standardized IRS and CDS (phased in 2016-2019)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IRS, CRS (introduced 2014)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 EU CCPs + recognized third-country CCPs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(single)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**Counterparty scope**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FC, NFC+ (above clearing thresholds)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institutions (banks, securities firms)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**Clearing thresholds**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(asset-class specific notional thresholds)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(transaction volume-based)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**G20 alignment**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(EMIR implements G20 Pittsburgh commitments)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(FSCMA amendments implement G20 commitments)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**Trade reporting**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Dual-sided to TRs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 KRX TR (Korea Trade Repository)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**Risk mitigation (uncleared)**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Bilateral margining, confirmation, reconciliation, compression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Bilateral margining, similar risk mitigation requirements</w:t>
            </w:r>
          </w:p>
        </w:tc>
      </w:tr>
    </w:tbl>
    <w:p/>
    <w:p>
      <w:pPr>
        <w:pStyle w:val="Heading3"/>
      </w:pPr>
      <w:r>
        <w:t>9.4 Key Structural Differences</w:t>
      </w:r>
    </w:p>
    <w:p>
      <w:pPr>
        <w:pStyle w:val="ListBullet"/>
      </w:pPr>
      <w:r>
        <w:t>Market structure: EU has a fragmented multi-venue, multi-CCP landscape vs. Korea's centralized single-exchange model under KRX</w:t>
      </w:r>
    </w:p>
    <w:p>
      <w:pPr>
        <w:pStyle w:val="ListBullet"/>
      </w:pPr>
      <w:r>
        <w:t>Regulatory complexity: EU's multi-layered framework (EU-level regulations + national transposition + NCA implementation) vs. Korea's streamlined FSC/FSS-KRX structure</w:t>
      </w:r>
    </w:p>
    <w:p>
      <w:pPr>
        <w:pStyle w:val="ListBullet"/>
      </w:pPr>
      <w:r>
        <w:t>Cross-border dimension: EU framework heavily focused on third-country CCP recognition and equivalence (due to Brexit and global interconnection); Korea's framework is primarily domestic-focused with international cooperation through IOSCO/FSB</w:t>
      </w:r>
    </w:p>
    <w:p>
      <w:pPr>
        <w:pStyle w:val="ListBullet"/>
      </w:pPr>
      <w:r>
        <w:t>Active account concept: EU's EMIR 3.0 AAR has no direct Korean equivalent (KRX CCP is the domestic monopoly clearing provider)</w:t>
      </w:r>
    </w:p>
    <w:p>
      <w:pPr>
        <w:pStyle w:val="ListBullet"/>
      </w:pPr>
      <w:r>
        <w:t>Reporting standards: Both aligned with CPMI-IOSCO global data standards (UTI, UPI, LEI)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References</w:t>
      </w:r>
    </w:p>
    <w:p>
      <w:pPr>
        <w:pStyle w:val="Heading3"/>
      </w:pPr>
      <w:r>
        <w:t>Primary Legislation (EUR-Lex)</w:t>
      </w:r>
    </w:p>
    <w:p>
      <w:pPr>
        <w:pStyle w:val="ListBullet"/>
      </w:pPr>
      <w:r>
        <w:t>[EMIR -- Regulation (EU) No 648/2012](https://eur-lex.europa.eu/eli/reg/2012/648/oj/eng)</w:t>
      </w:r>
    </w:p>
    <w:p>
      <w:pPr>
        <w:pStyle w:val="ListBullet"/>
      </w:pPr>
      <w:r>
        <w:t>[EMIR 3.0 -- Regulation (EU) 2024/2987](https://eur-lex.europa.eu/eli/reg/2024/2987/oj/eng)</w:t>
      </w:r>
    </w:p>
    <w:p>
      <w:pPr>
        <w:pStyle w:val="ListBullet"/>
      </w:pPr>
      <w:r>
        <w:t>[MiFIR Review -- Regulation (EU) 2024/791](https://eur-lex.europa.eu/eli/reg/2024/791/oj/eng)</w:t>
      </w:r>
    </w:p>
    <w:p>
      <w:pPr>
        <w:pStyle w:val="Heading3"/>
      </w:pPr>
      <w:r>
        <w:t>ESMA</w:t>
      </w:r>
    </w:p>
    <w:p>
      <w:pPr>
        <w:pStyle w:val="ListBullet"/>
      </w:pPr>
      <w:r>
        <w:t>[EMIR Reporting](https://www.esma.europa.eu/data-reporting/emir-reporting)</w:t>
      </w:r>
    </w:p>
    <w:p>
      <w:pPr>
        <w:pStyle w:val="ListBullet"/>
      </w:pPr>
      <w:r>
        <w:t>[Clearing Obligation and Risk Mitigation Techniques under EMIR](https://www.esma.europa.eu/post-trading/clearing-obligation-and-risk-mitigation-techniques-under-emir)</w:t>
      </w:r>
    </w:p>
    <w:p>
      <w:pPr>
        <w:pStyle w:val="ListBullet"/>
      </w:pPr>
      <w:r>
        <w:t>[Third-Country CCPs](https://www.esma.europa.eu/central-counterparties/third-country-ccps)</w:t>
      </w:r>
    </w:p>
    <w:p>
      <w:pPr>
        <w:pStyle w:val="ListBullet"/>
      </w:pPr>
      <w:r>
        <w:t>[Clearing Thresholds](https://www.esma.europa.eu/post-trading/clearing-thresholds)</w:t>
      </w:r>
    </w:p>
    <w:p>
      <w:pPr>
        <w:pStyle w:val="ListBullet"/>
      </w:pPr>
      <w:r>
        <w:t>[Final Report on EMIR 3 Active Account Requirement](https://www.esma.europa.eu/press-news/esma-news/esma-publishes-final-report-active-account-requirement-under-emir-3)</w:t>
      </w:r>
    </w:p>
    <w:p>
      <w:pPr>
        <w:pStyle w:val="ListBullet"/>
      </w:pPr>
      <w:r>
        <w:t>[MiFIR Review Final Report on Derivatives Transparency](https://www.esma.europa.eu/press-news/esma-news/esma-finalises-technical-standards-derivatives-transparency-and-otc)</w:t>
      </w:r>
    </w:p>
    <w:p>
      <w:pPr>
        <w:pStyle w:val="ListBullet"/>
      </w:pPr>
      <w:r>
        <w:t>[Consolidated Tape Providers](https://www.esma.europa.eu/esmas-activities/markets-and-infrastructure/consolidated-tape-providers)</w:t>
      </w:r>
    </w:p>
    <w:p>
      <w:pPr>
        <w:pStyle w:val="ListBullet"/>
      </w:pPr>
      <w:r>
        <w:t>[Commodity Derivatives -- Position Limits (MiFID II Article 57)](https://www.esma.europa.eu/publications-and-data/interactive-single-rulebook/mifid-ii/article-57-position-limits-commodity)</w:t>
      </w:r>
    </w:p>
    <w:p>
      <w:pPr>
        <w:pStyle w:val="ListBullet"/>
      </w:pPr>
      <w:r>
        <w:t>[MiCA -- Markets in Crypto-Assets Regulation](https://www.esma.europa.eu/esmas-activities/digital-finance-and-innovation/markets-crypto-assets-regulation-mica)</w:t>
      </w:r>
    </w:p>
    <w:p>
      <w:pPr>
        <w:pStyle w:val="ListBullet"/>
      </w:pPr>
      <w:r>
        <w:t>[ESMA 2026 Annual Work Programme](https://www.esma.europa.eu/sites/default/files/2025-10/ESMA22-50751485-1604_Annual_Work_Programme_2026.pdf)</w:t>
      </w:r>
    </w:p>
    <w:p>
      <w:pPr>
        <w:pStyle w:val="Heading3"/>
      </w:pPr>
      <w:r>
        <w:t>European Commission</w:t>
      </w:r>
    </w:p>
    <w:p>
      <w:pPr>
        <w:pStyle w:val="ListBullet"/>
      </w:pPr>
      <w:r>
        <w:t>[Derivatives / EMIR -- Finance](https://finance.ec.europa.eu/financial-markets/financial-markets-policy/post-trade-services/derivatives-emir_en)</w:t>
      </w:r>
    </w:p>
    <w:p>
      <w:pPr>
        <w:pStyle w:val="ListBullet"/>
      </w:pPr>
      <w:r>
        <w:t>[UK CCP Equivalence Extension (January 2025)](https://finance.ec.europa.eu/news/commission-extends-time-limited-equivalence-uk-central-counterparties-2025-01-31_en)</w:t>
      </w:r>
    </w:p>
    <w:p>
      <w:pPr>
        <w:pStyle w:val="ListBullet"/>
      </w:pPr>
      <w:r>
        <w:t>[Benchmarks Regulation](https://finance.ec.europa.eu/news/benchmarks-2025-01-30_en)</w:t>
      </w:r>
    </w:p>
    <w:p>
      <w:pPr>
        <w:pStyle w:val="ListBullet"/>
      </w:pPr>
      <w:r>
        <w:t>[Crypto-Assets](https://finance.ec.europa.eu/digital-finance/crypto-assets_en)</w:t>
      </w:r>
    </w:p>
    <w:p>
      <w:pPr>
        <w:pStyle w:val="Heading3"/>
      </w:pPr>
      <w:r>
        <w:t>Korea</w:t>
      </w:r>
    </w:p>
    <w:p>
      <w:pPr>
        <w:pStyle w:val="ListBullet"/>
      </w:pPr>
      <w:r>
        <w:t>[KRX OTC Derivatives Clearing](https://global.krx.co.kr/contents/GLB/02/0202/0202030201/GLB0202030201.jsp)</w:t>
      </w:r>
    </w:p>
    <w:p>
      <w:pPr>
        <w:pStyle w:val="ListBullet"/>
      </w:pPr>
      <w:r>
        <w:t>[FSC Press Release on OTC Clearing](https://www.fsc.go.kr/eng/pr010101/22219)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