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 Derivatives Regulation</w:t>
      </w:r>
    </w:p>
    <w:p>
      <w:r>
        <w:rPr>
          <w:i/>
          <w:sz w:val="18"/>
        </w:rPr>
        <w:t>**Last Updated:** 2026-04-07</w:t>
      </w:r>
    </w:p>
    <w:p>
      <w:r>
        <w:rPr>
          <w:i/>
          <w:sz w:val="18"/>
        </w:rPr>
        <w:t>**Domain:** Derivatives — Regulatory Framework</w:t>
      </w:r>
    </w:p>
    <w:p>
      <w:r>
        <w:t>────────────────────────────────────────────────────────────</w:t>
      </w:r>
    </w:p>
    <w:p>
      <w:pPr>
        <w:pStyle w:val="Heading2"/>
      </w:pPr>
      <w:r>
        <w:t>1. Regulatory Authorities</w:t>
      </w:r>
    </w:p>
    <w:p>
      <w:pPr>
        <w:pStyle w:val="Heading3"/>
      </w:pPr>
      <w:r>
        <w:t>1.1 Commodity Futures Trading Commission (CFTC)</w:t>
      </w:r>
    </w:p>
    <w:p>
      <w:r>
        <w:t>The CFTC is the primary federal regulator for U.S. derivatives markets. Established in 1974 under the Commodity Futures Trading Commission Act, it assumed regulatory authority previously held by the Department of Agriculture.</w:t>
      </w:r>
    </w:p>
    <w:p>
      <w:pPr>
        <w:pStyle w:val="ListBullet"/>
      </w:pPr>
      <w:r>
        <w:t>Jurisdiction: Futures contracts, options on futures, swaps, and commodity options</w:t>
      </w:r>
    </w:p>
    <w:p>
      <w:pPr>
        <w:pStyle w:val="ListBullet"/>
      </w:pPr>
      <w:r>
        <w:t>Mission: Promote the integrity, resilience, and vibrancy of U.S. derivatives markets through sound regulation</w:t>
      </w:r>
    </w:p>
    <w:p>
      <w:pPr>
        <w:pStyle w:val="ListBullet"/>
      </w:pPr>
      <w:r>
        <w:t>Authority: Commodity Exchange Act (CEA), 7 U.S.C. Chapter 1; Title VII of the Dodd-Frank Act (swaps)</w:t>
      </w:r>
    </w:p>
    <w:p>
      <w:pPr>
        <w:pStyle w:val="ListBullet"/>
      </w:pPr>
      <w:r>
        <w:t>Divisions:</w:t>
      </w:r>
    </w:p>
    <w:p>
      <w:pPr>
        <w:pStyle w:val="ListBullet"/>
      </w:pPr>
      <w:r>
        <w:t>Division of Market Oversight (DMO) — market surveillance, exchange oversight</w:t>
      </w:r>
    </w:p>
    <w:p>
      <w:pPr>
        <w:pStyle w:val="ListBullet"/>
      </w:pPr>
      <w:r>
        <w:t>Division of Clearing and Risk (DCR) — clearinghouse regulation</w:t>
      </w:r>
    </w:p>
    <w:p>
      <w:pPr>
        <w:pStyle w:val="ListBullet"/>
      </w:pPr>
      <w:r>
        <w:t>Division of Enforcement (DOE) — investigations, litigation</w:t>
      </w:r>
    </w:p>
    <w:p>
      <w:pPr>
        <w:pStyle w:val="ListBullet"/>
      </w:pPr>
      <w:r>
        <w:t>Division of Swap Dealer and Intermediary Oversight (DSIO) — registrant supervision</w:t>
      </w:r>
    </w:p>
    <w:p>
      <w:pPr>
        <w:pStyle w:val="ListBullet"/>
      </w:pPr>
      <w:r>
        <w:t>Market Participants Division (MPD) — registrant and market participant oversight</w:t>
      </w:r>
    </w:p>
    <w:p>
      <w:pPr>
        <w:pStyle w:val="ListBullet"/>
      </w:pPr>
      <w:r>
        <w:t>Website: [https://www.cftc.gov](https://www.cftc.gov)</w:t>
      </w:r>
    </w:p>
    <w:p>
      <w:pPr>
        <w:pStyle w:val="Heading3"/>
      </w:pPr>
      <w:r>
        <w:t>1.2 Securities and Exchange Commission (SEC)</w:t>
      </w:r>
    </w:p>
    <w:p>
      <w:pPr>
        <w:pStyle w:val="ListBullet"/>
      </w:pPr>
      <w:r>
        <w:t>Jurisdiction over derivatives: Security-based swaps (swaps on single securities, narrow-based security indices, or loan-based), security futures products</w:t>
      </w:r>
    </w:p>
    <w:p>
      <w:pPr>
        <w:pStyle w:val="ListBullet"/>
      </w:pPr>
      <w:r>
        <w:t>Dodd-Frank mandate: Title VII granted SEC authority over security-based swaps, mirroring CFTC swap oversight</w:t>
      </w:r>
    </w:p>
    <w:p>
      <w:pPr>
        <w:pStyle w:val="ListBullet"/>
      </w:pPr>
      <w:r>
        <w:t>Joint authority: Mixed swaps (having both swap and security-based swap characteristics) are jointly regulated by CFTC and SEC</w:t>
      </w:r>
    </w:p>
    <w:p>
      <w:pPr>
        <w:pStyle w:val="Heading3"/>
      </w:pPr>
      <w:r>
        <w:t>1.3 National Futures Association (NFA)</w:t>
      </w:r>
    </w:p>
    <w:p>
      <w:pPr>
        <w:pStyle w:val="ListBullet"/>
      </w:pPr>
      <w:r>
        <w:t>Status: Designated self-regulatory organization (SRO) for the U.S. futures industry under Section 17 of the CEA</w:t>
      </w:r>
    </w:p>
    <w:p>
      <w:pPr>
        <w:pStyle w:val="ListBullet"/>
      </w:pPr>
      <w:r>
        <w:t>Functions:</w:t>
      </w:r>
    </w:p>
    <w:p>
      <w:pPr>
        <w:pStyle w:val="ListBullet"/>
      </w:pPr>
      <w:r>
        <w:t>Registration processing for all CFTC registrants (FCMs, IBs, CPOs, CTAs, swap dealers, etc.)</w:t>
      </w:r>
    </w:p>
    <w:p>
      <w:pPr>
        <w:pStyle w:val="ListBullet"/>
      </w:pPr>
      <w:r>
        <w:t>Compliance audits and examinations</w:t>
      </w:r>
    </w:p>
    <w:p>
      <w:pPr>
        <w:pStyle w:val="ListBullet"/>
      </w:pPr>
      <w:r>
        <w:t>Arbitration and mediation services</w:t>
      </w:r>
    </w:p>
    <w:p>
      <w:pPr>
        <w:pStyle w:val="ListBullet"/>
      </w:pPr>
      <w:r>
        <w:t>Rule enforcement and disciplinary actions</w:t>
      </w:r>
    </w:p>
    <w:p>
      <w:pPr>
        <w:pStyle w:val="ListBullet"/>
      </w:pPr>
      <w:r>
        <w:t>Membership: Mandatory for all CFTC registrants</w:t>
      </w:r>
    </w:p>
    <w:p>
      <w:pPr>
        <w:pStyle w:val="ListBullet"/>
      </w:pPr>
      <w:r>
        <w:t>Website: [https://www.nfa.futures.org](https://www.nfa.futures.org)</w:t>
      </w:r>
    </w:p>
    <w:p>
      <w:pPr>
        <w:pStyle w:val="Heading3"/>
      </w:pPr>
      <w:r>
        <w:t>1.4 Designated Contract Markets (DCMs)</w:t>
      </w:r>
    </w:p>
    <w:p>
      <w:r>
        <w:t>DCMs (i.e., futures exchanges such as CME, CBOT, NYMEX, COMEX, ICE Futures U.S.) have self-regulatory responsibilities including:</w:t>
      </w:r>
    </w:p>
    <w:p>
      <w:pPr>
        <w:pStyle w:val="ListBullet"/>
      </w:pPr>
      <w:r>
        <w:t>Rule enforcement and trade practice surveillance</w:t>
      </w:r>
    </w:p>
    <w:p>
      <w:pPr>
        <w:pStyle w:val="ListBullet"/>
      </w:pPr>
      <w:r>
        <w:t>Market surveillance and position monitoring</w:t>
      </w:r>
    </w:p>
    <w:p>
      <w:pPr>
        <w:pStyle w:val="ListBullet"/>
      </w:pPr>
      <w:r>
        <w:t>Setting position limits and accountability levels within CFTC parameters</w:t>
      </w:r>
    </w:p>
    <w:p>
      <w:pPr>
        <w:pStyle w:val="ListBullet"/>
      </w:pPr>
      <w:r>
        <w:t>Disciplinary proceedings against market participants</w:t>
      </w:r>
    </w:p>
    <w:p>
      <w:pPr>
        <w:pStyle w:val="Heading3"/>
      </w:pPr>
      <w:r>
        <w:t>1.5 Jurisdictional Delineation: CFTC vs. SEC</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Issue</w:t>
            </w:r>
          </w:p>
        </w:tc>
        <w:tc>
          <w:tcPr>
            <w:tcW w:type="dxa" w:w="4320"/>
          </w:tcPr>
          <w:p>
            <w:pPr/>
            <w:r>
              <w:rPr>
                <w:b/>
                <w:sz w:val="18"/>
              </w:rPr>
              <w:t>Resolution</w:t>
            </w:r>
          </w:p>
        </w:tc>
      </w:tr>
      <w:tr>
        <w:tc>
          <w:tcPr>
            <w:tcW w:type="dxa" w:w="4320"/>
          </w:tcPr>
          <w:p>
            <w:pPr/>
            <w:r>
              <w:rPr>
                <w:sz w:val="18"/>
              </w:rPr>
              <w:t>**Shad-Johnson Accord (1982)**</w:t>
            </w:r>
          </w:p>
        </w:tc>
        <w:tc>
          <w:tcPr>
            <w:tcW w:type="dxa" w:w="4320"/>
          </w:tcPr>
          <w:p>
            <w:pPr/>
            <w:r>
              <w:rPr>
                <w:sz w:val="18"/>
              </w:rPr>
              <w:t>CFTC received exclusive jurisdiction over futures and options on broad-based stock indices; futures on single stocks and narrow-based indices were banned</w:t>
            </w:r>
          </w:p>
        </w:tc>
      </w:tr>
      <w:tr>
        <w:tc>
          <w:tcPr>
            <w:tcW w:type="dxa" w:w="4320"/>
          </w:tcPr>
          <w:p>
            <w:pPr/>
            <w:r>
              <w:rPr>
                <w:sz w:val="18"/>
              </w:rPr>
              <w:t>**CFMA (2000)**</w:t>
            </w:r>
          </w:p>
        </w:tc>
        <w:tc>
          <w:tcPr>
            <w:tcW w:type="dxa" w:w="4320"/>
          </w:tcPr>
          <w:p>
            <w:pPr/>
            <w:r>
              <w:rPr>
                <w:sz w:val="18"/>
              </w:rPr>
              <w:t>Lifted the ban on single stock futures (SSFs) and narrow-based index futures; established joint CFTC/SEC jurisdiction over these "security futures products"</w:t>
            </w:r>
          </w:p>
        </w:tc>
      </w:tr>
      <w:tr>
        <w:tc>
          <w:tcPr>
            <w:tcW w:type="dxa" w:w="4320"/>
          </w:tcPr>
          <w:p>
            <w:pPr/>
            <w:r>
              <w:rPr>
                <w:sz w:val="18"/>
              </w:rPr>
              <w:t>**Dodd-Frank (2010)**</w:t>
            </w:r>
          </w:p>
        </w:tc>
        <w:tc>
          <w:tcPr>
            <w:tcW w:type="dxa" w:w="4320"/>
          </w:tcPr>
          <w:p>
            <w:pPr/>
            <w:r>
              <w:rPr>
                <w:sz w:val="18"/>
              </w:rPr>
              <w:t>CFTC regulates "swaps"; SEC regulates "security-based swaps"; mixed swaps are jointly regulated</w:t>
            </w:r>
          </w:p>
        </w:tc>
      </w:tr>
      <w:tr>
        <w:tc>
          <w:tcPr>
            <w:tcW w:type="dxa" w:w="4320"/>
          </w:tcPr>
          <w:p>
            <w:pPr/>
            <w:r>
              <w:rPr>
                <w:sz w:val="18"/>
              </w:rPr>
              <w:t>**Single stock futures**</w:t>
            </w:r>
          </w:p>
        </w:tc>
        <w:tc>
          <w:tcPr>
            <w:tcW w:type="dxa" w:w="4320"/>
          </w:tcPr>
          <w:p>
            <w:pPr/>
            <w:r>
              <w:rPr>
                <w:sz w:val="18"/>
              </w:rPr>
              <w:t>Trading ceased in 2020 (OneChicago closure); the product is essentially defunct</w:t>
            </w:r>
          </w:p>
        </w:tc>
      </w:tr>
      <w:tr>
        <w:tc>
          <w:tcPr>
            <w:tcW w:type="dxa" w:w="4320"/>
          </w:tcPr>
          <w:p>
            <w:pPr/>
            <w:r>
              <w:rPr>
                <w:sz w:val="18"/>
              </w:rPr>
              <w:t>**Current practice**</w:t>
            </w:r>
          </w:p>
        </w:tc>
        <w:tc>
          <w:tcPr>
            <w:tcW w:type="dxa" w:w="4320"/>
          </w:tcPr>
          <w:p>
            <w:pPr/>
            <w:r>
              <w:rPr>
                <w:sz w:val="18"/>
              </w:rPr>
              <w:t>CFTC oversees the vast majority of derivatives by volume; SEC jurisdiction is limited primarily to security-based swaps and equity options on individual securities/narrow indices</w:t>
            </w:r>
          </w:p>
        </w:tc>
      </w:tr>
    </w:tbl>
    <w:p/>
    <w:p>
      <w:r>
        <w:rPr>
          <w:i/>
          <w:sz w:val="18"/>
        </w:rPr>
        <w:t>**Note:** A 2023 U.S. District Court decision (SDNY) clarified that the CFTC does not have jurisdiction over total return swaps based on ETFs or custom baskets with discretionary rebalancing — those fall under SEC authority as security-based swaps.</w:t>
      </w:r>
    </w:p>
    <w:p>
      <w:r>
        <w:t>────────────────────────────────────────────────────────────</w:t>
      </w:r>
    </w:p>
    <w:p>
      <w:pPr>
        <w:pStyle w:val="Heading2"/>
      </w:pPr>
      <w:r>
        <w:t>2. Key Legislation &amp; Regulations</w:t>
      </w:r>
    </w:p>
    <w:p>
      <w:pPr>
        <w:pStyle w:val="Heading3"/>
      </w:pPr>
      <w:r>
        <w:t>2.1 Commodity Exchange Act (CEA)</w:t>
      </w:r>
    </w:p>
    <w:p>
      <w:pPr>
        <w:pStyle w:val="ListBullet"/>
      </w:pPr>
      <w:r>
        <w:t>Enacted: 1936 (replaced Grain Futures Act of 1922)</w:t>
      </w:r>
    </w:p>
    <w:p>
      <w:pPr>
        <w:pStyle w:val="ListBullet"/>
      </w:pPr>
      <w:r>
        <w:t>Codified: 7 U.S.C. Chapter 1</w:t>
      </w:r>
    </w:p>
    <w:p>
      <w:pPr>
        <w:pStyle w:val="ListBullet"/>
      </w:pPr>
      <w:r>
        <w:t>Purpose: Federal regulation of commodity futures trading, prevention of price manipulation and fraud</w:t>
      </w:r>
    </w:p>
    <w:p>
      <w:pPr>
        <w:pStyle w:val="ListBullet"/>
      </w:pPr>
      <w:r>
        <w:t>Historical evolution:</w:t>
      </w:r>
    </w:p>
    <w:p>
      <w:pPr>
        <w:pStyle w:val="ListBullet"/>
      </w:pPr>
      <w:r>
        <w:t>1936 — Original enactment, covering grain and enumerated agricultural commodities</w:t>
      </w:r>
    </w:p>
    <w:p>
      <w:pPr>
        <w:pStyle w:val="ListBullet"/>
      </w:pPr>
      <w:r>
        <w:t>1974 — CFTC Act: created the CFTC, expanded jurisdiction to all commodities</w:t>
      </w:r>
    </w:p>
    <w:p>
      <w:pPr>
        <w:pStyle w:val="ListBullet"/>
      </w:pPr>
      <w:r>
        <w:t>1982 — Ratified Shad-Johnson Accord jurisdictional split</w:t>
      </w:r>
    </w:p>
    <w:p>
      <w:pPr>
        <w:pStyle w:val="ListBullet"/>
      </w:pPr>
      <w:r>
        <w:t>2000 — Commodity Futures Modernization Act (CFMA): deregulated OTC derivatives, created legal certainty for swaps</w:t>
      </w:r>
    </w:p>
    <w:p>
      <w:pPr>
        <w:pStyle w:val="ListBullet"/>
      </w:pPr>
      <w:r>
        <w:t>2010 — Dodd-Frank Act: brought OTC swaps under comprehensive regulation</w:t>
      </w:r>
    </w:p>
    <w:p>
      <w:pPr>
        <w:pStyle w:val="Heading3"/>
      </w:pPr>
      <w:r>
        <w:t>2.2 Dodd-Frank Wall Street Reform and Consumer Protection Act (2010) — Title VII</w:t>
      </w:r>
    </w:p>
    <w:p>
      <w:r>
        <w:t>Title VII, "Wall Street Transparency and Accountability," is the most significant reform to U.S. derivatives regulation since the CEA's enactment. Key provisions:</w:t>
      </w:r>
    </w:p>
    <w:p>
      <w:pPr>
        <w:pStyle w:val="Heading4"/>
      </w:pPr>
      <w:r>
        <w:t>Mandatory Clearing</w:t>
      </w:r>
    </w:p>
    <w:p>
      <w:pPr>
        <w:pStyle w:val="ListBullet"/>
      </w:pPr>
      <w:r>
        <w:t>Standardized swaps must be cleared through registered Derivatives Clearing Organizations (DCOs)</w:t>
      </w:r>
    </w:p>
    <w:p>
      <w:pPr>
        <w:pStyle w:val="ListBullet"/>
      </w:pPr>
      <w:r>
        <w:t>CFTC mandated clearing for certain interest rate swaps (IRS) and index credit default swaps (CDS) beginning March 2013</w:t>
      </w:r>
    </w:p>
    <w:p>
      <w:pPr>
        <w:pStyle w:val="ListBullet"/>
      </w:pPr>
      <w:r>
        <w:t>End-user exception: Commercial end-users hedging commercial risks may elect not to clear</w:t>
      </w:r>
    </w:p>
    <w:p>
      <w:pPr>
        <w:pStyle w:val="Heading4"/>
      </w:pPr>
      <w:r>
        <w:t>Swap Execution Facilities (SEFs)</w:t>
      </w:r>
    </w:p>
    <w:p>
      <w:pPr>
        <w:pStyle w:val="ListBullet"/>
      </w:pPr>
      <w:r>
        <w:t>Swaps subject to mandatory clearing must be executed on a SEF or DCM (unless no SEF/DCM makes the swap available to trade)</w:t>
      </w:r>
    </w:p>
    <w:p>
      <w:pPr>
        <w:pStyle w:val="ListBullet"/>
      </w:pPr>
      <w:r>
        <w:t>SEFs must provide order book and/or request-for-quote (RFQ) functionality</w:t>
      </w:r>
    </w:p>
    <w:p>
      <w:pPr>
        <w:pStyle w:val="ListBullet"/>
      </w:pPr>
      <w:r>
        <w:t>As of 2022, ~70% of interest rate derivatives and ~87% of CDS were executed on SEFs (ISDA data)</w:t>
      </w:r>
    </w:p>
    <w:p>
      <w:pPr>
        <w:pStyle w:val="Heading4"/>
      </w:pPr>
      <w:r>
        <w:t>Registration Requirements</w:t>
      </w:r>
    </w:p>
    <w:p>
      <w:pPr>
        <w:pStyle w:val="ListBullet"/>
      </w:pPr>
      <w:r>
        <w:t>Swap Dealers (SDs): Entities dealing in swaps above de minimis thresholds must register</w:t>
      </w:r>
    </w:p>
    <w:p>
      <w:pPr>
        <w:pStyle w:val="ListBullet"/>
      </w:pPr>
      <w:r>
        <w:t>Major Swap Participants (MSPs): Non-dealers with substantial swap positions creating systemic risk must register</w:t>
      </w:r>
    </w:p>
    <w:p>
      <w:pPr>
        <w:pStyle w:val="ListBullet"/>
      </w:pPr>
      <w:r>
        <w:t>Both SDs and MSPs are subject to capital, margin, business conduct, and reporting requirements</w:t>
      </w:r>
    </w:p>
    <w:p>
      <w:pPr>
        <w:pStyle w:val="Heading4"/>
      </w:pPr>
      <w:r>
        <w:t>Trade Reporting</w:t>
      </w:r>
    </w:p>
    <w:p>
      <w:pPr>
        <w:pStyle w:val="ListBullet"/>
      </w:pPr>
      <w:r>
        <w:t>All swaps (cleared and uncleared) must be reported to registered Swap Data Repositories (SDRs)</w:t>
      </w:r>
    </w:p>
    <w:p>
      <w:pPr>
        <w:pStyle w:val="ListBullet"/>
      </w:pPr>
      <w:r>
        <w:t>Real-time public reporting of swap transaction and pricing data</w:t>
      </w:r>
    </w:p>
    <w:p>
      <w:pPr>
        <w:pStyle w:val="ListBullet"/>
      </w:pPr>
      <w:r>
        <w:t>Block trade exemptions with delayed reporting</w:t>
      </w:r>
    </w:p>
    <w:p>
      <w:pPr>
        <w:pStyle w:val="Heading4"/>
      </w:pPr>
      <w:r>
        <w:t>Margin Requirements</w:t>
      </w:r>
    </w:p>
    <w:p>
      <w:pPr>
        <w:pStyle w:val="ListBullet"/>
      </w:pPr>
      <w:r>
        <w:t>Uncleared swaps between SDs/MSPs are subject to mandatory initial margin (IM) and variation margin (VM)</w:t>
      </w:r>
    </w:p>
    <w:p>
      <w:pPr>
        <w:pStyle w:val="ListBullet"/>
      </w:pPr>
      <w:r>
        <w:t>Final phase-in of IM requirements completed in September 2022</w:t>
      </w:r>
    </w:p>
    <w:p>
      <w:pPr>
        <w:pStyle w:val="Heading3"/>
      </w:pPr>
      <w:r>
        <w:t>2.3 CFTC Regulations (17 CFR Chapter I)</w:t>
      </w:r>
    </w:p>
    <w:p>
      <w:r>
        <w:t>Key parts of the Code of Federal Regulations: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Part</w:t>
            </w:r>
          </w:p>
        </w:tc>
        <w:tc>
          <w:tcPr>
            <w:tcW w:type="dxa" w:w="4320"/>
          </w:tcPr>
          <w:p>
            <w:pPr/>
            <w:r>
              <w:rPr>
                <w:b/>
                <w:sz w:val="18"/>
              </w:rPr>
              <w:t>Subject</w:t>
            </w:r>
          </w:p>
        </w:tc>
      </w:tr>
      <w:tr>
        <w:tc>
          <w:tcPr>
            <w:tcW w:type="dxa" w:w="4320"/>
          </w:tcPr>
          <w:p>
            <w:pPr/>
            <w:r>
              <w:rPr>
                <w:sz w:val="18"/>
              </w:rPr>
              <w:t>**Part 1**</w:t>
            </w:r>
          </w:p>
        </w:tc>
        <w:tc>
          <w:tcPr>
            <w:tcW w:type="dxa" w:w="4320"/>
          </w:tcPr>
          <w:p>
            <w:pPr/>
            <w:r>
              <w:rPr>
                <w:sz w:val="18"/>
              </w:rPr>
              <w:t>General regulations (definitions, registration, customer protection)</w:t>
            </w:r>
          </w:p>
        </w:tc>
      </w:tr>
      <w:tr>
        <w:tc>
          <w:tcPr>
            <w:tcW w:type="dxa" w:w="4320"/>
          </w:tcPr>
          <w:p>
            <w:pPr/>
            <w:r>
              <w:rPr>
                <w:sz w:val="18"/>
              </w:rPr>
              <w:t>**Part 4**</w:t>
            </w:r>
          </w:p>
        </w:tc>
        <w:tc>
          <w:tcPr>
            <w:tcW w:type="dxa" w:w="4320"/>
          </w:tcPr>
          <w:p>
            <w:pPr/>
            <w:r>
              <w:rPr>
                <w:sz w:val="18"/>
              </w:rPr>
              <w:t>Commodity Pool Operators (CPOs) and Commodity Trading Advisors (CTAs)</w:t>
            </w:r>
          </w:p>
        </w:tc>
      </w:tr>
      <w:tr>
        <w:tc>
          <w:tcPr>
            <w:tcW w:type="dxa" w:w="4320"/>
          </w:tcPr>
          <w:p>
            <w:pPr/>
            <w:r>
              <w:rPr>
                <w:sz w:val="18"/>
              </w:rPr>
              <w:t>**Part 15-21**</w:t>
            </w:r>
          </w:p>
        </w:tc>
        <w:tc>
          <w:tcPr>
            <w:tcW w:type="dxa" w:w="4320"/>
          </w:tcPr>
          <w:p>
            <w:pPr/>
            <w:r>
              <w:rPr>
                <w:sz w:val="18"/>
              </w:rPr>
              <w:t>Reporting requirements (large traders, position reports)</w:t>
            </w:r>
          </w:p>
        </w:tc>
      </w:tr>
      <w:tr>
        <w:tc>
          <w:tcPr>
            <w:tcW w:type="dxa" w:w="4320"/>
          </w:tcPr>
          <w:p>
            <w:pPr/>
            <w:r>
              <w:rPr>
                <w:sz w:val="18"/>
              </w:rPr>
              <w:t>**Part 23**</w:t>
            </w:r>
          </w:p>
        </w:tc>
        <w:tc>
          <w:tcPr>
            <w:tcW w:type="dxa" w:w="4320"/>
          </w:tcPr>
          <w:p>
            <w:pPr/>
            <w:r>
              <w:rPr>
                <w:sz w:val="18"/>
              </w:rPr>
              <w:t>Swap dealer and MSP requirements</w:t>
            </w:r>
          </w:p>
        </w:tc>
      </w:tr>
      <w:tr>
        <w:tc>
          <w:tcPr>
            <w:tcW w:type="dxa" w:w="4320"/>
          </w:tcPr>
          <w:p>
            <w:pPr/>
            <w:r>
              <w:rPr>
                <w:sz w:val="18"/>
              </w:rPr>
              <w:t>**Part 37**</w:t>
            </w:r>
          </w:p>
        </w:tc>
        <w:tc>
          <w:tcPr>
            <w:tcW w:type="dxa" w:w="4320"/>
          </w:tcPr>
          <w:p>
            <w:pPr/>
            <w:r>
              <w:rPr>
                <w:sz w:val="18"/>
              </w:rPr>
              <w:t>Swap Execution Facilities (SEFs)</w:t>
            </w:r>
          </w:p>
        </w:tc>
      </w:tr>
      <w:tr>
        <w:tc>
          <w:tcPr>
            <w:tcW w:type="dxa" w:w="4320"/>
          </w:tcPr>
          <w:p>
            <w:pPr/>
            <w:r>
              <w:rPr>
                <w:sz w:val="18"/>
              </w:rPr>
              <w:t>**Part 38**</w:t>
            </w:r>
          </w:p>
        </w:tc>
        <w:tc>
          <w:tcPr>
            <w:tcW w:type="dxa" w:w="4320"/>
          </w:tcPr>
          <w:p>
            <w:pPr/>
            <w:r>
              <w:rPr>
                <w:sz w:val="18"/>
              </w:rPr>
              <w:t>Designated Contract Markets (DCMs)</w:t>
            </w:r>
          </w:p>
        </w:tc>
      </w:tr>
      <w:tr>
        <w:tc>
          <w:tcPr>
            <w:tcW w:type="dxa" w:w="4320"/>
          </w:tcPr>
          <w:p>
            <w:pPr/>
            <w:r>
              <w:rPr>
                <w:sz w:val="18"/>
              </w:rPr>
              <w:t>**Part 39**</w:t>
            </w:r>
          </w:p>
        </w:tc>
        <w:tc>
          <w:tcPr>
            <w:tcW w:type="dxa" w:w="4320"/>
          </w:tcPr>
          <w:p>
            <w:pPr/>
            <w:r>
              <w:rPr>
                <w:sz w:val="18"/>
              </w:rPr>
              <w:t>Derivatives Clearing Organizations (DCOs)</w:t>
            </w:r>
          </w:p>
        </w:tc>
      </w:tr>
      <w:tr>
        <w:tc>
          <w:tcPr>
            <w:tcW w:type="dxa" w:w="4320"/>
          </w:tcPr>
          <w:p>
            <w:pPr/>
            <w:r>
              <w:rPr>
                <w:sz w:val="18"/>
              </w:rPr>
              <w:t>**Part 43**</w:t>
            </w:r>
          </w:p>
        </w:tc>
        <w:tc>
          <w:tcPr>
            <w:tcW w:type="dxa" w:w="4320"/>
          </w:tcPr>
          <w:p>
            <w:pPr/>
            <w:r>
              <w:rPr>
                <w:sz w:val="18"/>
              </w:rPr>
              <w:t>Real-time public reporting</w:t>
            </w:r>
          </w:p>
        </w:tc>
      </w:tr>
      <w:tr>
        <w:tc>
          <w:tcPr>
            <w:tcW w:type="dxa" w:w="4320"/>
          </w:tcPr>
          <w:p>
            <w:pPr/>
            <w:r>
              <w:rPr>
                <w:sz w:val="18"/>
              </w:rPr>
              <w:t>**Part 45**</w:t>
            </w:r>
          </w:p>
        </w:tc>
        <w:tc>
          <w:tcPr>
            <w:tcW w:type="dxa" w:w="4320"/>
          </w:tcPr>
          <w:p>
            <w:pPr/>
            <w:r>
              <w:rPr>
                <w:sz w:val="18"/>
              </w:rPr>
              <w:t>Swap data recordkeeping and reporting</w:t>
            </w:r>
          </w:p>
        </w:tc>
      </w:tr>
      <w:tr>
        <w:tc>
          <w:tcPr>
            <w:tcW w:type="dxa" w:w="4320"/>
          </w:tcPr>
          <w:p>
            <w:pPr/>
            <w:r>
              <w:rPr>
                <w:sz w:val="18"/>
              </w:rPr>
              <w:t>**Part 46**</w:t>
            </w:r>
          </w:p>
        </w:tc>
        <w:tc>
          <w:tcPr>
            <w:tcW w:type="dxa" w:w="4320"/>
          </w:tcPr>
          <w:p>
            <w:pPr/>
            <w:r>
              <w:rPr>
                <w:sz w:val="18"/>
              </w:rPr>
              <w:t>Swap data for pre-enactment and transition swaps</w:t>
            </w:r>
          </w:p>
        </w:tc>
      </w:tr>
      <w:tr>
        <w:tc>
          <w:tcPr>
            <w:tcW w:type="dxa" w:w="4320"/>
          </w:tcPr>
          <w:p>
            <w:pPr/>
            <w:r>
              <w:rPr>
                <w:sz w:val="18"/>
              </w:rPr>
              <w:t>**Part 49**</w:t>
            </w:r>
          </w:p>
        </w:tc>
        <w:tc>
          <w:tcPr>
            <w:tcW w:type="dxa" w:w="4320"/>
          </w:tcPr>
          <w:p>
            <w:pPr/>
            <w:r>
              <w:rPr>
                <w:sz w:val="18"/>
              </w:rPr>
              <w:t>Swap Data Repositories (SDRs)</w:t>
            </w:r>
          </w:p>
        </w:tc>
      </w:tr>
      <w:tr>
        <w:tc>
          <w:tcPr>
            <w:tcW w:type="dxa" w:w="4320"/>
          </w:tcPr>
          <w:p>
            <w:pPr/>
            <w:r>
              <w:rPr>
                <w:sz w:val="18"/>
              </w:rPr>
              <w:t>**Part 140**</w:t>
            </w:r>
          </w:p>
        </w:tc>
        <w:tc>
          <w:tcPr>
            <w:tcW w:type="dxa" w:w="4320"/>
          </w:tcPr>
          <w:p>
            <w:pPr/>
            <w:r>
              <w:rPr>
                <w:sz w:val="18"/>
              </w:rPr>
              <w:t>Organization, functions, and procedures</w:t>
            </w:r>
          </w:p>
        </w:tc>
      </w:tr>
      <w:tr>
        <w:tc>
          <w:tcPr>
            <w:tcW w:type="dxa" w:w="4320"/>
          </w:tcPr>
          <w:p>
            <w:pPr/>
            <w:r>
              <w:rPr>
                <w:sz w:val="18"/>
              </w:rPr>
              <w:t>**Part 150**</w:t>
            </w:r>
          </w:p>
        </w:tc>
        <w:tc>
          <w:tcPr>
            <w:tcW w:type="dxa" w:w="4320"/>
          </w:tcPr>
          <w:p>
            <w:pPr/>
            <w:r>
              <w:rPr>
                <w:sz w:val="18"/>
              </w:rPr>
              <w:t>Speculative position limits</w:t>
            </w:r>
          </w:p>
        </w:tc>
      </w:tr>
      <w:tr>
        <w:tc>
          <w:tcPr>
            <w:tcW w:type="dxa" w:w="4320"/>
          </w:tcPr>
          <w:p>
            <w:pPr/>
            <w:r>
              <w:rPr>
                <w:sz w:val="18"/>
              </w:rPr>
              <w:t>**Part 190**</w:t>
            </w:r>
          </w:p>
        </w:tc>
        <w:tc>
          <w:tcPr>
            <w:tcW w:type="dxa" w:w="4320"/>
          </w:tcPr>
          <w:p>
            <w:pPr/>
            <w:r>
              <w:rPr>
                <w:sz w:val="18"/>
              </w:rPr>
              <w:t>Bankruptcy rules for commodity brokers</w:t>
            </w:r>
          </w:p>
        </w:tc>
      </w:tr>
    </w:tbl>
    <w:p/>
    <w:p>
      <w:pPr>
        <w:pStyle w:val="Heading3"/>
      </w:pPr>
      <w:r>
        <w:t>2.4 Other Relevant Legislation</w:t>
      </w:r>
    </w:p>
    <w:p>
      <w:pPr>
        <w:pStyle w:val="ListBullet"/>
      </w:pPr>
      <w:r>
        <w:t>Commodity Futures Modernization Act (CFMA, 2000): Deregulated OTC derivatives, created legal certainty for swaps (later largely superseded by Dodd-Frank)</w:t>
      </w:r>
    </w:p>
    <w:p>
      <w:pPr>
        <w:pStyle w:val="ListBullet"/>
      </w:pPr>
      <w:r>
        <w:t>CEA Reauthorization Act (2008): Enhanced CFTC enforcement authority over energy markets</w:t>
      </w:r>
    </w:p>
    <w:p>
      <w:pPr>
        <w:pStyle w:val="ListBullet"/>
      </w:pPr>
      <w:r>
        <w:t>CFTC Reauthorization: Congress periodically reauthorizes the CFTC (most recent reauthorization debates ongoing)</w:t>
      </w:r>
    </w:p>
    <w:p>
      <w:r>
        <w:t>────────────────────────────────────────────────────────────</w:t>
      </w:r>
    </w:p>
    <w:p>
      <w:pPr>
        <w:pStyle w:val="Heading2"/>
      </w:pPr>
      <w:r>
        <w:t>3. Market Participant Categories</w:t>
      </w:r>
    </w:p>
    <w:p>
      <w:pPr>
        <w:pStyle w:val="Heading3"/>
      </w:pPr>
      <w:r>
        <w:t>3.1 Intermediaries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Category</w:t>
            </w:r>
          </w:p>
        </w:tc>
        <w:tc>
          <w:tcPr>
            <w:tcW w:type="dxa" w:w="2160"/>
          </w:tcPr>
          <w:p>
            <w:pPr/>
            <w:r>
              <w:rPr>
                <w:b/>
                <w:sz w:val="18"/>
              </w:rPr>
              <w:t>Abbreviation</w:t>
            </w:r>
          </w:p>
        </w:tc>
        <w:tc>
          <w:tcPr>
            <w:tcW w:type="dxa" w:w="2160"/>
          </w:tcPr>
          <w:p>
            <w:pPr/>
            <w:r>
              <w:rPr>
                <w:b/>
                <w:sz w:val="18"/>
              </w:rPr>
              <w:t>Function</w:t>
            </w:r>
          </w:p>
        </w:tc>
        <w:tc>
          <w:tcPr>
            <w:tcW w:type="dxa" w:w="2160"/>
          </w:tcPr>
          <w:p>
            <w:pPr/>
            <w:r>
              <w:rPr>
                <w:b/>
                <w:sz w:val="18"/>
              </w:rPr>
              <w:t>Capital Requirement</w:t>
            </w:r>
          </w:p>
        </w:tc>
      </w:tr>
      <w:tr>
        <w:tc>
          <w:tcPr>
            <w:tcW w:type="dxa" w:w="2160"/>
          </w:tcPr>
          <w:p>
            <w:pPr/>
            <w:r>
              <w:rPr>
                <w:sz w:val="18"/>
              </w:rPr>
              <w:t>**Futures Commission Merchant**</w:t>
            </w:r>
          </w:p>
        </w:tc>
        <w:tc>
          <w:tcPr>
            <w:tcW w:type="dxa" w:w="2160"/>
          </w:tcPr>
          <w:p>
            <w:pPr/>
            <w:r>
              <w:rPr>
                <w:sz w:val="18"/>
              </w:rPr>
              <w:t>FCM</w:t>
            </w:r>
          </w:p>
        </w:tc>
        <w:tc>
          <w:tcPr>
            <w:tcW w:type="dxa" w:w="2160"/>
          </w:tcPr>
          <w:p>
            <w:pPr/>
            <w:r>
              <w:rPr>
                <w:sz w:val="18"/>
              </w:rPr>
              <w:t>Solicits/accepts orders and customer funds for futures, options, swaps</w:t>
            </w:r>
          </w:p>
        </w:tc>
        <w:tc>
          <w:tcPr>
            <w:tcW w:type="dxa" w:w="2160"/>
          </w:tcPr>
          <w:p>
            <w:pPr/>
            <w:r>
              <w:rPr>
                <w:sz w:val="18"/>
              </w:rPr>
              <w:t>$1,000,000 adjusted net capital (minimum); $20,000,000 if also a registered swap dealer</w:t>
            </w:r>
          </w:p>
        </w:tc>
      </w:tr>
      <w:tr>
        <w:tc>
          <w:tcPr>
            <w:tcW w:type="dxa" w:w="2160"/>
          </w:tcPr>
          <w:p>
            <w:pPr/>
            <w:r>
              <w:rPr>
                <w:sz w:val="18"/>
              </w:rPr>
              <w:t>**Introducing Broker**</w:t>
            </w:r>
          </w:p>
        </w:tc>
        <w:tc>
          <w:tcPr>
            <w:tcW w:type="dxa" w:w="2160"/>
          </w:tcPr>
          <w:p>
            <w:pPr/>
            <w:r>
              <w:rPr>
                <w:sz w:val="18"/>
              </w:rPr>
              <w:t>IB</w:t>
            </w:r>
          </w:p>
        </w:tc>
        <w:tc>
          <w:tcPr>
            <w:tcW w:type="dxa" w:w="2160"/>
          </w:tcPr>
          <w:p>
            <w:pPr/>
            <w:r>
              <w:rPr>
                <w:sz w:val="18"/>
              </w:rPr>
              <w:t>Solicits orders but does not hold customer funds (introduces to an FCM)</w:t>
            </w:r>
          </w:p>
        </w:tc>
        <w:tc>
          <w:tcPr>
            <w:tcW w:type="dxa" w:w="2160"/>
          </w:tcPr>
          <w:p>
            <w:pPr/>
            <w:r>
              <w:rPr>
                <w:sz w:val="18"/>
              </w:rPr>
              <w:t>$45,000 net capital (or guaranteed IB arrangement)</w:t>
            </w:r>
          </w:p>
        </w:tc>
      </w:tr>
      <w:tr>
        <w:tc>
          <w:tcPr>
            <w:tcW w:type="dxa" w:w="2160"/>
          </w:tcPr>
          <w:p>
            <w:pPr/>
            <w:r>
              <w:rPr>
                <w:sz w:val="18"/>
              </w:rPr>
              <w:t>**Commodity Pool Operator**</w:t>
            </w:r>
          </w:p>
        </w:tc>
        <w:tc>
          <w:tcPr>
            <w:tcW w:type="dxa" w:w="2160"/>
          </w:tcPr>
          <w:p>
            <w:pPr/>
            <w:r>
              <w:rPr>
                <w:sz w:val="18"/>
              </w:rPr>
              <w:t>CPO</w:t>
            </w:r>
          </w:p>
        </w:tc>
        <w:tc>
          <w:tcPr>
            <w:tcW w:type="dxa" w:w="2160"/>
          </w:tcPr>
          <w:p>
            <w:pPr/>
            <w:r>
              <w:rPr>
                <w:sz w:val="18"/>
              </w:rPr>
              <w:t>Operates pooled investment vehicles trading futures/swaps</w:t>
            </w:r>
          </w:p>
        </w:tc>
        <w:tc>
          <w:tcPr>
            <w:tcW w:type="dxa" w:w="2160"/>
          </w:tcPr>
          <w:p>
            <w:pPr/>
            <w:r>
              <w:rPr>
                <w:sz w:val="18"/>
              </w:rPr>
              <w:t>Varies (fund-level requirements)</w:t>
            </w:r>
          </w:p>
        </w:tc>
      </w:tr>
      <w:tr>
        <w:tc>
          <w:tcPr>
            <w:tcW w:type="dxa" w:w="2160"/>
          </w:tcPr>
          <w:p>
            <w:pPr/>
            <w:r>
              <w:rPr>
                <w:sz w:val="18"/>
              </w:rPr>
              <w:t>**Commodity Trading Advisor**</w:t>
            </w:r>
          </w:p>
        </w:tc>
        <w:tc>
          <w:tcPr>
            <w:tcW w:type="dxa" w:w="2160"/>
          </w:tcPr>
          <w:p>
            <w:pPr/>
            <w:r>
              <w:rPr>
                <w:sz w:val="18"/>
              </w:rPr>
              <w:t>CTA</w:t>
            </w:r>
          </w:p>
        </w:tc>
        <w:tc>
          <w:tcPr>
            <w:tcW w:type="dxa" w:w="2160"/>
          </w:tcPr>
          <w:p>
            <w:pPr/>
            <w:r>
              <w:rPr>
                <w:sz w:val="18"/>
              </w:rPr>
              <w:t>Provides trading advice on futures/swaps for compensation</w:t>
            </w:r>
          </w:p>
        </w:tc>
        <w:tc>
          <w:tcPr>
            <w:tcW w:type="dxa" w:w="2160"/>
          </w:tcPr>
          <w:p>
            <w:pPr/>
            <w:r>
              <w:rPr>
                <w:sz w:val="18"/>
              </w:rPr>
              <w:t>Varies</w:t>
            </w:r>
          </w:p>
        </w:tc>
      </w:tr>
      <w:tr>
        <w:tc>
          <w:tcPr>
            <w:tcW w:type="dxa" w:w="2160"/>
          </w:tcPr>
          <w:p>
            <w:pPr/>
            <w:r>
              <w:rPr>
                <w:sz w:val="18"/>
              </w:rPr>
              <w:t>**Swap Dealer**</w:t>
            </w:r>
          </w:p>
        </w:tc>
        <w:tc>
          <w:tcPr>
            <w:tcW w:type="dxa" w:w="2160"/>
          </w:tcPr>
          <w:p>
            <w:pPr/>
            <w:r>
              <w:rPr>
                <w:sz w:val="18"/>
              </w:rPr>
              <w:t>SD</w:t>
            </w:r>
          </w:p>
        </w:tc>
        <w:tc>
          <w:tcPr>
            <w:tcW w:type="dxa" w:w="2160"/>
          </w:tcPr>
          <w:p>
            <w:pPr/>
            <w:r>
              <w:rPr>
                <w:sz w:val="18"/>
              </w:rPr>
              <w:t>Deals in swaps (market-making, accommodating demand)</w:t>
            </w:r>
          </w:p>
        </w:tc>
        <w:tc>
          <w:tcPr>
            <w:tcW w:type="dxa" w:w="2160"/>
          </w:tcPr>
          <w:p>
            <w:pPr/>
            <w:r>
              <w:rPr>
                <w:sz w:val="18"/>
              </w:rPr>
              <w:t>$20,000,000 minimum net capital (bank SDs subject to prudential regulator capital)</w:t>
            </w:r>
          </w:p>
        </w:tc>
      </w:tr>
      <w:tr>
        <w:tc>
          <w:tcPr>
            <w:tcW w:type="dxa" w:w="2160"/>
          </w:tcPr>
          <w:p>
            <w:pPr/>
            <w:r>
              <w:rPr>
                <w:sz w:val="18"/>
              </w:rPr>
              <w:t>**Major Swap Participant**</w:t>
            </w:r>
          </w:p>
        </w:tc>
        <w:tc>
          <w:tcPr>
            <w:tcW w:type="dxa" w:w="2160"/>
          </w:tcPr>
          <w:p>
            <w:pPr/>
            <w:r>
              <w:rPr>
                <w:sz w:val="18"/>
              </w:rPr>
              <w:t>MSP</w:t>
            </w:r>
          </w:p>
        </w:tc>
        <w:tc>
          <w:tcPr>
            <w:tcW w:type="dxa" w:w="2160"/>
          </w:tcPr>
          <w:p>
            <w:pPr/>
            <w:r>
              <w:rPr>
                <w:sz w:val="18"/>
              </w:rPr>
              <w:t>Non-dealer with substantial swap positions that could create systemic risk</w:t>
            </w:r>
          </w:p>
        </w:tc>
        <w:tc>
          <w:tcPr>
            <w:tcW w:type="dxa" w:w="2160"/>
          </w:tcPr>
          <w:p>
            <w:pPr/>
            <w:r>
              <w:rPr>
                <w:sz w:val="18"/>
              </w:rPr>
              <w:t>Capital requirements set by CFTC</w:t>
            </w:r>
          </w:p>
        </w:tc>
      </w:tr>
    </w:tbl>
    <w:p/>
    <w:p>
      <w:pPr>
        <w:pStyle w:val="Heading3"/>
      </w:pPr>
      <w:r>
        <w:t>3.2 Registration Requirements</w:t>
      </w:r>
    </w:p>
    <w:p>
      <w:pPr>
        <w:pStyle w:val="ListBullet"/>
      </w:pPr>
      <w:r>
        <w:t>All intermediaries must register with the CFTC through NFA</w:t>
      </w:r>
    </w:p>
    <w:p>
      <w:pPr>
        <w:pStyle w:val="ListBullet"/>
      </w:pPr>
      <w:r>
        <w:t>Form 7-R: Firm registration (legal name, organization, business details, principal disclosure)</w:t>
      </w:r>
    </w:p>
    <w:p>
      <w:pPr>
        <w:pStyle w:val="ListBullet"/>
      </w:pPr>
      <w:r>
        <w:t>Form 8-R: Individual registration for principals and associated persons (APs)</w:t>
      </w:r>
    </w:p>
    <w:p>
      <w:pPr>
        <w:pStyle w:val="ListBullet"/>
      </w:pPr>
      <w:r>
        <w:t>Proficiency: APs must pass the Series 3 (National Commodity Futures Examination); swap activity requires additional Swaps Proficiency Requirements (NFA Rule 401)</w:t>
      </w:r>
    </w:p>
    <w:p>
      <w:pPr>
        <w:pStyle w:val="ListBullet"/>
      </w:pPr>
      <w:r>
        <w:t>Chief Compliance Officer (CCO): Every FCM and SD must designate a CCO</w:t>
      </w:r>
    </w:p>
    <w:p>
      <w:pPr>
        <w:pStyle w:val="ListBullet"/>
      </w:pPr>
      <w:r>
        <w:t>Compliance programs: AML, cybersecurity, business continuity, supervisory procedures, promotional material review</w:t>
      </w:r>
    </w:p>
    <w:p>
      <w:pPr>
        <w:pStyle w:val="Heading3"/>
      </w:pPr>
      <w:r>
        <w:t>3.3 Other Market Participants</w:t>
      </w:r>
    </w:p>
    <w:p>
      <w:pPr>
        <w:pStyle w:val="ListBullet"/>
      </w:pPr>
      <w:r>
        <w:t>Proprietary trading firms: Generally exempt from FCM registration if trading only for own account</w:t>
      </w:r>
    </w:p>
    <w:p>
      <w:pPr>
        <w:pStyle w:val="ListBullet"/>
      </w:pPr>
      <w:r>
        <w:t>Commercial hedgers (end-users): Exempt from clearing mandates; exempt from certain swap dealer registration thresholds</w:t>
      </w:r>
    </w:p>
    <w:p>
      <w:pPr>
        <w:pStyle w:val="ListBullet"/>
      </w:pPr>
      <w:r>
        <w:t>Foreign intermediaries: May be subject to CFTC requirements depending on U.S. customer activity and cross-border rules</w:t>
      </w:r>
    </w:p>
    <w:p>
      <w:r>
        <w:t>────────────────────────────────────────────────────────────</w:t>
      </w:r>
    </w:p>
    <w:p>
      <w:pPr>
        <w:pStyle w:val="Heading2"/>
      </w:pPr>
      <w:r>
        <w:t>4. Position Limits Framework</w:t>
      </w:r>
    </w:p>
    <w:p>
      <w:pPr>
        <w:pStyle w:val="Heading3"/>
      </w:pPr>
      <w:r>
        <w:t>4.1 CFTC Part 150 — Federal Speculative Position Limits</w:t>
      </w:r>
    </w:p>
    <w:p>
      <w:r>
        <w:t>The CFTC finalized its long-awaited position limits rule on January 14, 2021 (86 FR 3236), effective March 15, 2021.</w:t>
      </w:r>
    </w:p>
    <w:p>
      <w:pPr>
        <w:pStyle w:val="Heading4"/>
      </w:pPr>
      <w:r>
        <w:t>25 Core Referenced Futures Contracts</w:t>
      </w:r>
    </w:p>
    <w:p>
      <w:r>
        <w:t>The rule establishes federal speculative position limits on 25 core referenced futures contracts across three commodity groups:</w:t>
      </w:r>
    </w:p>
    <w:p>
      <w:r>
        <w:t>Agricultural (Legacy 9 + New 7 = 16):</w:t>
      </w:r>
    </w:p>
    <w:p>
      <w:pPr>
        <w:pStyle w:val="ListBullet"/>
      </w:pPr>
      <w:r>
        <w:t>Legacy: CBOT Corn, Oats, Soybeans, Soybean Oil, Soybean Meal, Wheat, KC HRW Wheat, MGEX HRS Wheat, ICE Cotton No. 2</w:t>
      </w:r>
    </w:p>
    <w:p>
      <w:pPr>
        <w:pStyle w:val="ListBullet"/>
      </w:pPr>
      <w:r>
        <w:t>New: CBOT Rice, ICE Cocoa, ICE Coffee C, ICE FCOJ-A, ICE Sugar No. 11, ICE Sugar No. 16, CME Live Cattle (added to federal limits)</w:t>
      </w:r>
    </w:p>
    <w:p>
      <w:r>
        <w:t>Metals (4):</w:t>
      </w:r>
    </w:p>
    <w:p>
      <w:pPr>
        <w:pStyle w:val="ListBullet"/>
      </w:pPr>
      <w:r>
        <w:t>COMEX Gold, Silver, Copper, NYMEX Palladium</w:t>
      </w:r>
    </w:p>
    <w:p>
      <w:r>
        <w:t>Energy (5):</w:t>
      </w:r>
    </w:p>
    <w:p>
      <w:pPr>
        <w:pStyle w:val="ListBullet"/>
      </w:pPr>
      <w:r>
        <w:t>NYMEX Light Sweet Crude Oil (WTI), NY Harbor ULSD, RBOB Gasoline, Henry Hub Natural Gas, ICE Henry Hub Natural Gas</w:t>
      </w:r>
    </w:p>
    <w:p>
      <w:pPr>
        <w:pStyle w:val="Heading4"/>
      </w:pPr>
      <w:r>
        <w:t>Position Limit Levels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Limit Type</w:t>
            </w:r>
          </w:p>
        </w:tc>
        <w:tc>
          <w:tcPr>
            <w:tcW w:type="dxa" w:w="4320"/>
          </w:tcPr>
          <w:p>
            <w:pPr/>
            <w:r>
              <w:rPr>
                <w:b/>
                <w:sz w:val="18"/>
              </w:rPr>
              <w:t>Methodology</w:t>
            </w:r>
          </w:p>
        </w:tc>
      </w:tr>
      <w:tr>
        <w:tc>
          <w:tcPr>
            <w:tcW w:type="dxa" w:w="4320"/>
          </w:tcPr>
          <w:p>
            <w:pPr/>
            <w:r>
              <w:rPr>
                <w:sz w:val="18"/>
              </w:rPr>
              <w:t>**Spot-month**</w:t>
            </w:r>
          </w:p>
        </w:tc>
        <w:tc>
          <w:tcPr>
            <w:tcW w:type="dxa" w:w="4320"/>
          </w:tcPr>
          <w:p>
            <w:pPr/>
            <w:r>
              <w:rPr>
                <w:sz w:val="18"/>
              </w:rPr>
              <w:t>At or below 25% of estimated deliverable supply; physically-settled and cash-settled limits apply separately</w:t>
            </w:r>
          </w:p>
        </w:tc>
      </w:tr>
      <w:tr>
        <w:tc>
          <w:tcPr>
            <w:tcW w:type="dxa" w:w="4320"/>
          </w:tcPr>
          <w:p>
            <w:pPr/>
            <w:r>
              <w:rPr>
                <w:sz w:val="18"/>
              </w:rPr>
              <w:t>**Single-month (non-spot)**</w:t>
            </w:r>
          </w:p>
        </w:tc>
        <w:tc>
          <w:tcPr>
            <w:tcW w:type="dxa" w:w="4320"/>
          </w:tcPr>
          <w:p>
            <w:pPr/>
            <w:r>
              <w:rPr>
                <w:sz w:val="18"/>
              </w:rPr>
              <w:t>10% of open interest for the first 25,000 contracts + 2.5% thereafter</w:t>
            </w:r>
          </w:p>
        </w:tc>
      </w:tr>
      <w:tr>
        <w:tc>
          <w:tcPr>
            <w:tcW w:type="dxa" w:w="4320"/>
          </w:tcPr>
          <w:p>
            <w:pPr/>
            <w:r>
              <w:rPr>
                <w:sz w:val="18"/>
              </w:rPr>
              <w:t>**All-months combined**</w:t>
            </w:r>
          </w:p>
        </w:tc>
        <w:tc>
          <w:tcPr>
            <w:tcW w:type="dxa" w:w="4320"/>
          </w:tcPr>
          <w:p>
            <w:pPr/>
            <w:r>
              <w:rPr>
                <w:sz w:val="18"/>
              </w:rPr>
              <w:t>10% of open interest for the first 25,000 contracts + 2.5% thereafter</w:t>
            </w:r>
          </w:p>
        </w:tc>
      </w:tr>
    </w:tbl>
    <w:p/>
    <w:p>
      <w:pPr>
        <w:pStyle w:val="Heading4"/>
      </w:pPr>
      <w:r>
        <w:t>Scope: Referenced Contracts</w:t>
      </w:r>
    </w:p>
    <w:p>
      <w:r>
        <w:t>Position limits apply to:</w:t>
      </w:r>
    </w:p>
    <w:p>
      <w:pPr>
        <w:pStyle w:val="ListNumber"/>
      </w:pPr>
      <w:r>
        <w:t>The 25 core referenced futures contracts themselves</w:t>
      </w:r>
    </w:p>
    <w:p>
      <w:pPr>
        <w:pStyle w:val="ListNumber"/>
      </w:pPr>
      <w:r>
        <w:t>Any futures/options directly or indirectly linked to a core referenced contract</w:t>
      </w:r>
    </w:p>
    <w:p>
      <w:pPr>
        <w:pStyle w:val="ListNumber"/>
      </w:pPr>
      <w:r>
        <w:t>Economically equivalent swaps (compliance date: January 1, 2023)</w:t>
      </w:r>
    </w:p>
    <w:p>
      <w:pPr>
        <w:pStyle w:val="Heading4"/>
      </w:pPr>
      <w:r>
        <w:t>Compliance Dates</w:t>
      </w:r>
    </w:p>
    <w:p>
      <w:pPr>
        <w:pStyle w:val="ListBullet"/>
      </w:pPr>
      <w:r>
        <w:t>January 1, 2022: Federal limits for 16 non-legacy core referenced contracts</w:t>
      </w:r>
    </w:p>
    <w:p>
      <w:pPr>
        <w:pStyle w:val="ListBullet"/>
      </w:pPr>
      <w:r>
        <w:t>January 1, 2023: Federal limits for economically equivalent swaps</w:t>
      </w:r>
    </w:p>
    <w:p>
      <w:pPr>
        <w:pStyle w:val="Heading3"/>
      </w:pPr>
      <w:r>
        <w:t>4.2 Hedge Exemptions</w:t>
      </w:r>
    </w:p>
    <w:p>
      <w:r>
        <w:t>Bona fide hedgers may apply for exemptions from speculative position limits:</w:t>
      </w:r>
    </w:p>
    <w:p>
      <w:pPr>
        <w:pStyle w:val="ListBullet"/>
      </w:pPr>
      <w:r>
        <w:t>Enumerated hedges: Fixed list of qualifying hedge transactions (e.g., production hedging, merchant hedging, processing hedging)</w:t>
      </w:r>
    </w:p>
    <w:p>
      <w:pPr>
        <w:pStyle w:val="ListBullet"/>
      </w:pPr>
      <w:r>
        <w:t>Non-enumerated hedges: Market participants may apply to exchanges (and notify CFTC) for recognition of hedge positions not fitting enumerated categories</w:t>
      </w:r>
    </w:p>
    <w:p>
      <w:pPr>
        <w:pStyle w:val="ListBullet"/>
      </w:pPr>
      <w:r>
        <w:t>Pass-through swap offsets: Swap dealers may claim exemptions for swap positions that offset commercial end-user hedging</w:t>
      </w:r>
    </w:p>
    <w:p>
      <w:pPr>
        <w:pStyle w:val="ListBullet"/>
      </w:pPr>
      <w:r>
        <w:t>Conditional spot-month exemptions: Available for certain cash-settled contracts</w:t>
      </w:r>
    </w:p>
    <w:p>
      <w:pPr>
        <w:pStyle w:val="Heading3"/>
      </w:pPr>
      <w:r>
        <w:t>4.3 Exchange-Set Position Limits and Accountability Levels</w:t>
      </w:r>
    </w:p>
    <w:p>
      <w:pPr>
        <w:pStyle w:val="ListBullet"/>
      </w:pPr>
      <w:r>
        <w:t>Exchanges (DCMs) set their own position limits and accountability levels for contracts not covered by federal limits</w:t>
      </w:r>
    </w:p>
    <w:p>
      <w:pPr>
        <w:pStyle w:val="ListBullet"/>
      </w:pPr>
      <w:r>
        <w:t>For federally limited contracts, exchange limits must be at least as stringent as CFTC levels</w:t>
      </w:r>
    </w:p>
    <w:p>
      <w:pPr>
        <w:pStyle w:val="ListBullet"/>
      </w:pPr>
      <w:r>
        <w:t>Accountability levels: Not hard limits but trigger enhanced reporting and exchange inquiry obligations</w:t>
      </w:r>
    </w:p>
    <w:p>
      <w:pPr>
        <w:pStyle w:val="Heading3"/>
      </w:pPr>
      <w:r>
        <w:t>4.4 Aggregation</w:t>
      </w:r>
    </w:p>
    <w:p>
      <w:pPr>
        <w:pStyle w:val="ListBullet"/>
      </w:pPr>
      <w:r>
        <w:t>Positions of accounts owned or controlled by the same entity must be aggregated</w:t>
      </w:r>
    </w:p>
    <w:p>
      <w:pPr>
        <w:pStyle w:val="ListBullet"/>
      </w:pPr>
      <w:r>
        <w:t>Exemptions available for certain independent account controllers, owned non-financial entities with firewalls, and certain fund managers</w:t>
      </w:r>
    </w:p>
    <w:p>
      <w:r>
        <w:t>────────────────────────────────────────────────────────────</w:t>
      </w:r>
    </w:p>
    <w:p>
      <w:pPr>
        <w:pStyle w:val="Heading2"/>
      </w:pPr>
      <w:r>
        <w:t>5. Clearing Mandates</w:t>
      </w:r>
    </w:p>
    <w:p>
      <w:pPr>
        <w:pStyle w:val="Heading3"/>
      </w:pPr>
      <w:r>
        <w:t>5.1 Mandatory Clearing Categories</w:t>
      </w:r>
    </w:p>
    <w:p>
      <w:r>
        <w:t>Under Dodd-Frank and CFTC regulations, the following swap categories are subject to mandatory clearing:</w:t>
      </w:r>
    </w:p>
    <w:p>
      <w:r>
        <w:t>Interest Rate Swaps (effective March 2013):</w:t>
      </w:r>
    </w:p>
    <w:p>
      <w:pPr>
        <w:pStyle w:val="ListBullet"/>
      </w:pPr>
      <w:r>
        <w:t>Fixed-to-floating (plain vanilla) IRS in USD, EUR, GBP, JPY</w:t>
      </w:r>
    </w:p>
    <w:p>
      <w:pPr>
        <w:pStyle w:val="ListBullet"/>
      </w:pPr>
      <w:r>
        <w:t>Basis swaps in USD, EUR, GBP, JPY</w:t>
      </w:r>
    </w:p>
    <w:p>
      <w:pPr>
        <w:pStyle w:val="ListBullet"/>
      </w:pPr>
      <w:r>
        <w:t>Forward Rate Agreements (FRAs) in USD, EUR, GBP, JPY</w:t>
      </w:r>
    </w:p>
    <w:p>
      <w:pPr>
        <w:pStyle w:val="ListBullet"/>
      </w:pPr>
      <w:r>
        <w:t>Overnight Index Swaps (OIS) in USD, EUR, GBP</w:t>
      </w:r>
    </w:p>
    <w:p>
      <w:r>
        <w:t>Credit Default Swaps (effective March 2013):</w:t>
      </w:r>
    </w:p>
    <w:p>
      <w:pPr>
        <w:pStyle w:val="ListBullet"/>
      </w:pPr>
      <w:r>
        <w:t>North American untranched CDX indices (Investment Grade, High Yield)</w:t>
      </w:r>
    </w:p>
    <w:p>
      <w:pPr>
        <w:pStyle w:val="ListBullet"/>
      </w:pPr>
      <w:r>
        <w:t>European untranched iTraxx indices (Main, Crossover)</w:t>
      </w:r>
    </w:p>
    <w:p>
      <w:pPr>
        <w:pStyle w:val="Heading3"/>
      </w:pPr>
      <w:r>
        <w:t>5.2 Derivatives Clearing Organization (DCO) Requirements</w:t>
      </w:r>
    </w:p>
    <w:p>
      <w:r>
        <w:t>DCOs must register with the CFTC under Section 5b of the CEA and comply with 18 Core Principles:</w:t>
      </w:r>
    </w:p>
    <w:p>
      <w:pPr>
        <w:pStyle w:val="ListNumber"/>
      </w:pPr>
      <w:r>
        <w:t>Compliance with the CEA and CFTC regulations</w:t>
      </w:r>
    </w:p>
    <w:p>
      <w:pPr>
        <w:pStyle w:val="ListNumber"/>
      </w:pPr>
      <w:r>
        <w:t>Financial resources sufficient to cover defaults</w:t>
      </w:r>
    </w:p>
    <w:p>
      <w:pPr>
        <w:pStyle w:val="ListNumber"/>
      </w:pPr>
      <w:r>
        <w:t>Participant and product eligibility standards</w:t>
      </w:r>
    </w:p>
    <w:p>
      <w:pPr>
        <w:pStyle w:val="ListNumber"/>
      </w:pPr>
      <w:r>
        <w:t>Risk management frameworks</w:t>
      </w:r>
    </w:p>
    <w:p>
      <w:pPr>
        <w:pStyle w:val="ListNumber"/>
      </w:pPr>
      <w:r>
        <w:t>Settlement procedures</w:t>
      </w:r>
    </w:p>
    <w:p>
      <w:pPr>
        <w:pStyle w:val="ListNumber"/>
      </w:pPr>
      <w:r>
        <w:t>Treatment of funds (customer segregation)</w:t>
      </w:r>
    </w:p>
    <w:p>
      <w:pPr>
        <w:pStyle w:val="ListNumber"/>
      </w:pPr>
      <w:r>
        <w:t>Default rules and procedures</w:t>
      </w:r>
    </w:p>
    <w:p>
      <w:pPr>
        <w:pStyle w:val="ListNumber"/>
      </w:pPr>
      <w:r>
        <w:t>Rule enforcement</w:t>
      </w:r>
    </w:p>
    <w:p>
      <w:pPr>
        <w:pStyle w:val="ListNumber"/>
      </w:pPr>
      <w:r>
        <w:t>System safeguards (cybersecurity, business continuity)</w:t>
      </w:r>
    </w:p>
    <w:p>
      <w:pPr>
        <w:pStyle w:val="ListNumber"/>
      </w:pPr>
      <w:r>
        <w:t>Reporting requirements</w:t>
      </w:r>
    </w:p>
    <w:p>
      <w:pPr>
        <w:pStyle w:val="ListNumber"/>
      </w:pPr>
      <w:r>
        <w:t>Recordkeeping</w:t>
      </w:r>
    </w:p>
    <w:p>
      <w:pPr>
        <w:pStyle w:val="ListNumber"/>
      </w:pPr>
      <w:r>
        <w:t>Public information</w:t>
      </w:r>
    </w:p>
    <w:p>
      <w:pPr>
        <w:pStyle w:val="ListNumber"/>
      </w:pPr>
      <w:r>
        <w:t>Information sharing</w:t>
      </w:r>
    </w:p>
    <w:p>
      <w:pPr>
        <w:pStyle w:val="ListNumber"/>
      </w:pPr>
      <w:r>
        <w:t>Antitrust considerations</w:t>
      </w:r>
    </w:p>
    <w:p>
      <w:pPr>
        <w:pStyle w:val="ListNumber"/>
      </w:pPr>
      <w:r>
        <w:t>Governance fitness standards</w:t>
      </w:r>
    </w:p>
    <w:p>
      <w:pPr>
        <w:pStyle w:val="ListNumber"/>
      </w:pPr>
      <w:r>
        <w:t>Conflicts of interest</w:t>
      </w:r>
    </w:p>
    <w:p>
      <w:pPr>
        <w:pStyle w:val="ListNumber"/>
      </w:pPr>
      <w:r>
        <w:t>Composition of governing boards</w:t>
      </w:r>
    </w:p>
    <w:p>
      <w:pPr>
        <w:pStyle w:val="ListNumber"/>
      </w:pPr>
      <w:r>
        <w:t>Legal risk</w:t>
      </w:r>
    </w:p>
    <w:p>
      <w:pPr>
        <w:pStyle w:val="Heading3"/>
      </w:pPr>
      <w:r>
        <w:t>5.3 Systemically Important DCOs (SIDCOs) and SIFMU Designation</w:t>
      </w:r>
    </w:p>
    <w:p>
      <w:r>
        <w:t>Under Title VIII of the Dodd-Frank Act, the Financial Stability Oversight Council (FSOC) may designate clearing organizations as Systemically Important Financial Market Utilities (SIFMUs).</w:t>
      </w:r>
    </w:p>
    <w:p>
      <w:r>
        <w:t>Currently designated SIFMUs (clearing):</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Entity</w:t>
            </w:r>
          </w:p>
        </w:tc>
        <w:tc>
          <w:tcPr>
            <w:tcW w:type="dxa" w:w="2880"/>
          </w:tcPr>
          <w:p>
            <w:pPr/>
            <w:r>
              <w:rPr>
                <w:b/>
                <w:sz w:val="18"/>
              </w:rPr>
              <w:t>Designated</w:t>
            </w:r>
          </w:p>
        </w:tc>
        <w:tc>
          <w:tcPr>
            <w:tcW w:type="dxa" w:w="2880"/>
          </w:tcPr>
          <w:p>
            <w:pPr/>
            <w:r>
              <w:rPr>
                <w:b/>
                <w:sz w:val="18"/>
              </w:rPr>
              <w:t>Products</w:t>
            </w:r>
          </w:p>
        </w:tc>
      </w:tr>
      <w:tr>
        <w:tc>
          <w:tcPr>
            <w:tcW w:type="dxa" w:w="2880"/>
          </w:tcPr>
          <w:p>
            <w:pPr/>
            <w:r>
              <w:rPr>
                <w:sz w:val="18"/>
              </w:rPr>
              <w:t>**CME Clearing**</w:t>
            </w:r>
          </w:p>
        </w:tc>
        <w:tc>
          <w:tcPr>
            <w:tcW w:type="dxa" w:w="2880"/>
          </w:tcPr>
          <w:p>
            <w:pPr/>
            <w:r>
              <w:rPr>
                <w:sz w:val="18"/>
              </w:rPr>
              <w:t>July 2012</w:t>
            </w:r>
          </w:p>
        </w:tc>
        <w:tc>
          <w:tcPr>
            <w:tcW w:type="dxa" w:w="2880"/>
          </w:tcPr>
          <w:p>
            <w:pPr/>
            <w:r>
              <w:rPr>
                <w:sz w:val="18"/>
              </w:rPr>
              <w:t>Futures, options on futures, IRS, CDS</w:t>
            </w:r>
          </w:p>
        </w:tc>
      </w:tr>
      <w:tr>
        <w:tc>
          <w:tcPr>
            <w:tcW w:type="dxa" w:w="2880"/>
          </w:tcPr>
          <w:p>
            <w:pPr/>
            <w:r>
              <w:rPr>
                <w:sz w:val="18"/>
              </w:rPr>
              <w:t>**ICE Clear Credit**</w:t>
            </w:r>
          </w:p>
        </w:tc>
        <w:tc>
          <w:tcPr>
            <w:tcW w:type="dxa" w:w="2880"/>
          </w:tcPr>
          <w:p>
            <w:pPr/>
            <w:r>
              <w:rPr>
                <w:sz w:val="18"/>
              </w:rPr>
              <w:t>July 2012</w:t>
            </w:r>
          </w:p>
        </w:tc>
        <w:tc>
          <w:tcPr>
            <w:tcW w:type="dxa" w:w="2880"/>
          </w:tcPr>
          <w:p>
            <w:pPr/>
            <w:r>
              <w:rPr>
                <w:sz w:val="18"/>
              </w:rPr>
              <w:t>CDS (credit derivatives)</w:t>
            </w:r>
          </w:p>
        </w:tc>
      </w:tr>
      <w:tr>
        <w:tc>
          <w:tcPr>
            <w:tcW w:type="dxa" w:w="2880"/>
          </w:tcPr>
          <w:p>
            <w:pPr/>
            <w:r>
              <w:rPr>
                <w:sz w:val="18"/>
              </w:rPr>
              <w:t>**OCC (Options Clearing Corporation)**</w:t>
            </w:r>
          </w:p>
        </w:tc>
        <w:tc>
          <w:tcPr>
            <w:tcW w:type="dxa" w:w="2880"/>
          </w:tcPr>
          <w:p>
            <w:pPr/>
            <w:r>
              <w:rPr>
                <w:sz w:val="18"/>
              </w:rPr>
              <w:t>July 2012</w:t>
            </w:r>
          </w:p>
        </w:tc>
        <w:tc>
          <w:tcPr>
            <w:tcW w:type="dxa" w:w="2880"/>
          </w:tcPr>
          <w:p>
            <w:pPr/>
            <w:r>
              <w:rPr>
                <w:sz w:val="18"/>
              </w:rPr>
              <w:t>Listed equity options, security futures</w:t>
            </w:r>
          </w:p>
        </w:tc>
      </w:tr>
      <w:tr>
        <w:tc>
          <w:tcPr>
            <w:tcW w:type="dxa" w:w="2880"/>
          </w:tcPr>
          <w:p>
            <w:pPr/>
            <w:r>
              <w:rPr>
                <w:sz w:val="18"/>
              </w:rPr>
              <w:t>**FICC (Fixed Income Clearing Corporation)**</w:t>
            </w:r>
          </w:p>
        </w:tc>
        <w:tc>
          <w:tcPr>
            <w:tcW w:type="dxa" w:w="2880"/>
          </w:tcPr>
          <w:p>
            <w:pPr/>
            <w:r>
              <w:rPr>
                <w:sz w:val="18"/>
              </w:rPr>
              <w:t>July 2012</w:t>
            </w:r>
          </w:p>
        </w:tc>
        <w:tc>
          <w:tcPr>
            <w:tcW w:type="dxa" w:w="2880"/>
          </w:tcPr>
          <w:p>
            <w:pPr/>
            <w:r>
              <w:rPr>
                <w:sz w:val="18"/>
              </w:rPr>
              <w:t>Government securities, mortgage-backed securities</w:t>
            </w:r>
          </w:p>
        </w:tc>
      </w:tr>
    </w:tbl>
    <w:p/>
    <w:p>
      <w:r>
        <w:rPr>
          <w:i/>
          <w:sz w:val="18"/>
        </w:rPr>
        <w:t>**Note:** LCH Ltd. (UK-based) is a registered DCO for U.S. participants but is not a SIFMU — it is regulated by the Bank of England with CFTC oversight for U.S. activities.</w:t>
      </w:r>
    </w:p>
    <w:p>
      <w:r>
        <w:t>Enhanced requirements for SIDCOs:</w:t>
      </w:r>
    </w:p>
    <w:p>
      <w:pPr>
        <w:pStyle w:val="ListBullet"/>
      </w:pPr>
      <w:r>
        <w:t>Heightened financial resources (cover-2 standard: must hold resources to cover the default of the two largest clearing members)</w:t>
      </w:r>
    </w:p>
    <w:p>
      <w:pPr>
        <w:pStyle w:val="ListBullet"/>
      </w:pPr>
      <w:r>
        <w:t>Annual CFTC examination</w:t>
      </w:r>
    </w:p>
    <w:p>
      <w:pPr>
        <w:pStyle w:val="ListBullet"/>
      </w:pPr>
      <w:r>
        <w:t>Enhanced governance, risk management, and recovery/wind-down planning</w:t>
      </w:r>
    </w:p>
    <w:p>
      <w:pPr>
        <w:pStyle w:val="ListBullet"/>
      </w:pPr>
      <w:r>
        <w:t>Additional disclosure requirements (CPMI-IOSCO Principles for Financial Market Infrastructures — PFMIs)</w:t>
      </w:r>
    </w:p>
    <w:p>
      <w:pPr>
        <w:pStyle w:val="Heading3"/>
      </w:pPr>
      <w:r>
        <w:t>5.4 Client Clearing Models</w:t>
      </w:r>
    </w:p>
    <w:p>
      <w:pPr>
        <w:pStyle w:val="ListBullet"/>
      </w:pPr>
      <w:r>
        <w:t>Futures: Customer funds segregated under Section 4d of the CEA (full physical segregation at DCO level)</w:t>
      </w:r>
    </w:p>
    <w:p>
      <w:pPr>
        <w:pStyle w:val="ListBullet"/>
      </w:pPr>
      <w:r>
        <w:t>Swaps (LSOC): "Legally Segregated, Operationally Commingled" — each customer's collateral is legally protected but may be held in an omnibus account at the DCO</w:t>
      </w:r>
    </w:p>
    <w:p>
      <w:pPr>
        <w:pStyle w:val="ListBullet"/>
      </w:pPr>
      <w:r>
        <w:t>End-user exception: Commercial end-users using swaps to hedge commercial risk may elect not to clear, subject to notification and reporting requirements</w:t>
      </w:r>
    </w:p>
    <w:p>
      <w:r>
        <w:t>────────────────────────────────────────────────────────────</w:t>
      </w:r>
    </w:p>
    <w:p>
      <w:pPr>
        <w:pStyle w:val="Heading2"/>
      </w:pPr>
      <w:r>
        <w:t>6. Market Surveillance &amp; Enforcement</w:t>
      </w:r>
    </w:p>
    <w:p>
      <w:pPr>
        <w:pStyle w:val="Heading3"/>
      </w:pPr>
      <w:r>
        <w:t>6.1 Large Trader Reporting System (LTRS)</w:t>
      </w:r>
    </w:p>
    <w:p>
      <w:pPr>
        <w:pStyle w:val="ListBullet"/>
      </w:pPr>
      <w:r>
        <w:t>Clearing members, FCMs, and foreign brokers must file daily large trader position reports with the CFTC under Part 17 of the regulations</w:t>
      </w:r>
    </w:p>
    <w:p>
      <w:pPr>
        <w:pStyle w:val="ListBullet"/>
      </w:pPr>
      <w:r>
        <w:t>Reports are filed when a trader's position reaches or exceeds the reporting level for a given contract</w:t>
      </w:r>
    </w:p>
    <w:p>
      <w:pPr>
        <w:pStyle w:val="ListBullet"/>
      </w:pPr>
      <w:r>
        <w:t>Reporting levels vary by contract (e.g., 25 contracts for some agricultural futures, 350 contracts for E-mini S&amp;P 500 futures)</w:t>
      </w:r>
    </w:p>
    <w:p>
      <w:pPr>
        <w:pStyle w:val="ListBullet"/>
      </w:pPr>
      <w:r>
        <w:t>2024 Update: CFTC finalized amendments to Part 17 modernizing data submission standards and data elements, with a compliance date of June 3, 2026</w:t>
      </w:r>
    </w:p>
    <w:p>
      <w:pPr>
        <w:pStyle w:val="Heading3"/>
      </w:pPr>
      <w:r>
        <w:t>6.2 Commitments of Traders (COT) Reports</w:t>
      </w:r>
    </w:p>
    <w:p>
      <w:r>
        <w:t>The CFTC publishes weekly COT reports based on large trader data:</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Report</w:t>
            </w:r>
          </w:p>
        </w:tc>
        <w:tc>
          <w:tcPr>
            <w:tcW w:type="dxa" w:w="2880"/>
          </w:tcPr>
          <w:p>
            <w:pPr/>
            <w:r>
              <w:rPr>
                <w:b/>
                <w:sz w:val="18"/>
              </w:rPr>
              <w:t>Content</w:t>
            </w:r>
          </w:p>
        </w:tc>
        <w:tc>
          <w:tcPr>
            <w:tcW w:type="dxa" w:w="2880"/>
          </w:tcPr>
          <w:p>
            <w:pPr/>
            <w:r>
              <w:rPr>
                <w:b/>
                <w:sz w:val="18"/>
              </w:rPr>
              <w:t>Frequency</w:t>
            </w:r>
          </w:p>
        </w:tc>
      </w:tr>
      <w:tr>
        <w:tc>
          <w:tcPr>
            <w:tcW w:type="dxa" w:w="2880"/>
          </w:tcPr>
          <w:p>
            <w:pPr/>
            <w:r>
              <w:rPr>
                <w:sz w:val="18"/>
              </w:rPr>
              <w:t>**Legacy COT**</w:t>
            </w:r>
          </w:p>
        </w:tc>
        <w:tc>
          <w:tcPr>
            <w:tcW w:type="dxa" w:w="2880"/>
          </w:tcPr>
          <w:p>
            <w:pPr/>
            <w:r>
              <w:rPr>
                <w:sz w:val="18"/>
              </w:rPr>
              <w:t>Commercial vs. non-commercial positions</w:t>
            </w:r>
          </w:p>
        </w:tc>
        <w:tc>
          <w:tcPr>
            <w:tcW w:type="dxa" w:w="2880"/>
          </w:tcPr>
          <w:p>
            <w:pPr/>
            <w:r>
              <w:rPr>
                <w:sz w:val="18"/>
              </w:rPr>
              <w:t>Weekly (Tuesdays, published Fridays)</w:t>
            </w:r>
          </w:p>
        </w:tc>
      </w:tr>
      <w:tr>
        <w:tc>
          <w:tcPr>
            <w:tcW w:type="dxa" w:w="2880"/>
          </w:tcPr>
          <w:p>
            <w:pPr/>
            <w:r>
              <w:rPr>
                <w:sz w:val="18"/>
              </w:rPr>
              <w:t>**Disaggregated COT**</w:t>
            </w:r>
          </w:p>
        </w:tc>
        <w:tc>
          <w:tcPr>
            <w:tcW w:type="dxa" w:w="2880"/>
          </w:tcPr>
          <w:p>
            <w:pPr/>
            <w:r>
              <w:rPr>
                <w:sz w:val="18"/>
              </w:rPr>
              <w:t>Producer/merchant, swap dealer, managed money, other reportables</w:t>
            </w:r>
          </w:p>
        </w:tc>
        <w:tc>
          <w:tcPr>
            <w:tcW w:type="dxa" w:w="2880"/>
          </w:tcPr>
          <w:p>
            <w:pPr/>
            <w:r>
              <w:rPr>
                <w:sz w:val="18"/>
              </w:rPr>
              <w:t>Weekly</w:t>
            </w:r>
          </w:p>
        </w:tc>
      </w:tr>
      <w:tr>
        <w:tc>
          <w:tcPr>
            <w:tcW w:type="dxa" w:w="2880"/>
          </w:tcPr>
          <w:p>
            <w:pPr/>
            <w:r>
              <w:rPr>
                <w:sz w:val="18"/>
              </w:rPr>
              <w:t>**Traders in Financial Futures (TFF)**</w:t>
            </w:r>
          </w:p>
        </w:tc>
        <w:tc>
          <w:tcPr>
            <w:tcW w:type="dxa" w:w="2880"/>
          </w:tcPr>
          <w:p>
            <w:pPr/>
            <w:r>
              <w:rPr>
                <w:sz w:val="18"/>
              </w:rPr>
              <w:t>Dealer, asset manager, leveraged funds, other reportables</w:t>
            </w:r>
          </w:p>
        </w:tc>
        <w:tc>
          <w:tcPr>
            <w:tcW w:type="dxa" w:w="2880"/>
          </w:tcPr>
          <w:p>
            <w:pPr/>
            <w:r>
              <w:rPr>
                <w:sz w:val="18"/>
              </w:rPr>
              <w:t>Weekly</w:t>
            </w:r>
          </w:p>
        </w:tc>
      </w:tr>
      <w:tr>
        <w:tc>
          <w:tcPr>
            <w:tcW w:type="dxa" w:w="2880"/>
          </w:tcPr>
          <w:p>
            <w:pPr/>
            <w:r>
              <w:rPr>
                <w:sz w:val="18"/>
              </w:rPr>
              <w:t>**Supplemental COT**</w:t>
            </w:r>
          </w:p>
        </w:tc>
        <w:tc>
          <w:tcPr>
            <w:tcW w:type="dxa" w:w="2880"/>
          </w:tcPr>
          <w:p>
            <w:pPr/>
            <w:r>
              <w:rPr>
                <w:sz w:val="18"/>
              </w:rPr>
              <w:t>Additional data for selected agricultural contracts</w:t>
            </w:r>
          </w:p>
        </w:tc>
        <w:tc>
          <w:tcPr>
            <w:tcW w:type="dxa" w:w="2880"/>
          </w:tcPr>
          <w:p>
            <w:pPr/>
            <w:r>
              <w:rPr>
                <w:sz w:val="18"/>
              </w:rPr>
              <w:t>Weekly</w:t>
            </w:r>
          </w:p>
        </w:tc>
      </w:tr>
    </w:tbl>
    <w:p/>
    <w:p>
      <w:pPr>
        <w:pStyle w:val="Heading3"/>
      </w:pPr>
      <w:r>
        <w:t>6.3 Market Surveillance Programs</w:t>
      </w:r>
    </w:p>
    <w:p>
      <w:r>
        <w:t>CFTC Market Surveillance:</w:t>
      </w:r>
    </w:p>
    <w:p>
      <w:pPr>
        <w:pStyle w:val="ListBullet"/>
      </w:pPr>
      <w:r>
        <w:t>Monitors daily large trader activity, key price relationships, and supply/demand factors for all active futures and options markets</w:t>
      </w:r>
    </w:p>
    <w:p>
      <w:pPr>
        <w:pStyle w:val="ListBullet"/>
      </w:pPr>
      <w:r>
        <w:t>Surveillance staff identifies potential market problems at the earliest possible stage</w:t>
      </w:r>
    </w:p>
    <w:p>
      <w:pPr>
        <w:pStyle w:val="ListBullet"/>
      </w:pPr>
      <w:r>
        <w:t>Coordinates with exchange surveillance programs</w:t>
      </w:r>
    </w:p>
    <w:p>
      <w:r>
        <w:t>Exchange-Level Surveillance:</w:t>
      </w:r>
    </w:p>
    <w:p>
      <w:pPr>
        <w:pStyle w:val="ListBullet"/>
      </w:pPr>
      <w:r>
        <w:t>DCMs maintain their own surveillance departments</w:t>
      </w:r>
    </w:p>
    <w:p>
      <w:pPr>
        <w:pStyle w:val="ListBullet"/>
      </w:pPr>
      <w:r>
        <w:t>Real-time trade monitoring, cross-market surveillance</w:t>
      </w:r>
    </w:p>
    <w:p>
      <w:pPr>
        <w:pStyle w:val="ListBullet"/>
      </w:pPr>
      <w:r>
        <w:t>Position monitoring against limits and accountability levels</w:t>
      </w:r>
    </w:p>
    <w:p>
      <w:pPr>
        <w:pStyle w:val="Heading3"/>
      </w:pPr>
      <w:r>
        <w:t>6.4 Enforcement Authority</w:t>
      </w:r>
    </w:p>
    <w:p>
      <w:r>
        <w:t>The CFTC Division of Enforcement investigates and prosecutes violations of the CEA and CFTC regulations:</w:t>
      </w:r>
    </w:p>
    <w:p>
      <w:r>
        <w:t>Key prohibitions:</w:t>
      </w:r>
    </w:p>
    <w:p>
      <w:pPr>
        <w:pStyle w:val="ListBullet"/>
      </w:pPr>
      <w:r>
        <w:t>Anti-manipulation (CEA Section 9(a)(2)): Price manipulation, attempted manipulation, corners, squeezes</w:t>
      </w:r>
    </w:p>
    <w:p>
      <w:pPr>
        <w:pStyle w:val="ListBullet"/>
      </w:pPr>
      <w:r>
        <w:t>Anti-fraud (CEA Section 4b): Fraud in connection with futures, options, and swaps transactions</w:t>
      </w:r>
    </w:p>
    <w:p>
      <w:pPr>
        <w:pStyle w:val="ListBullet"/>
      </w:pPr>
      <w:r>
        <w:t>Spoofing (CEA Section 4c(a)(5)(C)): Bidding or offering with intent to cancel before execution (added by Dodd-Frank)</w:t>
      </w:r>
    </w:p>
    <w:p>
      <w:pPr>
        <w:pStyle w:val="ListBullet"/>
      </w:pPr>
      <w:r>
        <w:t>Wash trading: Transactions creating the appearance of market activity without genuine economic purpose</w:t>
      </w:r>
    </w:p>
    <w:p>
      <w:pPr>
        <w:pStyle w:val="ListBullet"/>
      </w:pPr>
      <w:r>
        <w:t>Disruptive trading practices: Violating bids or offers, intentional or reckless disregard for orderly execution</w:t>
      </w:r>
    </w:p>
    <w:p>
      <w:r>
        <w:t>Enforcement tools:</w:t>
      </w:r>
    </w:p>
    <w:p>
      <w:pPr>
        <w:pStyle w:val="ListBullet"/>
      </w:pPr>
      <w:r>
        <w:t>Civil monetary penalties (up to the greater of $1,000,000 per violation or triple the monetary gain)</w:t>
      </w:r>
    </w:p>
    <w:p>
      <w:pPr>
        <w:pStyle w:val="ListBullet"/>
      </w:pPr>
      <w:r>
        <w:t>Trading bans and suspensions</w:t>
      </w:r>
    </w:p>
    <w:p>
      <w:pPr>
        <w:pStyle w:val="ListBullet"/>
      </w:pPr>
      <w:r>
        <w:t>Cease and desist orders</w:t>
      </w:r>
    </w:p>
    <w:p>
      <w:pPr>
        <w:pStyle w:val="ListBullet"/>
      </w:pPr>
      <w:r>
        <w:t>Disgorgement of profits</w:t>
      </w:r>
    </w:p>
    <w:p>
      <w:pPr>
        <w:pStyle w:val="ListBullet"/>
      </w:pPr>
      <w:r>
        <w:t>Criminal referrals to the Department of Justice</w:t>
      </w:r>
    </w:p>
    <w:p>
      <w:pPr>
        <w:pStyle w:val="Heading3"/>
      </w:pPr>
      <w:r>
        <w:t>6.5 Whistleblower Program</w:t>
      </w:r>
    </w:p>
    <w:p>
      <w:pPr>
        <w:pStyle w:val="ListBullet"/>
      </w:pPr>
      <w:r>
        <w:t>Established under Dodd-Frank Section 748</w:t>
      </w:r>
    </w:p>
    <w:p>
      <w:pPr>
        <w:pStyle w:val="ListBullet"/>
      </w:pPr>
      <w:r>
        <w:t>Awards of 10-30% of sanctions collected exceeding $1 million</w:t>
      </w:r>
    </w:p>
    <w:p>
      <w:pPr>
        <w:pStyle w:val="ListBullet"/>
      </w:pPr>
      <w:r>
        <w:t>Over $370 million awarded since program inception through 2025</w:t>
      </w:r>
    </w:p>
    <w:p>
      <w:r>
        <w:t>────────────────────────────────────────────────────────────</w:t>
      </w:r>
    </w:p>
    <w:p>
      <w:pPr>
        <w:pStyle w:val="Heading2"/>
      </w:pPr>
      <w:r>
        <w:t>7. Reporting Requirements</w:t>
      </w:r>
    </w:p>
    <w:p>
      <w:pPr>
        <w:pStyle w:val="Heading3"/>
      </w:pPr>
      <w:r>
        <w:t>7.1 Swap Data Reporting to SDRs</w:t>
      </w:r>
    </w:p>
    <w:p>
      <w:r>
        <w:t>Under Dodd-Frank and CFTC Parts 43, 45, and 49:</w:t>
      </w:r>
    </w:p>
    <w:p>
      <w:pPr>
        <w:pStyle w:val="ListBullet"/>
      </w:pPr>
      <w:r>
        <w:t>All swaps (cleared and uncleared) must be reported to CFTC-registered Swap Data Repositories</w:t>
      </w:r>
    </w:p>
    <w:p>
      <w:pPr>
        <w:pStyle w:val="ListBullet"/>
      </w:pPr>
      <w:r>
        <w:t>Creation data: Reported on the day of execution, including all primary economic terms</w:t>
      </w:r>
    </w:p>
    <w:p>
      <w:pPr>
        <w:pStyle w:val="ListBullet"/>
      </w:pPr>
      <w:r>
        <w:t>Continuation data: Ongoing lifecycle events (amendments, terminations, novations) reported promptly</w:t>
      </w:r>
    </w:p>
    <w:p>
      <w:pPr>
        <w:pStyle w:val="ListBullet"/>
      </w:pPr>
      <w:r>
        <w:t>Valuation data: Daily mark-to-market data for uncleared swaps</w:t>
      </w:r>
    </w:p>
    <w:p>
      <w:r>
        <w:t>Registered SDRs (as of 2026):</w:t>
      </w:r>
    </w:p>
    <w:p>
      <w:pPr>
        <w:pStyle w:val="ListBullet"/>
      </w:pPr>
      <w:r>
        <w:t>DTCC Data Repository (DDR)</w:t>
      </w:r>
    </w:p>
    <w:p>
      <w:pPr>
        <w:pStyle w:val="ListBullet"/>
      </w:pPr>
      <w:r>
        <w:t>CME Group (CME Global Repository Service)</w:t>
      </w:r>
    </w:p>
    <w:p>
      <w:pPr>
        <w:pStyle w:val="ListBullet"/>
      </w:pPr>
      <w:r>
        <w:t>ICE Trade Vault</w:t>
      </w:r>
    </w:p>
    <w:p>
      <w:pPr>
        <w:pStyle w:val="Heading3"/>
      </w:pPr>
      <w:r>
        <w:t>7.2 Real-Time Public Reporting (Part 43)</w:t>
      </w:r>
    </w:p>
    <w:p>
      <w:pPr>
        <w:pStyle w:val="ListBullet"/>
      </w:pPr>
      <w:r>
        <w:t>Swap transaction and pricing data must be publicly disseminated in real time through SDRs</w:t>
      </w:r>
    </w:p>
    <w:p>
      <w:pPr>
        <w:pStyle w:val="ListBullet"/>
      </w:pPr>
      <w:r>
        <w:t>Block trades: Transactions exceeding established notional thresholds receive a time delay before public dissemination</w:t>
      </w:r>
    </w:p>
    <w:p>
      <w:pPr>
        <w:pStyle w:val="ListBullet"/>
      </w:pPr>
      <w:r>
        <w:t>Cap sizes limit the notional amounts displayed for very large trades</w:t>
      </w:r>
    </w:p>
    <w:p>
      <w:pPr>
        <w:pStyle w:val="ListBullet"/>
      </w:pPr>
      <w:r>
        <w:t>Block thresholds and cap sizes are periodically updated by the CFTC</w:t>
      </w:r>
    </w:p>
    <w:p>
      <w:pPr>
        <w:pStyle w:val="ListBullet"/>
      </w:pPr>
      <w:r>
        <w:t>Data elements: Notional amount (capped), price, tenor, currency, asset class, clearing status</w:t>
      </w:r>
    </w:p>
    <w:p>
      <w:pPr>
        <w:pStyle w:val="ListBullet"/>
      </w:pPr>
      <w:r>
        <w:t>Delays: Vary based on asset class, trade category (on-SEF vs. off-facility), and block status</w:t>
      </w:r>
    </w:p>
    <w:p>
      <w:pPr>
        <w:pStyle w:val="Heading3"/>
      </w:pPr>
      <w:r>
        <w:t>7.3 Position Reporting</w:t>
      </w:r>
    </w:p>
    <w:p>
      <w:pPr>
        <w:pStyle w:val="ListBullet"/>
      </w:pPr>
      <w:r>
        <w:t>Part 17: Large trader reports filed daily by FCMs and clearing members</w:t>
      </w:r>
    </w:p>
    <w:p>
      <w:pPr>
        <w:pStyle w:val="ListBullet"/>
      </w:pPr>
      <w:r>
        <w:t>Part 18: Special calls — CFTC may request additional information from any trader</w:t>
      </w:r>
    </w:p>
    <w:p>
      <w:pPr>
        <w:pStyle w:val="ListBullet"/>
      </w:pPr>
      <w:r>
        <w:t>Form 40: Trader identification and classification information</w:t>
      </w:r>
    </w:p>
    <w:p>
      <w:pPr>
        <w:pStyle w:val="ListBullet"/>
      </w:pPr>
      <w:r>
        <w:t>Part 20: Swap position reporting (large swap trader reports)</w:t>
      </w:r>
    </w:p>
    <w:p>
      <w:pPr>
        <w:pStyle w:val="Heading3"/>
      </w:pPr>
      <w:r>
        <w:t>7.4 Financial Reporting for FCMs</w:t>
      </w:r>
    </w:p>
    <w:p>
      <w:pPr>
        <w:pStyle w:val="ListBullet"/>
      </w:pPr>
      <w:r>
        <w:t>Daily segregation reports: Customer funds segregation compliance</w:t>
      </w:r>
    </w:p>
    <w:p>
      <w:pPr>
        <w:pStyle w:val="ListBullet"/>
      </w:pPr>
      <w:r>
        <w:t>Monthly financial reports: Filed with the CFTC and the designated SRO (NFA or exchange)</w:t>
      </w:r>
    </w:p>
    <w:p>
      <w:pPr>
        <w:pStyle w:val="ListBullet"/>
      </w:pPr>
      <w:r>
        <w:t>Annual audited financial statements: Required within 60 days of fiscal year end</w:t>
      </w:r>
    </w:p>
    <w:p>
      <w:pPr>
        <w:pStyle w:val="ListBullet"/>
      </w:pPr>
      <w:r>
        <w:t>FOCUS reports: For FCMs that are also broker-dealers (dual registrants)</w:t>
      </w:r>
    </w:p>
    <w:p>
      <w:pPr>
        <w:pStyle w:val="ListBullet"/>
      </w:pPr>
      <w:r>
        <w:t>All FCM financial data is publicly available on the CFTC website</w:t>
      </w:r>
    </w:p>
    <w:p>
      <w:r>
        <w:t>────────────────────────────────────────────────────────────</w:t>
      </w:r>
    </w:p>
    <w:p>
      <w:pPr>
        <w:pStyle w:val="Heading2"/>
      </w:pPr>
      <w:r>
        <w:t>8. Cross-Border Framework</w:t>
      </w:r>
    </w:p>
    <w:p>
      <w:pPr>
        <w:pStyle w:val="Heading3"/>
      </w:pPr>
      <w:r>
        <w:t>8.1 CFTC Cross-Border Swaps Regulation</w:t>
      </w:r>
    </w:p>
    <w:p>
      <w:r>
        <w:t>The CFTC finalized its cross-border swaps framework in September 2020 (85 FR 56924), replacing earlier 2013 interim guidance:</w:t>
      </w:r>
    </w:p>
    <w:p>
      <w:r>
        <w:t>Key concepts:</w:t>
      </w:r>
    </w:p>
    <w:p>
      <w:pPr>
        <w:pStyle w:val="ListBullet"/>
      </w:pPr>
      <w:r>
        <w:t>U.S. person: Broadly defined to include natural persons domiciled in the U.S., entities organized or with principal place of business in the U.S., pension plans for U.S. residents, etc.</w:t>
      </w:r>
    </w:p>
    <w:p>
      <w:pPr>
        <w:pStyle w:val="ListBullet"/>
      </w:pPr>
      <w:r>
        <w:t>Guaranteed affiliate / conduit affiliate: Foreign entities whose swap obligations are guaranteed by, or that bear significant financial risk for, a U.S. person</w:t>
      </w:r>
    </w:p>
    <w:p>
      <w:pPr>
        <w:pStyle w:val="ListBullet"/>
      </w:pPr>
      <w:r>
        <w:t>Arrange, negotiate, or execute (ANE) transactions: Activities performed within the U.S.</w:t>
      </w:r>
    </w:p>
    <w:p>
      <w:r>
        <w:t>Registration thresholds:</w:t>
      </w:r>
    </w:p>
    <w:p>
      <w:pPr>
        <w:pStyle w:val="ListBullet"/>
      </w:pPr>
      <w:r>
        <w:t>Foreign entities must count certain cross-border swaps toward swap dealer registration thresholds</w:t>
      </w:r>
    </w:p>
    <w:p>
      <w:pPr>
        <w:pStyle w:val="ListBullet"/>
      </w:pPr>
      <w:r>
        <w:t>The final rule clarified which cross-border swaps count toward the de minimis threshold ($8 billion aggregate gross notional amount)</w:t>
      </w:r>
    </w:p>
    <w:p>
      <w:pPr>
        <w:pStyle w:val="Heading3"/>
      </w:pPr>
      <w:r>
        <w:t>8.2 Substituted Compliance</w:t>
      </w:r>
    </w:p>
    <w:p>
      <w:r>
        <w:t>The CFTC may determine that a foreign jurisdiction's regulatory framework is comparable to U.S. requirements, allowing foreign entities to comply with home-country rules instead of CFTC rules:</w:t>
      </w:r>
    </w:p>
    <w:p>
      <w:pPr>
        <w:pStyle w:val="ListBullet"/>
      </w:pPr>
      <w:r>
        <w:t>Holistic, outcomes-based approach: The CFTC assesses whether a foreign regime achieves comparable regulatory outcomes</w:t>
      </w:r>
    </w:p>
    <w:p>
      <w:pPr>
        <w:pStyle w:val="ListBullet"/>
      </w:pPr>
      <w:r>
        <w:t>13 categories of requirements subject to separate comparability determinations:</w:t>
      </w:r>
    </w:p>
    <w:p>
      <w:pPr>
        <w:pStyle w:val="ListBullet"/>
      </w:pPr>
      <w:r>
        <w:t>5 entity-level requirements (capital, chief compliance officer, risk management, SDR reporting, large trader reporting)</w:t>
      </w:r>
    </w:p>
    <w:p>
      <w:pPr>
        <w:pStyle w:val="ListBullet"/>
      </w:pPr>
      <w:r>
        <w:t>8 transaction-level requirements (clearing, trade execution, real-time reporting, margin, external/internal business conduct, and others)</w:t>
      </w:r>
    </w:p>
    <w:p>
      <w:pPr>
        <w:pStyle w:val="ListBullet"/>
      </w:pPr>
      <w:r>
        <w:t>Exclusions: Substituted compliance is generally not available for large trader reporting or external business conduct standards</w:t>
      </w:r>
    </w:p>
    <w:p>
      <w:r>
        <w:t>Comparability determinations issued for:</w:t>
      </w:r>
    </w:p>
    <w:p>
      <w:pPr>
        <w:pStyle w:val="ListBullet"/>
      </w:pPr>
      <w:r>
        <w:t>European Union (multiple categories)</w:t>
      </w:r>
    </w:p>
    <w:p>
      <w:pPr>
        <w:pStyle w:val="ListBullet"/>
      </w:pPr>
      <w:r>
        <w:t>Japan (multiple categories)</w:t>
      </w:r>
    </w:p>
    <w:p>
      <w:pPr>
        <w:pStyle w:val="ListBullet"/>
      </w:pPr>
      <w:r>
        <w:t>Australia, Canada, United Kingdom, and others (various categories)</w:t>
      </w:r>
    </w:p>
    <w:p>
      <w:pPr>
        <w:pStyle w:val="Heading3"/>
      </w:pPr>
      <w:r>
        <w:t>8.3 Recognition of Foreign CCPs and Trading Venues</w:t>
      </w:r>
    </w:p>
    <w:p>
      <w:pPr>
        <w:pStyle w:val="ListBullet"/>
      </w:pPr>
      <w:r>
        <w:t>Exempt DCOs: Foreign clearinghouses may obtain exemption from DCO registration to clear swaps for U.S. persons, provided they are subject to comparable home-country regulation (e.g., KRX received an exemption order from the CFTC in 2015)</w:t>
      </w:r>
    </w:p>
    <w:p>
      <w:pPr>
        <w:pStyle w:val="ListBullet"/>
      </w:pPr>
      <w:r>
        <w:t>Foreign boards of trade (FBOTs): Foreign exchanges may register with the CFTC to offer direct access to U.S. participants</w:t>
      </w:r>
    </w:p>
    <w:p>
      <w:pPr>
        <w:pStyle w:val="Heading3"/>
      </w:pPr>
      <w:r>
        <w:t>8.4 International Coordination</w:t>
      </w:r>
    </w:p>
    <w:p>
      <w:pPr>
        <w:pStyle w:val="ListBullet"/>
      </w:pPr>
      <w:r>
        <w:t>IOSCO: CFTC actively participates in setting international standards through the International Organization of Securities Commissions</w:t>
      </w:r>
    </w:p>
    <w:p>
      <w:pPr>
        <w:pStyle w:val="ListBullet"/>
      </w:pPr>
      <w:r>
        <w:t>CPMI-IOSCO: Joint standards for financial market infrastructures (PFMIs)</w:t>
      </w:r>
    </w:p>
    <w:p>
      <w:pPr>
        <w:pStyle w:val="ListBullet"/>
      </w:pPr>
      <w:r>
        <w:t>FSB (Financial Stability Board): OTC derivatives reform monitoring</w:t>
      </w:r>
    </w:p>
    <w:p>
      <w:pPr>
        <w:pStyle w:val="ListBullet"/>
      </w:pPr>
      <w:r>
        <w:t>Bilateral MOUs: The CFTC maintains memoranda of understanding with foreign regulators for information sharing and supervisory cooperation (including CFTC-FSC/FSS MOU with Korea)</w:t>
      </w:r>
    </w:p>
    <w:p>
      <w:r>
        <w:t>────────────────────────────────────────────────────────────</w:t>
      </w:r>
    </w:p>
    <w:p>
      <w:pPr>
        <w:pStyle w:val="Heading2"/>
      </w:pPr>
      <w:r>
        <w:t>9. Recent Developments (2023-2026)</w:t>
      </w:r>
    </w:p>
    <w:p>
      <w:pPr>
        <w:pStyle w:val="Heading3"/>
      </w:pPr>
      <w:r>
        <w:t>9.1 Position Limits Implementation</w:t>
      </w:r>
    </w:p>
    <w:p>
      <w:pPr>
        <w:pStyle w:val="ListBullet"/>
      </w:pPr>
      <w:r>
        <w:t>January 2022: Federal speculative position limits took effect for 16 non-legacy core referenced contracts</w:t>
      </w:r>
    </w:p>
    <w:p>
      <w:pPr>
        <w:pStyle w:val="ListBullet"/>
      </w:pPr>
      <w:r>
        <w:t>January 2023: Limits extended to economically equivalent swaps</w:t>
      </w:r>
    </w:p>
    <w:p>
      <w:pPr>
        <w:pStyle w:val="ListBullet"/>
      </w:pPr>
      <w:r>
        <w:t>Ongoing exchange implementation of exchange-set limits and accountability levels</w:t>
      </w:r>
    </w:p>
    <w:p>
      <w:pPr>
        <w:pStyle w:val="ListBullet"/>
      </w:pPr>
      <w:r>
        <w:t>Continued industry adaptation to aggregation and hedge exemption requirements</w:t>
      </w:r>
    </w:p>
    <w:p>
      <w:pPr>
        <w:pStyle w:val="Heading3"/>
      </w:pPr>
      <w:r>
        <w:t>9.2 Event Contracts and Prediction Markets</w:t>
      </w:r>
    </w:p>
    <w:p>
      <w:r>
        <w:t>This is one of the most contentious areas of U.S. derivatives regulation in 2025-2026:</w:t>
      </w:r>
    </w:p>
    <w:p>
      <w:pPr>
        <w:pStyle w:val="ListBullet"/>
      </w:pPr>
      <w:r>
        <w:t>Explosive growth: DCMs listed ~131 event contracts in 2021; approximately 1,600 event contracts were certified for listing in 2025 alone (covering political events, sports, weather, cultural events, scientific outcomes, etc.)</w:t>
      </w:r>
    </w:p>
    <w:p>
      <w:pPr>
        <w:pStyle w:val="ListBullet"/>
      </w:pPr>
      <w:r>
        <w:t>Policy shift (Jan 2026): CFTC Chairman Michael Selig announced support for "responsible development of event contract markets," reversing the prior administration's proposed ban on political event contracts</w:t>
      </w:r>
    </w:p>
    <w:p>
      <w:pPr>
        <w:pStyle w:val="ListBullet"/>
      </w:pPr>
      <w:r>
        <w:t>Rulemaking (Mar 2026): CFTC issued an Advance Notice of Proposed Rulemaking on prediction markets; comments due April 30, 2026</w:t>
      </w:r>
    </w:p>
    <w:p>
      <w:pPr>
        <w:pStyle w:val="ListBullet"/>
      </w:pPr>
      <w:r>
        <w:t>State-level conflicts: Multiple states (Arizona, Connecticut, Illinois) have enacted or proposed legislation restricting prediction markets; the CFTC filed lawsuits in 2026 asserting exclusive federal jurisdiction over event contracts listed on DCMs under the CEA</w:t>
      </w:r>
    </w:p>
    <w:p>
      <w:pPr>
        <w:pStyle w:val="ListBullet"/>
      </w:pPr>
      <w:r>
        <w:t>Enforcement cases: CFTC addressed misuse of nonpublic information and fraud on prediction market platforms, including penalties for trading based on material nonpublic information and trading on one's own candidacy</w:t>
      </w:r>
    </w:p>
    <w:p>
      <w:pPr>
        <w:pStyle w:val="ListBullet"/>
      </w:pPr>
      <w:r>
        <w:t>Key platforms: Kalshi, Polymarket (operating offshore), CME Group (exploring event contract offerings)</w:t>
      </w:r>
    </w:p>
    <w:p>
      <w:pPr>
        <w:pStyle w:val="Heading3"/>
      </w:pPr>
      <w:r>
        <w:t>9.3 Digital Asset Derivatives</w:t>
      </w:r>
    </w:p>
    <w:p>
      <w:pPr>
        <w:pStyle w:val="ListBullet"/>
      </w:pPr>
      <w:r>
        <w:t>CFTC asserts jurisdiction over digital asset commodities (Bitcoin, Ether) and derivatives based on them</w:t>
      </w:r>
    </w:p>
    <w:p>
      <w:pPr>
        <w:pStyle w:val="ListBullet"/>
      </w:pPr>
      <w:r>
        <w:t>Bitcoin and Ether futures actively traded on CME</w:t>
      </w:r>
    </w:p>
    <w:p>
      <w:pPr>
        <w:pStyle w:val="ListBullet"/>
      </w:pPr>
      <w:r>
        <w:t>Ongoing legislative debates over CFTC vs. SEC jurisdiction over digital asset spot markets</w:t>
      </w:r>
    </w:p>
    <w:p>
      <w:pPr>
        <w:pStyle w:val="ListBullet"/>
      </w:pPr>
      <w:r>
        <w:t>CFTC enforcement actions against unregistered digital asset derivatives platforms</w:t>
      </w:r>
    </w:p>
    <w:p>
      <w:pPr>
        <w:pStyle w:val="ListBullet"/>
      </w:pPr>
      <w:r>
        <w:t>Proposed legislation (e.g., FIT21, discussed in Congress) would expand CFTC authority over certain digital asset spot markets</w:t>
      </w:r>
    </w:p>
    <w:p>
      <w:pPr>
        <w:pStyle w:val="Heading3"/>
      </w:pPr>
      <w:r>
        <w:t>9.4 Climate-Related Derivatives and Voluntary Carbon Credits (VCCs)</w:t>
      </w:r>
    </w:p>
    <w:p>
      <w:pPr>
        <w:pStyle w:val="ListBullet"/>
      </w:pPr>
      <w:r>
        <w:t>October 2024: CFTC approved final guidance on listing voluntary carbon credit (VCC) derivative contracts on DCMs</w:t>
      </w:r>
    </w:p>
    <w:p>
      <w:pPr>
        <w:pStyle w:val="ListBullet"/>
      </w:pPr>
      <w:r>
        <w:t>Guidance emphasizes transparency, additionality, permanence, and robust quantification of carbon credits underlying derivatives</w:t>
      </w:r>
    </w:p>
    <w:p>
      <w:pPr>
        <w:pStyle w:val="ListBullet"/>
      </w:pPr>
      <w:r>
        <w:t>~200 environmental commodity derivative contracts have been submitted to DCMs, though market liquidity remains limited (only 3 contracts had open interest as of late 2023)</w:t>
      </w:r>
    </w:p>
    <w:p>
      <w:pPr>
        <w:pStyle w:val="ListBullet"/>
      </w:pPr>
      <w:r>
        <w:t>CFTC's jurisdiction does not extend to VCC spot markets, creating regulatory gaps where fraud is endemic</w:t>
      </w:r>
    </w:p>
    <w:p>
      <w:pPr>
        <w:pStyle w:val="ListBullet"/>
      </w:pPr>
      <w:r>
        <w:t>Mandatory CORSIA participation beginning in 2026 may shift carbon credit markets and demand dynamics</w:t>
      </w:r>
    </w:p>
    <w:p>
      <w:pPr>
        <w:pStyle w:val="Heading3"/>
      </w:pPr>
      <w:r>
        <w:t>9.5 CFTC Technology Modernization</w:t>
      </w:r>
    </w:p>
    <w:p>
      <w:pPr>
        <w:pStyle w:val="ListBullet"/>
      </w:pPr>
      <w:r>
        <w:t>Modernized large trader reporting data standards (compliance: June 2026)</w:t>
      </w:r>
    </w:p>
    <w:p>
      <w:pPr>
        <w:pStyle w:val="ListBullet"/>
      </w:pPr>
      <w:r>
        <w:t>Enhanced swap data reporting requirements and data quality standards</w:t>
      </w:r>
    </w:p>
    <w:p>
      <w:pPr>
        <w:pStyle w:val="ListBullet"/>
      </w:pPr>
      <w:r>
        <w:t>Investment in surveillance technology and data analytics</w:t>
      </w:r>
    </w:p>
    <w:p>
      <w:pPr>
        <w:pStyle w:val="ListBullet"/>
      </w:pPr>
      <w:r>
        <w:t>Cybersecurity guidance for registered entities</w:t>
      </w:r>
    </w:p>
    <w:p>
      <w:pPr>
        <w:pStyle w:val="Heading3"/>
      </w:pPr>
      <w:r>
        <w:t>9.6 Other Notable Developments</w:t>
      </w:r>
    </w:p>
    <w:p>
      <w:pPr>
        <w:pStyle w:val="ListBullet"/>
      </w:pPr>
      <w:r>
        <w:t>FCM Guidance (2025): CFTC issued comprehensive FAQ guidance on FCM registration and compliance obligations</w:t>
      </w:r>
    </w:p>
    <w:p>
      <w:pPr>
        <w:pStyle w:val="ListBullet"/>
      </w:pPr>
      <w:r>
        <w:t>Margin reform: Ongoing calibration of uncleared swap margin requirements</w:t>
      </w:r>
    </w:p>
    <w:p>
      <w:pPr>
        <w:pStyle w:val="ListBullet"/>
      </w:pPr>
      <w:r>
        <w:t>LIBOR transition: Completion of the transition from LIBOR to SOFR and other alternative reference rates in cleared and uncleared derivatives</w:t>
      </w:r>
    </w:p>
    <w:p>
      <w:r>
        <w:t>────────────────────────────────────────────────────────────</w:t>
      </w:r>
    </w:p>
    <w:p>
      <w:pPr>
        <w:pStyle w:val="Heading2"/>
      </w:pPr>
      <w:r>
        <w:t>10. Comparison with Korea</w:t>
      </w:r>
    </w:p>
    <w:p>
      <w:pPr>
        <w:pStyle w:val="Heading3"/>
      </w:pPr>
      <w:r>
        <w:t>10.1 Regulatory Structure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Dimension</w:t>
            </w:r>
          </w:p>
        </w:tc>
        <w:tc>
          <w:tcPr>
            <w:tcW w:type="dxa" w:w="2880"/>
          </w:tcPr>
          <w:p>
            <w:pPr/>
            <w:r>
              <w:rPr>
                <w:b/>
                <w:sz w:val="18"/>
              </w:rPr>
              <w:t>United States</w:t>
            </w:r>
          </w:p>
        </w:tc>
        <w:tc>
          <w:tcPr>
            <w:tcW w:type="dxa" w:w="2880"/>
          </w:tcPr>
          <w:p>
            <w:pPr/>
            <w:r>
              <w:rPr>
                <w:b/>
                <w:sz w:val="18"/>
              </w:rPr>
              <w:t>Korea</w:t>
            </w:r>
          </w:p>
        </w:tc>
      </w:tr>
      <w:tr>
        <w:tc>
          <w:tcPr>
            <w:tcW w:type="dxa" w:w="2880"/>
          </w:tcPr>
          <w:p>
            <w:pPr/>
            <w:r>
              <w:rPr>
                <w:sz w:val="18"/>
              </w:rPr>
              <w:t>**Primary regulator**</w:t>
            </w:r>
          </w:p>
        </w:tc>
        <w:tc>
          <w:tcPr>
            <w:tcW w:type="dxa" w:w="2880"/>
          </w:tcPr>
          <w:p>
            <w:pPr/>
            <w:r>
              <w:rPr>
                <w:sz w:val="18"/>
              </w:rPr>
              <w:t>CFTC (independent agency)</w:t>
            </w:r>
          </w:p>
        </w:tc>
        <w:tc>
          <w:tcPr>
            <w:tcW w:type="dxa" w:w="2880"/>
          </w:tcPr>
          <w:p>
            <w:pPr/>
            <w:r>
              <w:rPr>
                <w:sz w:val="18"/>
              </w:rPr>
              <w:t>FSC (Financial Services Commission) — policy and rulemaking</w:t>
            </w:r>
          </w:p>
        </w:tc>
      </w:tr>
      <w:tr>
        <w:tc>
          <w:tcPr>
            <w:tcW w:type="dxa" w:w="2880"/>
          </w:tcPr>
          <w:p>
            <w:pPr/>
            <w:r>
              <w:rPr>
                <w:sz w:val="18"/>
              </w:rPr>
              <w:t>**Supervisory body**</w:t>
            </w:r>
          </w:p>
        </w:tc>
        <w:tc>
          <w:tcPr>
            <w:tcW w:type="dxa" w:w="2880"/>
          </w:tcPr>
          <w:p>
            <w:pPr/>
            <w:r>
              <w:rPr>
                <w:sz w:val="18"/>
              </w:rPr>
              <w:t>CFTC divisions + NFA (SRO)</w:t>
            </w:r>
          </w:p>
        </w:tc>
        <w:tc>
          <w:tcPr>
            <w:tcW w:type="dxa" w:w="2880"/>
          </w:tcPr>
          <w:p>
            <w:pPr/>
            <w:r>
              <w:rPr>
                <w:sz w:val="18"/>
              </w:rPr>
              <w:t>FSS (Financial Supervisory Service) — examination and enforcement</w:t>
            </w:r>
          </w:p>
        </w:tc>
      </w:tr>
      <w:tr>
        <w:tc>
          <w:tcPr>
            <w:tcW w:type="dxa" w:w="2880"/>
          </w:tcPr>
          <w:p>
            <w:pPr/>
            <w:r>
              <w:rPr>
                <w:sz w:val="18"/>
              </w:rPr>
              <w:t>**SRO role**</w:t>
            </w:r>
          </w:p>
        </w:tc>
        <w:tc>
          <w:tcPr>
            <w:tcW w:type="dxa" w:w="2880"/>
          </w:tcPr>
          <w:p>
            <w:pPr/>
            <w:r>
              <w:rPr>
                <w:sz w:val="18"/>
              </w:rPr>
              <w:t>NFA (registration, audits, arbitration); exchanges (trade surveillance)</w:t>
            </w:r>
          </w:p>
        </w:tc>
        <w:tc>
          <w:tcPr>
            <w:tcW w:type="dxa" w:w="2880"/>
          </w:tcPr>
          <w:p>
            <w:pPr/>
            <w:r>
              <w:rPr>
                <w:sz w:val="18"/>
              </w:rPr>
              <w:t>KRX has SRO functions; no separate NFA equivalent</w:t>
            </w:r>
          </w:p>
        </w:tc>
      </w:tr>
      <w:tr>
        <w:tc>
          <w:tcPr>
            <w:tcW w:type="dxa" w:w="2880"/>
          </w:tcPr>
          <w:p>
            <w:pPr/>
            <w:r>
              <w:rPr>
                <w:sz w:val="18"/>
              </w:rPr>
              <w:t>**Governing legislation**</w:t>
            </w:r>
          </w:p>
        </w:tc>
        <w:tc>
          <w:tcPr>
            <w:tcW w:type="dxa" w:w="2880"/>
          </w:tcPr>
          <w:p>
            <w:pPr/>
            <w:r>
              <w:rPr>
                <w:sz w:val="18"/>
              </w:rPr>
              <w:t>Commodity Exchange Act (CEA) + Dodd-Frank</w:t>
            </w:r>
          </w:p>
        </w:tc>
        <w:tc>
          <w:tcPr>
            <w:tcW w:type="dxa" w:w="2880"/>
          </w:tcPr>
          <w:p>
            <w:pPr/>
            <w:r>
              <w:rPr>
                <w:sz w:val="18"/>
              </w:rPr>
              <w:t>Financial Investment Services and Capital Markets Act (FSCMA)</w:t>
            </w:r>
          </w:p>
        </w:tc>
      </w:tr>
      <w:tr>
        <w:tc>
          <w:tcPr>
            <w:tcW w:type="dxa" w:w="2880"/>
          </w:tcPr>
          <w:p>
            <w:pPr/>
            <w:r>
              <w:rPr>
                <w:sz w:val="18"/>
              </w:rPr>
              <w:t>**Jurisdictional split**</w:t>
            </w:r>
          </w:p>
        </w:tc>
        <w:tc>
          <w:tcPr>
            <w:tcW w:type="dxa" w:w="2880"/>
          </w:tcPr>
          <w:p>
            <w:pPr/>
            <w:r>
              <w:rPr>
                <w:sz w:val="18"/>
              </w:rPr>
              <w:t>CFTC (futures/swaps) vs. SEC (securities/security-based swaps)</w:t>
            </w:r>
          </w:p>
        </w:tc>
        <w:tc>
          <w:tcPr>
            <w:tcW w:type="dxa" w:w="2880"/>
          </w:tcPr>
          <w:p>
            <w:pPr/>
            <w:r>
              <w:rPr>
                <w:sz w:val="18"/>
              </w:rPr>
              <w:t>FSC/FSS has unified supervision over both securities and derivatives</w:t>
            </w:r>
          </w:p>
        </w:tc>
      </w:tr>
      <w:tr>
        <w:tc>
          <w:tcPr>
            <w:tcW w:type="dxa" w:w="2880"/>
          </w:tcPr>
          <w:p>
            <w:pPr/>
            <w:r>
              <w:rPr>
                <w:sz w:val="18"/>
              </w:rPr>
              <w:t>**Market structure**</w:t>
            </w:r>
          </w:p>
        </w:tc>
        <w:tc>
          <w:tcPr>
            <w:tcW w:type="dxa" w:w="2880"/>
          </w:tcPr>
          <w:p>
            <w:pPr/>
            <w:r>
              <w:rPr>
                <w:sz w:val="18"/>
              </w:rPr>
              <w:t>Multiple competing exchanges (CME, ICE, Cboe, etc.)</w:t>
            </w:r>
          </w:p>
        </w:tc>
        <w:tc>
          <w:tcPr>
            <w:tcW w:type="dxa" w:w="2880"/>
          </w:tcPr>
          <w:p>
            <w:pPr/>
            <w:r>
              <w:rPr>
                <w:sz w:val="18"/>
              </w:rPr>
              <w:t>Single integrated exchange (KRX) operating all markets</w:t>
            </w:r>
          </w:p>
        </w:tc>
      </w:tr>
    </w:tbl>
    <w:p/>
    <w:p>
      <w:pPr>
        <w:pStyle w:val="Heading3"/>
      </w:pPr>
      <w:r>
        <w:t>10.2 Position Limit Approaches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Dimension</w:t>
            </w:r>
          </w:p>
        </w:tc>
        <w:tc>
          <w:tcPr>
            <w:tcW w:type="dxa" w:w="2880"/>
          </w:tcPr>
          <w:p>
            <w:pPr/>
            <w:r>
              <w:rPr>
                <w:b/>
                <w:sz w:val="18"/>
              </w:rPr>
              <w:t>United States</w:t>
            </w:r>
          </w:p>
        </w:tc>
        <w:tc>
          <w:tcPr>
            <w:tcW w:type="dxa" w:w="2880"/>
          </w:tcPr>
          <w:p>
            <w:pPr/>
            <w:r>
              <w:rPr>
                <w:b/>
                <w:sz w:val="18"/>
              </w:rPr>
              <w:t>Korea</w:t>
            </w:r>
          </w:p>
        </w:tc>
      </w:tr>
      <w:tr>
        <w:tc>
          <w:tcPr>
            <w:tcW w:type="dxa" w:w="2880"/>
          </w:tcPr>
          <w:p>
            <w:pPr/>
            <w:r>
              <w:rPr>
                <w:sz w:val="18"/>
              </w:rPr>
              <w:t>**Authority**</w:t>
            </w:r>
          </w:p>
        </w:tc>
        <w:tc>
          <w:tcPr>
            <w:tcW w:type="dxa" w:w="2880"/>
          </w:tcPr>
          <w:p>
            <w:pPr/>
            <w:r>
              <w:rPr>
                <w:sz w:val="18"/>
              </w:rPr>
              <w:t>Federal limits set by CFTC (Part 150); exchange limits supplement</w:t>
            </w:r>
          </w:p>
        </w:tc>
        <w:tc>
          <w:tcPr>
            <w:tcW w:type="dxa" w:w="2880"/>
          </w:tcPr>
          <w:p>
            <w:pPr/>
            <w:r>
              <w:rPr>
                <w:sz w:val="18"/>
              </w:rPr>
              <w:t>KRX sets position limits under FSC/FSS supervision</w:t>
            </w:r>
          </w:p>
        </w:tc>
      </w:tr>
      <w:tr>
        <w:tc>
          <w:tcPr>
            <w:tcW w:type="dxa" w:w="2880"/>
          </w:tcPr>
          <w:p>
            <w:pPr/>
            <w:r>
              <w:rPr>
                <w:sz w:val="18"/>
              </w:rPr>
              <w:t>**Scope**</w:t>
            </w:r>
          </w:p>
        </w:tc>
        <w:tc>
          <w:tcPr>
            <w:tcW w:type="dxa" w:w="2880"/>
          </w:tcPr>
          <w:p>
            <w:pPr/>
            <w:r>
              <w:rPr>
                <w:sz w:val="18"/>
              </w:rPr>
              <w:t>25 core referenced futures + economically equivalent swaps</w:t>
            </w:r>
          </w:p>
        </w:tc>
        <w:tc>
          <w:tcPr>
            <w:tcW w:type="dxa" w:w="2880"/>
          </w:tcPr>
          <w:p>
            <w:pPr/>
            <w:r>
              <w:rPr>
                <w:sz w:val="18"/>
              </w:rPr>
              <w:t>Applied to KOSPI 200 futures/options and other listed derivatives</w:t>
            </w:r>
          </w:p>
        </w:tc>
      </w:tr>
      <w:tr>
        <w:tc>
          <w:tcPr>
            <w:tcW w:type="dxa" w:w="2880"/>
          </w:tcPr>
          <w:p>
            <w:pPr/>
            <w:r>
              <w:rPr>
                <w:sz w:val="18"/>
              </w:rPr>
              <w:t>**Methodology**</w:t>
            </w:r>
          </w:p>
        </w:tc>
        <w:tc>
          <w:tcPr>
            <w:tcW w:type="dxa" w:w="2880"/>
          </w:tcPr>
          <w:p>
            <w:pPr/>
            <w:r>
              <w:rPr>
                <w:sz w:val="18"/>
              </w:rPr>
              <w:t>Spot-month: 25% of deliverable supply; non-spot: 10%/2.5% formula</w:t>
            </w:r>
          </w:p>
        </w:tc>
        <w:tc>
          <w:tcPr>
            <w:tcW w:type="dxa" w:w="2880"/>
          </w:tcPr>
          <w:p>
            <w:pPr/>
            <w:r>
              <w:rPr>
                <w:sz w:val="18"/>
              </w:rPr>
              <w:t>Based on open interest percentages and notional values</w:t>
            </w:r>
          </w:p>
        </w:tc>
      </w:tr>
      <w:tr>
        <w:tc>
          <w:tcPr>
            <w:tcW w:type="dxa" w:w="2880"/>
          </w:tcPr>
          <w:p>
            <w:pPr/>
            <w:r>
              <w:rPr>
                <w:sz w:val="18"/>
              </w:rPr>
              <w:t>**Hedge exemptions**</w:t>
            </w:r>
          </w:p>
        </w:tc>
        <w:tc>
          <w:tcPr>
            <w:tcW w:type="dxa" w:w="2880"/>
          </w:tcPr>
          <w:p>
            <w:pPr/>
            <w:r>
              <w:rPr>
                <w:sz w:val="18"/>
              </w:rPr>
              <w:t>Enumerated and non-enumerated hedge exemptions; exchange-administered</w:t>
            </w:r>
          </w:p>
        </w:tc>
        <w:tc>
          <w:tcPr>
            <w:tcW w:type="dxa" w:w="2880"/>
          </w:tcPr>
          <w:p>
            <w:pPr/>
            <w:r>
              <w:rPr>
                <w:sz w:val="18"/>
              </w:rPr>
              <w:t>Hedging exemptions available through KRX application</w:t>
            </w:r>
          </w:p>
        </w:tc>
      </w:tr>
      <w:tr>
        <w:tc>
          <w:tcPr>
            <w:tcW w:type="dxa" w:w="2880"/>
          </w:tcPr>
          <w:p>
            <w:pPr/>
            <w:r>
              <w:rPr>
                <w:sz w:val="18"/>
              </w:rPr>
              <w:t>**Swap equivalents**</w:t>
            </w:r>
          </w:p>
        </w:tc>
        <w:tc>
          <w:tcPr>
            <w:tcW w:type="dxa" w:w="2880"/>
          </w:tcPr>
          <w:p>
            <w:pPr/>
            <w:r>
              <w:rPr>
                <w:sz w:val="18"/>
              </w:rPr>
              <w:t>Federal limits extend to economically equivalent swaps (since 2023)</w:t>
            </w:r>
          </w:p>
        </w:tc>
        <w:tc>
          <w:tcPr>
            <w:tcW w:type="dxa" w:w="2880"/>
          </w:tcPr>
          <w:p>
            <w:pPr/>
            <w:r>
              <w:rPr>
                <w:sz w:val="18"/>
              </w:rPr>
              <w:t>OTC derivatives position management through TR reporting</w:t>
            </w:r>
          </w:p>
        </w:tc>
      </w:tr>
    </w:tbl>
    <w:p/>
    <w:p>
      <w:pPr>
        <w:pStyle w:val="Heading3"/>
      </w:pPr>
      <w:r>
        <w:t>10.3 Clearing Mandates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Dimension</w:t>
            </w:r>
          </w:p>
        </w:tc>
        <w:tc>
          <w:tcPr>
            <w:tcW w:type="dxa" w:w="2880"/>
          </w:tcPr>
          <w:p>
            <w:pPr/>
            <w:r>
              <w:rPr>
                <w:b/>
                <w:sz w:val="18"/>
              </w:rPr>
              <w:t>United States</w:t>
            </w:r>
          </w:p>
        </w:tc>
        <w:tc>
          <w:tcPr>
            <w:tcW w:type="dxa" w:w="2880"/>
          </w:tcPr>
          <w:p>
            <w:pPr/>
            <w:r>
              <w:rPr>
                <w:b/>
                <w:sz w:val="18"/>
              </w:rPr>
              <w:t>Korea</w:t>
            </w:r>
          </w:p>
        </w:tc>
      </w:tr>
      <w:tr>
        <w:tc>
          <w:tcPr>
            <w:tcW w:type="dxa" w:w="2880"/>
          </w:tcPr>
          <w:p>
            <w:pPr/>
            <w:r>
              <w:rPr>
                <w:sz w:val="18"/>
              </w:rPr>
              <w:t>**Mandatory clearing**</w:t>
            </w:r>
          </w:p>
        </w:tc>
        <w:tc>
          <w:tcPr>
            <w:tcW w:type="dxa" w:w="2880"/>
          </w:tcPr>
          <w:p>
            <w:pPr/>
            <w:r>
              <w:rPr>
                <w:sz w:val="18"/>
              </w:rPr>
              <w:t>IRS, CDS (standardized, since 2013)</w:t>
            </w:r>
          </w:p>
        </w:tc>
        <w:tc>
          <w:tcPr>
            <w:tcW w:type="dxa" w:w="2880"/>
          </w:tcPr>
          <w:p>
            <w:pPr/>
            <w:r>
              <w:rPr>
                <w:sz w:val="18"/>
              </w:rPr>
              <w:t>KRW IRS (since June 2014)</w:t>
            </w:r>
          </w:p>
        </w:tc>
      </w:tr>
      <w:tr>
        <w:tc>
          <w:tcPr>
            <w:tcW w:type="dxa" w:w="2880"/>
          </w:tcPr>
          <w:p>
            <w:pPr/>
            <w:r>
              <w:rPr>
                <w:sz w:val="18"/>
              </w:rPr>
              <w:t>**CCP structure**</w:t>
            </w:r>
          </w:p>
        </w:tc>
        <w:tc>
          <w:tcPr>
            <w:tcW w:type="dxa" w:w="2880"/>
          </w:tcPr>
          <w:p>
            <w:pPr/>
            <w:r>
              <w:rPr>
                <w:sz w:val="18"/>
              </w:rPr>
              <w:t>Multiple DCOs (CME, LCH, ICE Clear)</w:t>
            </w:r>
          </w:p>
        </w:tc>
        <w:tc>
          <w:tcPr>
            <w:tcW w:type="dxa" w:w="2880"/>
          </w:tcPr>
          <w:p>
            <w:pPr/>
            <w:r>
              <w:rPr>
                <w:sz w:val="18"/>
              </w:rPr>
              <w:t>Single CCP (KRX) for both exchange-traded and OTC</w:t>
            </w:r>
          </w:p>
        </w:tc>
      </w:tr>
      <w:tr>
        <w:tc>
          <w:tcPr>
            <w:tcW w:type="dxa" w:w="2880"/>
          </w:tcPr>
          <w:p>
            <w:pPr/>
            <w:r>
              <w:rPr>
                <w:sz w:val="18"/>
              </w:rPr>
              <w:t>**CFTC-KRX relationship**</w:t>
            </w:r>
          </w:p>
        </w:tc>
        <w:tc>
          <w:tcPr>
            <w:tcW w:type="dxa" w:w="2880"/>
          </w:tcPr>
          <w:p>
            <w:pPr/>
            <w:r>
              <w:rPr>
                <w:sz w:val="18"/>
              </w:rPr>
              <w:t>KRX received exempt DCO status from CFTC (2015)</w:t>
            </w:r>
          </w:p>
        </w:tc>
        <w:tc>
          <w:tcPr>
            <w:tcW w:type="dxa" w:w="2880"/>
          </w:tcPr>
          <w:p>
            <w:pPr/>
            <w:r>
              <w:rPr>
                <w:sz w:val="18"/>
              </w:rPr>
              <w:t>—</w:t>
            </w:r>
          </w:p>
        </w:tc>
      </w:tr>
      <w:tr>
        <w:tc>
          <w:tcPr>
            <w:tcW w:type="dxa" w:w="2880"/>
          </w:tcPr>
          <w:p>
            <w:pPr/>
            <w:r>
              <w:rPr>
                <w:sz w:val="18"/>
              </w:rPr>
              <w:t>**End-user exemption**</w:t>
            </w:r>
          </w:p>
        </w:tc>
        <w:tc>
          <w:tcPr>
            <w:tcW w:type="dxa" w:w="2880"/>
          </w:tcPr>
          <w:p>
            <w:pPr/>
            <w:r>
              <w:rPr>
                <w:sz w:val="18"/>
              </w:rPr>
              <w:t>Available for commercial hedgers</w:t>
            </w:r>
          </w:p>
        </w:tc>
        <w:tc>
          <w:tcPr>
            <w:tcW w:type="dxa" w:w="2880"/>
          </w:tcPr>
          <w:p>
            <w:pPr/>
            <w:r>
              <w:rPr>
                <w:sz w:val="18"/>
              </w:rPr>
              <w:t>Available for qualifying end-users</w:t>
            </w:r>
          </w:p>
        </w:tc>
      </w:tr>
      <w:tr>
        <w:tc>
          <w:tcPr>
            <w:tcW w:type="dxa" w:w="2880"/>
          </w:tcPr>
          <w:p>
            <w:pPr/>
            <w:r>
              <w:rPr>
                <w:sz w:val="18"/>
              </w:rPr>
              <w:t>**Margin framework**</w:t>
            </w:r>
          </w:p>
        </w:tc>
        <w:tc>
          <w:tcPr>
            <w:tcW w:type="dxa" w:w="2880"/>
          </w:tcPr>
          <w:p>
            <w:pPr/>
            <w:r>
              <w:rPr>
                <w:sz w:val="18"/>
              </w:rPr>
              <w:t>CFTC rules for cleared; prudential regulators for banks</w:t>
            </w:r>
          </w:p>
        </w:tc>
        <w:tc>
          <w:tcPr>
            <w:tcW w:type="dxa" w:w="2880"/>
          </w:tcPr>
          <w:p>
            <w:pPr/>
            <w:r>
              <w:rPr>
                <w:sz w:val="18"/>
              </w:rPr>
              <w:t>FSC/FSS-set margin rules; KRX margin methodology</w:t>
            </w:r>
          </w:p>
        </w:tc>
      </w:tr>
      <w:tr>
        <w:tc>
          <w:tcPr>
            <w:tcW w:type="dxa" w:w="2880"/>
          </w:tcPr>
          <w:p>
            <w:pPr/>
            <w:r>
              <w:rPr>
                <w:sz w:val="18"/>
              </w:rPr>
              <w:t>**Client clearing model**</w:t>
            </w:r>
          </w:p>
        </w:tc>
        <w:tc>
          <w:tcPr>
            <w:tcW w:type="dxa" w:w="2880"/>
          </w:tcPr>
          <w:p>
            <w:pPr/>
            <w:r>
              <w:rPr>
                <w:sz w:val="18"/>
              </w:rPr>
              <w:t>LSOC for swaps; full segregation for futures</w:t>
            </w:r>
          </w:p>
        </w:tc>
        <w:tc>
          <w:tcPr>
            <w:tcW w:type="dxa" w:w="2880"/>
          </w:tcPr>
          <w:p>
            <w:pPr/>
            <w:r>
              <w:rPr>
                <w:sz w:val="18"/>
              </w:rPr>
              <w:t>Customer protection through KRX clearing rules</w:t>
            </w:r>
          </w:p>
        </w:tc>
      </w:tr>
    </w:tbl>
    <w:p/>
    <w:p>
      <w:pPr>
        <w:pStyle w:val="Heading3"/>
      </w:pPr>
      <w:r>
        <w:t>10.4 Trade Reporting</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Dimension</w:t>
            </w:r>
          </w:p>
        </w:tc>
        <w:tc>
          <w:tcPr>
            <w:tcW w:type="dxa" w:w="2880"/>
          </w:tcPr>
          <w:p>
            <w:pPr/>
            <w:r>
              <w:rPr>
                <w:b/>
                <w:sz w:val="18"/>
              </w:rPr>
              <w:t>United States</w:t>
            </w:r>
          </w:p>
        </w:tc>
        <w:tc>
          <w:tcPr>
            <w:tcW w:type="dxa" w:w="2880"/>
          </w:tcPr>
          <w:p>
            <w:pPr/>
            <w:r>
              <w:rPr>
                <w:b/>
                <w:sz w:val="18"/>
              </w:rPr>
              <w:t>Korea</w:t>
            </w:r>
          </w:p>
        </w:tc>
      </w:tr>
      <w:tr>
        <w:tc>
          <w:tcPr>
            <w:tcW w:type="dxa" w:w="2880"/>
          </w:tcPr>
          <w:p>
            <w:pPr/>
            <w:r>
              <w:rPr>
                <w:sz w:val="18"/>
              </w:rPr>
              <w:t>**Trade repositories**</w:t>
            </w:r>
          </w:p>
        </w:tc>
        <w:tc>
          <w:tcPr>
            <w:tcW w:type="dxa" w:w="2880"/>
          </w:tcPr>
          <w:p>
            <w:pPr/>
            <w:r>
              <w:rPr>
                <w:sz w:val="18"/>
              </w:rPr>
              <w:t>Multiple registered SDRs (DTCC, CME, ICE)</w:t>
            </w:r>
          </w:p>
        </w:tc>
        <w:tc>
          <w:tcPr>
            <w:tcW w:type="dxa" w:w="2880"/>
          </w:tcPr>
          <w:p>
            <w:pPr/>
            <w:r>
              <w:rPr>
                <w:sz w:val="18"/>
              </w:rPr>
              <w:t>KRX operates as trade repository (activated ~2020)</w:t>
            </w:r>
          </w:p>
        </w:tc>
      </w:tr>
      <w:tr>
        <w:tc>
          <w:tcPr>
            <w:tcW w:type="dxa" w:w="2880"/>
          </w:tcPr>
          <w:p>
            <w:pPr/>
            <w:r>
              <w:rPr>
                <w:sz w:val="18"/>
              </w:rPr>
              <w:t>**Reporting scope**</w:t>
            </w:r>
          </w:p>
        </w:tc>
        <w:tc>
          <w:tcPr>
            <w:tcW w:type="dxa" w:w="2880"/>
          </w:tcPr>
          <w:p>
            <w:pPr/>
            <w:r>
              <w:rPr>
                <w:sz w:val="18"/>
              </w:rPr>
              <w:t>All swaps (cleared and uncleared)</w:t>
            </w:r>
          </w:p>
        </w:tc>
        <w:tc>
          <w:tcPr>
            <w:tcW w:type="dxa" w:w="2880"/>
          </w:tcPr>
          <w:p>
            <w:pPr/>
            <w:r>
              <w:rPr>
                <w:sz w:val="18"/>
              </w:rPr>
              <w:t>OTC derivatives transactions</w:t>
            </w:r>
          </w:p>
        </w:tc>
      </w:tr>
      <w:tr>
        <w:tc>
          <w:tcPr>
            <w:tcW w:type="dxa" w:w="2880"/>
          </w:tcPr>
          <w:p>
            <w:pPr/>
            <w:r>
              <w:rPr>
                <w:sz w:val="18"/>
              </w:rPr>
              <w:t>**Real-time public reporting**</w:t>
            </w:r>
          </w:p>
        </w:tc>
        <w:tc>
          <w:tcPr>
            <w:tcW w:type="dxa" w:w="2880"/>
          </w:tcPr>
          <w:p>
            <w:pPr/>
            <w:r>
              <w:rPr>
                <w:sz w:val="18"/>
              </w:rPr>
              <w:t>Required with block trade delays</w:t>
            </w:r>
          </w:p>
        </w:tc>
        <w:tc>
          <w:tcPr>
            <w:tcW w:type="dxa" w:w="2880"/>
          </w:tcPr>
          <w:p>
            <w:pPr/>
            <w:r>
              <w:rPr>
                <w:sz w:val="18"/>
              </w:rPr>
              <w:t>Limited public reporting of OTC data</w:t>
            </w:r>
          </w:p>
        </w:tc>
      </w:tr>
      <w:tr>
        <w:tc>
          <w:tcPr>
            <w:tcW w:type="dxa" w:w="2880"/>
          </w:tcPr>
          <w:p>
            <w:pPr/>
            <w:r>
              <w:rPr>
                <w:sz w:val="18"/>
              </w:rPr>
              <w:t>**COT-style reports**</w:t>
            </w:r>
          </w:p>
        </w:tc>
        <w:tc>
          <w:tcPr>
            <w:tcW w:type="dxa" w:w="2880"/>
          </w:tcPr>
          <w:p>
            <w:pPr/>
            <w:r>
              <w:rPr>
                <w:sz w:val="18"/>
              </w:rPr>
              <w:t>Weekly public COT reports</w:t>
            </w:r>
          </w:p>
        </w:tc>
        <w:tc>
          <w:tcPr>
            <w:tcW w:type="dxa" w:w="2880"/>
          </w:tcPr>
          <w:p>
            <w:pPr/>
            <w:r>
              <w:rPr>
                <w:sz w:val="18"/>
              </w:rPr>
              <w:t>KRX publishes investor-type position data</w:t>
            </w:r>
          </w:p>
        </w:tc>
      </w:tr>
    </w:tbl>
    <w:p/>
    <w:p>
      <w:pPr>
        <w:pStyle w:val="Heading3"/>
      </w:pPr>
      <w:r>
        <w:t>10.5 Market Surveillance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Dimension</w:t>
            </w:r>
          </w:p>
        </w:tc>
        <w:tc>
          <w:tcPr>
            <w:tcW w:type="dxa" w:w="2880"/>
          </w:tcPr>
          <w:p>
            <w:pPr/>
            <w:r>
              <w:rPr>
                <w:b/>
                <w:sz w:val="18"/>
              </w:rPr>
              <w:t>United States</w:t>
            </w:r>
          </w:p>
        </w:tc>
        <w:tc>
          <w:tcPr>
            <w:tcW w:type="dxa" w:w="2880"/>
          </w:tcPr>
          <w:p>
            <w:pPr/>
            <w:r>
              <w:rPr>
                <w:b/>
                <w:sz w:val="18"/>
              </w:rPr>
              <w:t>Korea</w:t>
            </w:r>
          </w:p>
        </w:tc>
      </w:tr>
      <w:tr>
        <w:tc>
          <w:tcPr>
            <w:tcW w:type="dxa" w:w="2880"/>
          </w:tcPr>
          <w:p>
            <w:pPr/>
            <w:r>
              <w:rPr>
                <w:sz w:val="18"/>
              </w:rPr>
              <w:t>**Dual-level surveillance**</w:t>
            </w:r>
          </w:p>
        </w:tc>
        <w:tc>
          <w:tcPr>
            <w:tcW w:type="dxa" w:w="2880"/>
          </w:tcPr>
          <w:p>
            <w:pPr/>
            <w:r>
              <w:rPr>
                <w:sz w:val="18"/>
              </w:rPr>
              <w:t>CFTC (federal) + exchanges (self-regulatory)</w:t>
            </w:r>
          </w:p>
        </w:tc>
        <w:tc>
          <w:tcPr>
            <w:tcW w:type="dxa" w:w="2880"/>
          </w:tcPr>
          <w:p>
            <w:pPr/>
            <w:r>
              <w:rPr>
                <w:sz w:val="18"/>
              </w:rPr>
              <w:t>FSS (supervisory) + KRX (front-line surveillance)</w:t>
            </w:r>
          </w:p>
        </w:tc>
      </w:tr>
      <w:tr>
        <w:tc>
          <w:tcPr>
            <w:tcW w:type="dxa" w:w="2880"/>
          </w:tcPr>
          <w:p>
            <w:pPr/>
            <w:r>
              <w:rPr>
                <w:sz w:val="18"/>
              </w:rPr>
              <w:t>**Large trader reporting**</w:t>
            </w:r>
          </w:p>
        </w:tc>
        <w:tc>
          <w:tcPr>
            <w:tcW w:type="dxa" w:w="2880"/>
          </w:tcPr>
          <w:p>
            <w:pPr/>
            <w:r>
              <w:rPr>
                <w:sz w:val="18"/>
              </w:rPr>
              <w:t>Daily reports above contract-specific thresholds</w:t>
            </w:r>
          </w:p>
        </w:tc>
        <w:tc>
          <w:tcPr>
            <w:tcW w:type="dxa" w:w="2880"/>
          </w:tcPr>
          <w:p>
            <w:pPr/>
            <w:r>
              <w:rPr>
                <w:sz w:val="18"/>
              </w:rPr>
              <w:t>Real-time position monitoring through integrated KRX system</w:t>
            </w:r>
          </w:p>
        </w:tc>
      </w:tr>
      <w:tr>
        <w:tc>
          <w:tcPr>
            <w:tcW w:type="dxa" w:w="2880"/>
          </w:tcPr>
          <w:p>
            <w:pPr/>
            <w:r>
              <w:rPr>
                <w:sz w:val="18"/>
              </w:rPr>
              <w:t>**Cross-market surveillance**</w:t>
            </w:r>
          </w:p>
        </w:tc>
        <w:tc>
          <w:tcPr>
            <w:tcW w:type="dxa" w:w="2880"/>
          </w:tcPr>
          <w:p>
            <w:pPr/>
            <w:r>
              <w:rPr>
                <w:sz w:val="18"/>
              </w:rPr>
              <w:t>Coordinated but challenging across multiple exchanges</w:t>
            </w:r>
          </w:p>
        </w:tc>
        <w:tc>
          <w:tcPr>
            <w:tcW w:type="dxa" w:w="2880"/>
          </w:tcPr>
          <w:p>
            <w:pPr/>
            <w:r>
              <w:rPr>
                <w:sz w:val="18"/>
              </w:rPr>
              <w:t>Unified surveillance across all KRX markets</w:t>
            </w:r>
          </w:p>
        </w:tc>
      </w:tr>
      <w:tr>
        <w:tc>
          <w:tcPr>
            <w:tcW w:type="dxa" w:w="2880"/>
          </w:tcPr>
          <w:p>
            <w:pPr/>
            <w:r>
              <w:rPr>
                <w:sz w:val="18"/>
              </w:rPr>
              <w:t>**Enforcement**</w:t>
            </w:r>
          </w:p>
        </w:tc>
        <w:tc>
          <w:tcPr>
            <w:tcW w:type="dxa" w:w="2880"/>
          </w:tcPr>
          <w:p>
            <w:pPr/>
            <w:r>
              <w:rPr>
                <w:sz w:val="18"/>
              </w:rPr>
              <w:t>CFTC civil/administrative actions; DOJ criminal referrals</w:t>
            </w:r>
          </w:p>
        </w:tc>
        <w:tc>
          <w:tcPr>
            <w:tcW w:type="dxa" w:w="2880"/>
          </w:tcPr>
          <w:p>
            <w:pPr/>
            <w:r>
              <w:rPr>
                <w:sz w:val="18"/>
              </w:rPr>
              <w:t>FSS administrative sanctions; referral to prosecutors for criminal cases</w:t>
            </w:r>
          </w:p>
        </w:tc>
      </w:tr>
    </w:tbl>
    <w:p/>
    <w:p>
      <w:pPr>
        <w:pStyle w:val="Heading3"/>
      </w:pPr>
      <w:r>
        <w:t>10.6 Key Structural Differences</w:t>
      </w:r>
    </w:p>
    <w:p>
      <w:pPr>
        <w:pStyle w:val="ListNumber"/>
      </w:pPr>
      <w:r>
        <w:t>Fragmented vs. unified: The U.S. has a fragmented regulatory structure (CFTC/SEC split, multiple exchanges, multiple CCPs) vs. Korea's unified structure (FSC/FSS, single KRX exchange and CCP)</w:t>
      </w:r>
    </w:p>
    <w:p>
      <w:pPr>
        <w:pStyle w:val="ListNumber"/>
      </w:pPr>
      <w:r>
        <w:t>SRO model: The U.S. relies heavily on NFA and exchanges as SROs; Korea integrates SRO functions within KRX</w:t>
      </w:r>
    </w:p>
    <w:p>
      <w:pPr>
        <w:pStyle w:val="ListNumber"/>
      </w:pPr>
      <w:r>
        <w:t>Market competition: U.S. exchanges compete on products, fees, and technology; KRX is a monopoly exchange but may offer lower costs through integration</w:t>
      </w:r>
    </w:p>
    <w:p>
      <w:pPr>
        <w:pStyle w:val="ListNumber"/>
      </w:pPr>
      <w:r>
        <w:t>OTC derivatives reform: Both jurisdictions followed G20 mandates for central clearing, trade reporting, and platform trading, but U.S. implementation is broader in scope and earlier in timing</w:t>
      </w:r>
    </w:p>
    <w:p>
      <w:pPr>
        <w:pStyle w:val="ListNumber"/>
      </w:pPr>
      <w:r>
        <w:t>Cross-border: CFTC has extensive cross-border framework including substituted compliance; Korea's cross-border approach is more bilateral (MOU-based)</w:t>
      </w:r>
    </w:p>
    <w:p>
      <w:r>
        <w:t>────────────────────────────────────────────────────────────</w:t>
      </w:r>
    </w:p>
    <w:p>
      <w:pPr>
        <w:pStyle w:val="Heading2"/>
      </w:pPr>
      <w:r>
        <w:t>Sources</w:t>
      </w:r>
    </w:p>
    <w:p>
      <w:pPr>
        <w:pStyle w:val="ListBullet"/>
      </w:pPr>
      <w:r>
        <w:t>[CFTC — Commodity Exchange Act &amp; Regulations](https://www.cftc.gov/LawRegulation/CommodityExchangeAct/index.htm)</w:t>
      </w:r>
    </w:p>
    <w:p>
      <w:pPr>
        <w:pStyle w:val="ListBullet"/>
      </w:pPr>
      <w:r>
        <w:t>[CFTC — Dodd-Frank Act Implementation](https://www.cftc.gov/LawRegulation/DoddFrankAct/index.htm)</w:t>
      </w:r>
    </w:p>
    <w:p>
      <w:pPr>
        <w:pStyle w:val="ListBullet"/>
      </w:pPr>
      <w:r>
        <w:t>[CFTC — Position Limits for Derivatives](https://www.cftc.gov/LawRegulation/DoddFrankAct/Rulemakings/PositionLimitsforDerivatives/index.htm)</w:t>
      </w:r>
    </w:p>
    <w:p>
      <w:pPr>
        <w:pStyle w:val="ListBullet"/>
      </w:pPr>
      <w:r>
        <w:t>[CFTC — Cross-Border Application of Swaps Provisions](https://www.cftc.gov/LawRegulation/DoddFrankAct/Rulemakings/Cross-BorderApplicationofSwapsProvisions/index.htm)</w:t>
      </w:r>
    </w:p>
    <w:p>
      <w:pPr>
        <w:pStyle w:val="ListBullet"/>
      </w:pPr>
      <w:r>
        <w:t>[CFTC — Comparability Determinations for Substituted Compliance](https://www.cftc.gov/LawRegulation/DoddFrankAct/CDSCP/index.htm)</w:t>
      </w:r>
    </w:p>
    <w:p>
      <w:pPr>
        <w:pStyle w:val="ListBullet"/>
      </w:pPr>
      <w:r>
        <w:t>[CFTC — Derivatives Clearing Organizations](https://www.cftc.gov/IndustryOversight/ClearingOrganizations/index.htm)</w:t>
      </w:r>
    </w:p>
    <w:p>
      <w:pPr>
        <w:pStyle w:val="ListBullet"/>
      </w:pPr>
      <w:r>
        <w:t>[CFTC — Market Surveillance Program](https://www.cftc.gov/IndustryOversight/MarketSurveillance/CFTCMarketSurveillanceProgram/index.htm)</w:t>
      </w:r>
    </w:p>
    <w:p>
      <w:pPr>
        <w:pStyle w:val="ListBullet"/>
      </w:pPr>
      <w:r>
        <w:t>[CFTC — Large Trader Reporting Program](https://www.cftc.gov/IndustryOversight/MarketSurveillance/LargeTraderReportingProgram/index.htm)</w:t>
      </w:r>
    </w:p>
    <w:p>
      <w:pPr>
        <w:pStyle w:val="ListBullet"/>
      </w:pPr>
      <w:r>
        <w:t>[CFTC — Real-Time Reporting](https://www.cftc.gov/LawRegulation/DoddFrankAct/Rulemakings/DF_18_RealTimeReporting/index.htm)</w:t>
      </w:r>
    </w:p>
    <w:p>
      <w:pPr>
        <w:pStyle w:val="ListBullet"/>
      </w:pPr>
      <w:r>
        <w:t>[CFTC — Data Repositories](https://www.cftc.gov/IndustryOversight/DataRepositories/index.htm)</w:t>
      </w:r>
    </w:p>
    <w:p>
      <w:pPr>
        <w:pStyle w:val="ListBullet"/>
      </w:pPr>
      <w:r>
        <w:t>[CFTC — Systemically Important DCO Rules](https://www.cftc.gov/LawRegulation/DoddFrankAct/Rulemakings/DF_10_SystemicDCO/index.htm)</w:t>
      </w:r>
    </w:p>
    <w:p>
      <w:pPr>
        <w:pStyle w:val="ListBullet"/>
      </w:pPr>
      <w:r>
        <w:t>[NFA — Registration and Membership](https://www.nfa.futures.org/registration-membership/index.html)</w:t>
      </w:r>
    </w:p>
    <w:p>
      <w:pPr>
        <w:pStyle w:val="ListBullet"/>
      </w:pPr>
      <w:r>
        <w:t>[NFA — FCM Registration Requirements](https://www.nfa.futures.org/registration-membership/who-has-to-register/fcm.html)</w:t>
      </w:r>
    </w:p>
    <w:p>
      <w:pPr>
        <w:pStyle w:val="ListBullet"/>
      </w:pPr>
      <w:r>
        <w:t>[Federal Register — Position Limits for Derivatives (86 FR 3236)](https://www.federalregister.gov/documents/2021/01/14/2020-25332/position-limits-for-derivatives)</w:t>
      </w:r>
    </w:p>
    <w:p>
      <w:pPr>
        <w:pStyle w:val="ListBullet"/>
      </w:pPr>
      <w:r>
        <w:t>[Federal Register — Cross-Border Application (85 FR 56924)](https://www.federalregister.gov/documents/2020/09/14/2020-16489/cross-border-application-of-the-registration-thresholds-and-certain-requirements-applicable-to-swap)</w:t>
      </w:r>
    </w:p>
    <w:p>
      <w:pPr>
        <w:pStyle w:val="ListBullet"/>
      </w:pPr>
      <w:r>
        <w:t>[Federal Register — Prediction Markets ANPR (2026)](https://www.federalregister.gov/documents/2026/03/16/2026-05105/prediction-markets)</w:t>
      </w:r>
    </w:p>
    <w:p>
      <w:pPr>
        <w:pStyle w:val="ListBullet"/>
      </w:pPr>
      <w:r>
        <w:t>[eCFR — 17 CFR Part 150 (Position Limits)](https://www.ecfr.gov/current/title-17/chapter-I/part-150)</w:t>
      </w:r>
    </w:p>
    <w:p>
      <w:pPr>
        <w:pStyle w:val="ListBullet"/>
      </w:pPr>
      <w:r>
        <w:t>[eCFR — 17 CFR Part 39 (DCOs)](https://www.ecfr.gov/current/title-17/chapter-I/part-39)</w:t>
      </w:r>
    </w:p>
    <w:p>
      <w:pPr>
        <w:pStyle w:val="ListBullet"/>
      </w:pPr>
      <w:r>
        <w:t>[eCFR — 17 CFR Part 43 (Real-Time Public Reporting)](https://www.ecfr.gov/current/title-17/chapter-I/part-43)</w:t>
      </w:r>
    </w:p>
    <w:p>
      <w:pPr>
        <w:pStyle w:val="ListBullet"/>
      </w:pPr>
      <w:r>
        <w:t>[Congress.gov — Dodd-Frank Title VII (CRS Report R41398)](https://www.congress.gov/crs-product/R41398)</w:t>
      </w:r>
    </w:p>
    <w:p>
      <w:pPr>
        <w:pStyle w:val="ListBullet"/>
      </w:pPr>
      <w:r>
        <w:t>[CFTC — KRX Exempt DCO Order (2015)](https://www.cftc.gov/PressRoom/PressReleases/7270-15)</w:t>
      </w:r>
    </w:p>
    <w:p>
      <w:pPr>
        <w:pStyle w:val="ListBullet"/>
      </w:pPr>
      <w:r>
        <w:t>[KRX — OTC Derivatives Clearing Background](https://clearing.krx.co.kr/en/contents/GLB/02/0202/0202030201/GLB0202030201.jsp)</w:t>
      </w:r>
    </w:p>
    <w:p>
      <w:pPr>
        <w:pStyle w:val="ListBullet"/>
      </w:pPr>
      <w:r>
        <w:t>[Chambers — Financial Services Regulation 2025: South Korea](https://practiceguides.chambers.com/practice-guides/financial-services-regulation-2025/south-korea)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