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글로벌 파생상품시장 (Global Derivatives Markets) — 개요 (Overview)</w:t>
      </w:r>
    </w:p>
    <w:p>
      <w:r>
        <w:rPr>
          <w:i/>
          <w:sz w:val="18"/>
        </w:rPr>
        <w:t>**최종 업데이트:** 2026-04-13</w:t>
      </w:r>
    </w:p>
    <w:p>
      <w:r>
        <w:rPr>
          <w:i/>
          <w:sz w:val="18"/>
        </w:rPr>
        <w:t>**상태 (Status):** 완료 (Completed)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서론 (Introduction)</w:t>
      </w:r>
    </w:p>
    <w:p>
      <w:r>
        <w:t>본 문서는 글로벌 파생상품시장(파생상품시장, Global Derivatives Markets)—선물(Futures), 옵션(Options), 기타 상장 파생상품—의 구조, 주요 참여자 및 동향에 관한 고수준 개요를 제공한다. 본 문서는 글로벌 거래소 조사 프로젝트(Global Exchange Research)의 파생상품 도메인에 대한 종합 요약으로서, 17개 개별 거래소 조사 파일의 결과를 집약한다.</w:t>
      </w:r>
    </w:p>
    <w:p>
      <w:r>
        <w:t>관련 자료:</w:t>
      </w:r>
    </w:p>
    <w:p>
      <w:pPr>
        <w:pStyle w:val="ListBullet"/>
      </w:pPr>
      <w:r>
        <w:t>개별 거래소 파일: [exchanges/](exchanges/)</w:t>
      </w:r>
    </w:p>
    <w:p>
      <w:pPr>
        <w:pStyle w:val="ListBullet"/>
      </w:pPr>
      <w:r>
        <w:t>시스템 심층 분석: [systems/](systems/) (Globex, Genium INET, T7)</w:t>
      </w:r>
    </w:p>
    <w:p>
      <w:pPr>
        <w:pStyle w:val="ListBullet"/>
      </w:pPr>
      <w:r>
        <w:t>규제 분석: [regulations/](regulations/) (미국, EU, 아시아)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글로벌 파생상품시장 현황 (Global Derivatives Market Landscape)</w:t>
      </w:r>
    </w:p>
    <w:p>
      <w:pPr>
        <w:pStyle w:val="Heading3"/>
      </w:pPr>
      <w:r>
        <w:t>2.1 시장 규모 (Market Size &amp; Scale)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수치 (2024년)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**상장 파생상품(ETD) 총 거래계약 수 (연간)**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2,053억 4,000만 계약 (전년 대비 +51%)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FIA, 2024 Annual ETD Volume Review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**옵션 총 거래량**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1,771억 2,000만 계약 (전년 대비 +63.8%)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**선물 총 거래량**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282억 2,000만 계약 (전년 대비 +1.2%)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**미결제약정 (2024년 말)**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12억 3,000만 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**장외파생상품(OTC) 명목잔액 (2024년 말)**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700조 달러 이상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BIS Semiannual Statistics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— 금리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548.3조 달러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— 외환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130.1조 달러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— 신용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9.2조 달러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— 주식 파생상품 (OTC)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8.9조 달러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— 상품 파생상품 (OTC)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2.4조 달러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BIS</w:t>
            </w:r>
          </w:p>
        </w:tc>
      </w:tr>
    </w:tbl>
    <w:p/>
    <w:p>
      <w:r>
        <w:t>주요 관측: 글로벌 ETD 시장은 2024년 처음으로 2,000억 계약을 돌파하며 6년 연속 역대 최고 기록을 경신하였다. 거래량 증가의 압도적 다수는 주식 옵션에서 비롯되었으며, 특히 인도의 NSE(인도국립증권거래소, National Stock Exchange of India)는 단독으로 약 920억~1,080억 계약을 거래한 것으로 추정된다. 옵션은 현재 전체 ETD 거래량의 약 86%를 차지하며, 선물은 나머지 약 14%를 점유한다.</w:t>
      </w:r>
    </w:p>
    <w:p>
      <w:r>
        <w:t>[출처: FIA, "2024 Annual ETD Volume Review", https://www.fia.org/fia/articles/2024-annual-etd-volume-review]</w:t>
      </w:r>
    </w:p>
    <w:p>
      <w:r>
        <w:t>[출처: BIS, "OTC derivatives statistics at end-June 2024", https://www.bis.org/publ/otc_hy2411.htm]</w:t>
      </w:r>
    </w:p>
    <w:p>
      <w:r>
        <w:t>[출처: ISDA, "Key Trends in OTC Derivatives Markets H2 2024", https://www.isda.org/2025/07/03/key-trends-in-the-size-and-composition-of-otc-derivatives-markets-in-the-second-half-of-2024]</w:t>
      </w:r>
    </w:p>
    <w:p>
      <w:pPr>
        <w:pStyle w:val="Heading3"/>
      </w:pPr>
      <w:r>
        <w:t>2.2 거래량 기준 주요 거래소 (Top Exchanges by Volume, 계약 수, 2024년)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순위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수 (추정 연간, 십억)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권역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**NSE (인도)**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920억~1,080억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주가지수 및 개별주식 옵션 (Nifty 50, Bank Nifty)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아시아·태평양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**B3 (브라질)**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90억~100억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주가지수 및 금리 선물·옵션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아메리카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62억 (일평균 거래량 2,480만 계약 신기록)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복합자산 (금리, 주가지수, 에너지, 금속, FX)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아메리카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**Cboe Global Markets**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45억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주식 옵션, VIX, SPX, 0DTE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아메리카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**SHFE (INE 포함)**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30억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금속 (구리, 금, 알루미늄), 원유, 고무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아시아·태평양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**DCE**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25억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철광석, 대두박, 농산물·석유화학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아시아·태평양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24억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주가지수 (Euro Stoxx 50), 금리 (Bund), 개별주식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**ZCE (정주상품거래소, Zhengzhou Commodity Exchange)**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22억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농산물 (면화, 설탕, PTA), 유리, 메탄올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아시아·태평양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**ICE**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18억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에너지 (브렌트유, 가스), 금리, 소프트 상품, 탄소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아메리카/유럽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**KRX (한국거래소, Korea Exchange)**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15억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KOSPI 200 옵션, 주가지수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아시아·태평양</w:t>
            </w:r>
          </w:p>
        </w:tc>
      </w:tr>
    </w:tbl>
    <w:p/>
    <w:p>
      <w:r>
        <w:t>참고:</w:t>
      </w:r>
    </w:p>
    <w:p>
      <w:pPr>
        <w:pStyle w:val="ListBullet"/>
      </w:pPr>
      <w:r>
        <w:t>NSE의 지배적 위상은 대규모 개인투자자 옵션 참여에 기인하나, 2024년 11월 SEBI(인도증권거래위원회, Securities and Exchange Board of India)의 규제 강화 이후 거래량이 최고치 대비 약 30~38% 감소하였으며, NSE는 2025년 상반기에 B3에 1위 자리를 내주었다.</w:t>
      </w:r>
    </w:p>
    <w:p>
      <w:pPr>
        <w:pStyle w:val="ListBullet"/>
      </w:pPr>
      <w:r>
        <w:t>CME Group의 일평균 거래량(ADV)은 2024년 7월 2,480만 계약으로 역대 최고치를 기록하였으며, 2024년 3분기 국제 ADV는 840만 계약을 달성하였다.</w:t>
      </w:r>
    </w:p>
    <w:p>
      <w:pPr>
        <w:pStyle w:val="ListBullet"/>
      </w:pPr>
      <w:r>
        <w:t>순위는 잠정치이며, FIA 연간 최종 발표 전까지 수정될 수 있다. 중국 거래소(SHFE, DCE, ZCE)는 계약 수 기준으로 꾸준히 상위 10위권에 랭크된다.</w:t>
      </w:r>
    </w:p>
    <w:p>
      <w:r>
        <w:t>[출처: FIA ETD Tracker, https://www.fia.org/fia/etd-tracker]</w:t>
      </w:r>
    </w:p>
    <w:p>
      <w:r>
        <w:t>[출처: NSE, "NSE is the World's Largest Derivative Exchange for Fifth Consecutive Year", January 2024]</w:t>
      </w:r>
    </w:p>
    <w:p>
      <w:r>
        <w:t>[출처: CME Group, "CME Group International ADV Reached New Record of 8.4M Contracts in Q3 2024", October 2024]</w:t>
      </w:r>
    </w:p>
    <w:p>
      <w:r>
        <w:t>[출처: Business Standard, "NSE Loses Top Derivatives Exchange Spot to Brazil B3", July 2025]</w:t>
      </w:r>
    </w:p>
    <w:p>
      <w:pPr>
        <w:pStyle w:val="Heading3"/>
      </w:pPr>
      <w:r>
        <w:t>2.3 상품 유형 (Product Categories)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예시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거래소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선물·옵션 (Equity Index Futures/Options)**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S&amp;P 500, Euro Stoxx 50, Nifty 50, KOSPI 200, TAIEX, SPI 200, CAC 40, FTSE MIB, 항셍, SGX Nifty (GIFT Nifty)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NSE, CME, Eurex, Cboe, TAIFEX, ASX, Euronext, HKEX, SGX, KRX, 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**금리 선물·옵션 (Interest Rate Futures/Options)**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SOFR, Euribor, Bund, T-Note/T-Bond, 3Y/10Y 호주 국채, GoC 채권, CORRA, JGB, TONA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CME, Eurex, ICE, ASX, MX (몬트리올), 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**외환 선물·옵션 (FX Futures/Options)**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EUR/USD, JPY/USD, USD/INR, AUD/USD, GBP/USD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CME, SGX, NSE, TAIFEX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— 에너지 (Commodity — Energy)**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WTI 원유, 브렌트 원유, 오만 원유, 천연가스, 전력, LNG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NYMEX/CME, ICE, DME (GME), INE/SHFE, ASX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— 금속 (Commodity — Metals)**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금, 은, 구리, 알루미늄, 철광석, 니켈, 아연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COMEX/CME, LME, SHFE, DCE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— 농산물 (Commodity — Agriculture)**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옥수수, 밀, 대두, 대두박, 팜유, 면화, 설탕, 유채씨, 돼지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CBOT/CME, ICE, DCE, ZCE, Euronext (MATIF)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**개별주식 선물·옵션 (Single Stock Futures/Options)**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 종목 옵션·선물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NSE, Eurex, Cboe, Euronext, ASX (ETOs), TAIFEX, HKEX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**변동성 상품 (Volatility Products)**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VIX 선물·옵션, VSTOXX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Cboe (CFE), Eurex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**환경·ESG 파생상품 (Environmental / ESG)**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배출권(EUA), 탄소크레딧(ACCU, NZU), 재생에너지인증서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ICE, Eurex, ASX, EEX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**배당 파생상품 (Dividend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지수 배당 선물, 개별주식 배당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Eurex, Euronext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**국채 선물 — 중국 (Government Bond Futures, China)**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2년·5년·10년·30년 국채선물(CGB Futures)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CFFEX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시장 구조 (Market Structure)</w:t>
      </w:r>
    </w:p>
    <w:p>
      <w:pPr>
        <w:pStyle w:val="Heading3"/>
      </w:pPr>
      <w:r>
        <w:t>3.1 상장 파생상품 vs. 장외 파생상품 (Exchange-Traded vs OTC)</w:t>
      </w:r>
    </w:p>
    <w:p>
      <w:r>
        <w:t>글로벌 파생상품시장은 상장 파생상품(ETD, Exchange-Traded Derivatives)과 장외파생상품(OTC, Over-the-Counter) 시장 양측에 걸쳐 형성되어 있다.</w:t>
      </w:r>
    </w:p>
    <w:p>
      <w:pPr>
        <w:pStyle w:val="ListBullet"/>
      </w:pPr>
      <w:r>
        <w:t>ETD 시장: 2024년 약 2,050억 계약에 달하였으며, 주식 옵션이 거래량의 약 86%를 차지한다.</w:t>
      </w:r>
    </w:p>
    <w:p>
      <w:pPr>
        <w:pStyle w:val="ListBullet"/>
      </w:pPr>
      <w:r>
        <w:t>OTC 명목잔액: 2024년 말 700조 달러를 초과하였으며, 금리 파생상품(약 548조 달러)이 지배적이다.</w:t>
      </w:r>
    </w:p>
    <w:p>
      <w:pPr>
        <w:pStyle w:val="ListBullet"/>
      </w:pPr>
      <w:r>
        <w:t>2008년 금융위기 이후 규제 의무화(Dodd-Frank, EMIR)에 따라 표준화된 OTC 파생상품이 중앙청산(Central Clearing) 방향으로 이동하면서 상장 파생상품과 OTC의 경계가 점차 모호해지고 있다.</w:t>
      </w:r>
    </w:p>
    <w:p>
      <w:pPr>
        <w:pStyle w:val="ListBullet"/>
      </w:pPr>
      <w:r>
        <w:t>주요 중앙청산소(CCP, Central Counterparty)는 현재 ETD와 OTC 상품 모두를 청산한다 (예: CME Clearing, Eurex Clearing, ASX Clear Futures, LCH).</w:t>
      </w:r>
    </w:p>
    <w:p>
      <w:pPr>
        <w:pStyle w:val="Heading3"/>
      </w:pPr>
      <w:r>
        <w:t>3.2 매매 체결 방식 (Trading Mechanisms)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방식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**전자주문장 (CLOB, Central Limit Order Book)**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가격-시간 우선원칙에 의한 연속 체결; 글로벌 지배적 방식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Globex, Eurex T7, Optiq, SOLA, ASX 24, HKATS, J-GATE, Titan, Cboe Titanium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**호가요청 방식 (RFQ, Request for Quote)**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유동성이 낮은 상품에 대한 전자 협상; 시장조성자가 경쟁 호가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EnLight, ICE, HKEX, Cboe AIM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**대량거래·협의거래 (Block Trading / Negotiated Trades)**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 합의 가격으로 장외 대량 거래 후 거래소에 보고·청산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거래소 전반 (예: CME EFP/EFS/EOO, Eurex TES, OSE J-NET, SGX NLT, ASX Custom Market)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**기준가 거래 (TAM, Trade at Marker)**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공표된 일일 기준가격으로 체결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DME/GME (오만 기준가격)</w:t>
            </w:r>
          </w:p>
        </w:tc>
      </w:tr>
    </w:tbl>
    <w:p/>
    <w:p>
      <w:pPr>
        <w:pStyle w:val="Heading3"/>
      </w:pPr>
      <w:r>
        <w:t>3.3 시장 참여자 (Market Participants)</w:t>
      </w:r>
    </w:p>
    <w:p>
      <w:pPr>
        <w:pStyle w:val="ListBullet"/>
      </w:pPr>
      <w:r>
        <w:t>헤저 (Hedgers): 상품, 금리, 외환, 주식 리스크를 관리하는 기업 실수요자</w:t>
      </w:r>
    </w:p>
    <w:p>
      <w:pPr>
        <w:pStyle w:val="ListBullet"/>
      </w:pPr>
      <w:r>
        <w:t>투기자 (Speculators): 개인투자자(특히 인도 옵션시장에서 지배적), 헤지펀드, 자기매매업자 포함</w:t>
      </w:r>
    </w:p>
    <w:p>
      <w:pPr>
        <w:pStyle w:val="ListBullet"/>
      </w:pPr>
      <w:r>
        <w:t>차익거래자 (Arbitrageurs): 관련 계약 및 거래소 간 가격 차이를 이용하는 참여자</w:t>
      </w:r>
    </w:p>
    <w:p>
      <w:pPr>
        <w:pStyle w:val="ListBullet"/>
      </w:pPr>
      <w:r>
        <w:t>자기매매업자·고빈도거래(HFT) (Proprietary Trading Firms / HFT): 유동성을 공급하는 고속 알고리즘 시장조성자</w:t>
      </w:r>
    </w:p>
    <w:p>
      <w:pPr>
        <w:pStyle w:val="ListBullet"/>
      </w:pPr>
      <w:r>
        <w:t>시장조성자 (Market Makers): 거래소 지정 유동성 공급자로 호가 의무 및 인센티브를 수반함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증거금 및 리스크 체계 (Margin &amp; Risk Framework)</w:t>
      </w:r>
    </w:p>
    <w:p>
      <w:r>
        <w:t>글로벌 파생상품거래소는 다양한 증거금 산출 방법론을 채택하고 있으며, 시나리오 기반(SPAN)에서 VaR 기반 방식으로의 전환이 업계 전반에서 뚜렷하게 진행 중이다.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방법론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주요 거래소·CCP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**SPAN (원형)**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 기반 (16개 시나리오)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TAIFEX, CDCC (몬트리올), HKCC (PRiME), 다수 소규모 거래소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레거시; 주요 거래소에서 단계적 퇴출 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**SPAN 2**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HVaR 기반 (수천 개 시나리오)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에너지 상품 2023년 이전 완료; 확대 적용 진행 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**Prisma**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필터링 히스토리컬 시뮬레이션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2013년부터 실운용 중; 금융 선물에 VaR 적용한 최초의 CCP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Risk Model 2 (IRM 2)**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필터링 히스토리컬 시뮬레이션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ICE Clear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2024~2025년 출시, 레거시 IRM 대체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**Euronext Clearing**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Euronext Clearing (구 CC&amp;G)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2024년 9월 모든 Euronext 금융 파생상품으로 확대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**고정비율 (Fixed-percentage)**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계약가치 대비 비율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CFFEX, DCE, SHFE (중국)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중국 거래소는 고정비율 방식으로 운용하며, 규제 재량에 따라 조정 가능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**SEBI 피크 증거금 (SEBI Peak Margin)**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선취 100% 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NSE (인도)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2021년 도입; 2024년 11월부터 만기일 ELM 추가 부과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**KRX-SPAN**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 기반 (수정 SPAN)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 (한국거래소)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운용 중; VaR 기반 전환 검토 진행 중</w:t>
            </w:r>
          </w:p>
        </w:tc>
      </w:tr>
    </w:tbl>
    <w:p/>
    <w:p>
      <w:r>
        <w:t>주요 관측:</w:t>
      </w:r>
    </w:p>
    <w:p>
      <w:pPr>
        <w:pStyle w:val="ListBullet"/>
      </w:pPr>
      <w:r>
        <w:t>업계는 SPAN의 고정 16개 시나리오 방식을 대체하는, 수천 개의 역사적 시나리오를 활용한 VaR 기반 방법론(SPAN 2, Prisma, IRM 2)으로 수렴하는 추세이다.</w:t>
      </w:r>
    </w:p>
    <w:p>
      <w:pPr>
        <w:pStyle w:val="ListBullet"/>
      </w:pPr>
      <w:r>
        <w:t>중국 거래소(CFFEX, DCE, SHFE)는 변동성이 크거나 공휴일 기간 중 증거금을 조정하는 광범위한 규제 재량과 함께 고정비율 방식을 유지하고 있다.</w:t>
      </w:r>
    </w:p>
    <w:p>
      <w:pPr>
        <w:pStyle w:val="ListBullet"/>
      </w:pPr>
      <w:r>
        <w:t>CME, Eurex 및 기타 복합자산 CCP에서 상품 간 교차증거금(Cross-margining) 적용이 확대되고 있다.</w:t>
      </w:r>
    </w:p>
    <w:p>
      <w:pPr>
        <w:pStyle w:val="ListBullet"/>
      </w:pPr>
      <w:r>
        <w:t>반경기순응성 조치(스트레스 VaR 하한, 변동성 완충장치)가 주요 CCP의 표준으로 자리잡고 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규제 환경 (Regulatory Landscape)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관할권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주요 규제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규제기관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**미국**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Dodd-Frank Act (2010)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CFTC, SEC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표준화된 스왑에 대한 중앙청산 의무화; 포지션 한도; DCM·DCO 등록; 시스템적으로 중요한 CCP의 SIFMU 지정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**유럽연합**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EMIR (2012, 개정), MiFID II/MiFIR (2018)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ESMA, 각국 NCA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CCP 인가; 청산 의무; 포지션 한도 및 보고; 통합테이프·단일 거래량 상한을 도입한 MiFIR Refit (2024)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**영국**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UK EMIR, UK MiFID II (브렉시트 이후)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FCA, 잉글랜드은행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EU와 병행 체제; 독립적 CCP 감독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**중국**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 및 파생상품법 (2022), 국무원 규정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포괄적 법적 체계; 외국인 투자자 QFI 접근; 엄격한 포지션 한도 및 증거금 관리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**인도**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SEBI법, SEBI F&amp;O 규정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SEBI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6개 항목의 F&amp;O 개혁 패키지 (2024년 10월); 주간 만기 제한; 피크 증거금 규정; 개인투자자 93% 손실 연구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**일본**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금융상품거래법 (FIEA)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JFSA, SESC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JPX 하의 거래소 통합; BOJ 금리 정상화에 따른 TONA 선물 성장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**싱가포르**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증권선물법 (SFA)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국제 허브; CME와의 상호상쇄결제(Mutual Offset); NSE IX와 GIFT Connect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**홍콩**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증권선물조례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SFC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스왑커넥트 (2023); 스톡커넥트 확대; 이중 CCP 체계 (HKCC/SEOCH)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**호주**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회사법, ASIC 시장건전성 규칙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ASIC, RBA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OTC 청산 의무화; ASX 수직통합 모델; CHESS 교체 진행 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**대만**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선물거래법 (1997)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FSC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TAIFEX(대만선물거래소, Taiwan Futures Exchange)가 유일한 국내 파생상품거래소; QCCP 지정 (2020)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**캐나다**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파생상품법 (퀘벡주), 각 주 증권법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AMF, CIRO, 캐나다은행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MX/CDCC가 시스템적으로 중요한 금융시장인프라(FMI); T+1 결제 (2024년 5월); CDOR 폐지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**UAE (DIFC)**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DIFC 시장법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DFSA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DME/GME는 DIFC 자유구역 내 규제; CME Clearing이 CCP 서비스 제공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**대한민국**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자본시장법 (FSCMA, 2007), 파생상품시장업무규정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금융위원회 (FSC), 금융감독원 (FSS)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거래소·CCP 통합 모델; 야간거래 세션 2025년 6월 개시; 외국인 투자자 QFI 접근; 넥스트레이드(NXT) 대체거래소 2025년 3월 개장</w:t>
            </w:r>
          </w:p>
        </w:tc>
      </w:tr>
    </w:tbl>
    <w:p/>
    <w:p>
      <w:r>
        <w:t>공통 규제 동향:</w:t>
      </w:r>
    </w:p>
    <w:p>
      <w:pPr>
        <w:pStyle w:val="ListBullet"/>
      </w:pPr>
      <w:r>
        <w:t>전 세계적으로 OTC 파생상품에 대한 중앙청산 의무 강화</w:t>
      </w:r>
    </w:p>
    <w:p>
      <w:pPr>
        <w:pStyle w:val="ListBullet"/>
      </w:pPr>
      <w:r>
        <w:t>포지션 한도 체계 및 대규모 거래자 보고 강화</w:t>
      </w:r>
    </w:p>
    <w:p>
      <w:pPr>
        <w:pStyle w:val="ListBullet"/>
      </w:pPr>
      <w:r>
        <w:t>개인투자자 보호 강화 조치(특히 인도 SEBI 개혁)</w:t>
      </w:r>
    </w:p>
    <w:p>
      <w:pPr>
        <w:pStyle w:val="ListBullet"/>
      </w:pPr>
      <w:r>
        <w:t>EU 디지털운영회복법 (DORA, Digital Operational Resilience Act) (2025년 1월 발효)</w:t>
      </w:r>
    </w:p>
    <w:p>
      <w:pPr>
        <w:pStyle w:val="ListBullet"/>
      </w:pPr>
      <w:r>
        <w:t>PFMI(금융시장인프라 원칙, Principles for Financial Market Infrastructures) 준수가 글로벌 표준으로 정착</w:t>
      </w:r>
    </w:p>
    <w:p>
      <w:r>
        <w:t>상세 규제 분석은 다음을 참조:</w:t>
      </w:r>
    </w:p>
    <w:p>
      <w:pPr>
        <w:pStyle w:val="ListBullet"/>
      </w:pPr>
      <w:r>
        <w:t>[미국 파생상품 규제](regulations/us_derivatives_regulation.md)</w:t>
      </w:r>
    </w:p>
    <w:p>
      <w:pPr>
        <w:pStyle w:val="ListBullet"/>
      </w:pPr>
      <w:r>
        <w:t>[EU 파생상품 규제](regulations/eu_derivatives_regulation.md)</w:t>
      </w:r>
    </w:p>
    <w:p>
      <w:pPr>
        <w:pStyle w:val="ListBullet"/>
      </w:pPr>
      <w:r>
        <w:t>[아시아 파생상품 규제](regulations/asia_derivatives_regulation.md)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주요 트렌드 (Key Trends)</w:t>
      </w:r>
    </w:p>
    <w:p>
      <w:pPr>
        <w:pStyle w:val="Heading3"/>
      </w:pPr>
      <w:r>
        <w:t>6.1 옵션 거래 폭발적 증가 및 개인투자자 참여 (Explosion of Options Trading &amp; Retail Participation)</w:t>
      </w:r>
    </w:p>
    <w:p>
      <w:pPr>
        <w:pStyle w:val="ListBullet"/>
      </w:pPr>
      <w:r>
        <w:t>2024년 글로벌 옵션 거래량은 1,770억 계약에 달하였으며 (전년 대비 +63.8%), 현재 전체 ETD 거래량의 약 86%를 차지한다.</w:t>
      </w:r>
    </w:p>
    <w:p>
      <w:pPr>
        <w:pStyle w:val="ListBullet"/>
      </w:pPr>
      <w:r>
        <w:t>인도 NSE만 2024년 약 920억~1,080억 계약을 거래하였으며(대부분 주식 옵션), 대규모 개인투자자 참여가 주도하였다.</w:t>
      </w:r>
    </w:p>
    <w:p>
      <w:pPr>
        <w:pStyle w:val="ListBullet"/>
      </w:pPr>
      <w:r>
        <w:t>SEBI의 2024년 9월 연구에 따르면 FY22~FY24 기간 개인 F&amp;O 거래자의 93%가 손실을 기록한 것으로 나타났으며, 이는 포괄적인 규제 강화로 이어졌다.</w:t>
      </w:r>
    </w:p>
    <w:p>
      <w:pPr>
        <w:pStyle w:val="ListBullet"/>
      </w:pPr>
      <w:r>
        <w:t>SEBI 규제 강화(2024년 11월) 이후 NSE 거래량은 약 30~38% 감소하였으며, B3가 2025년 상반기에 NSE를 제치고 글로벌 1위로 올라섰다.</w:t>
      </w:r>
    </w:p>
    <w:p>
      <w:pPr>
        <w:pStyle w:val="Heading3"/>
      </w:pPr>
      <w:r>
        <w:t>6.2 제로 만기 옵션(0DTE) 혁명 (0DTE, Zero Days to Expiration Options Revolution)</w:t>
      </w:r>
    </w:p>
    <w:p>
      <w:pPr>
        <w:pStyle w:val="ListBullet"/>
      </w:pPr>
      <w:r>
        <w:t>0DTE 옵션은 2025년 일평균 1,400만 계약을 기록하며 전년 대비 41% 증가하였다.</w:t>
      </w:r>
    </w:p>
    <w:p>
      <w:pPr>
        <w:pStyle w:val="ListBullet"/>
      </w:pPr>
      <w:r>
        <w:t>0DTE는 2025년 미국 상장 옵션 전체 거래량의 24.1%를 차지하였다 (2024년 21.5%, 2022년 대비 약 두 배).</w:t>
      </w:r>
    </w:p>
    <w:p>
      <w:pPr>
        <w:pStyle w:val="ListBullet"/>
      </w:pPr>
      <w:r>
        <w:t>SPX 0DTE 계약은 2024년 4분기에 다른 모든 만기물을 합산한 거래량을 초과하며 S&amp;P 500 옵션 중 가장 많이 거래된 상품이 되었다.</w:t>
      </w:r>
    </w:p>
    <w:p>
      <w:pPr>
        <w:pStyle w:val="ListBullet"/>
      </w:pPr>
      <w:r>
        <w:t>Cboe의 일별 SPX 만기 도입(2022년)이 촉매제가 되었으며, 2025년까지 0DTE는 SPX 옵션 거래량의 약 59%에 달하였다.</w:t>
      </w:r>
    </w:p>
    <w:p>
      <w:pPr>
        <w:pStyle w:val="ListBullet"/>
      </w:pPr>
      <w:r>
        <w:t>개인투자자(리테일 브로커 주문 흐름의 50%)와 기관 참여자 모두 0DTE 전략을 채택하고 있다.</w:t>
      </w:r>
    </w:p>
    <w:p>
      <w:pPr>
        <w:pStyle w:val="Heading3"/>
      </w:pPr>
      <w:r>
        <w:t>6.3 소액 투자자 접근을 위한 마이크로·나노 계약 (Micro/Nano Contracts for Retail Access)</w:t>
      </w:r>
    </w:p>
    <w:p>
      <w:pPr>
        <w:pStyle w:val="ListBullet"/>
      </w:pPr>
      <w:r>
        <w:t>CME 마이크로 E-mini 시리즈 (S&amp;P 500, 나스닥, 금, 원유)는 계속 성장 중이며, 개인투자자의 진입 요건을 낮추고 있다.</w:t>
      </w:r>
    </w:p>
    <w:p>
      <w:pPr>
        <w:pStyle w:val="ListBullet"/>
      </w:pPr>
      <w:r>
        <w:t>TAIFEX(대만선물거래소)는 마이크로 TAIEX 선물을 출시하였으며, ASX는 미니 SPI 200을 제공한다.</w:t>
      </w:r>
    </w:p>
    <w:p>
      <w:pPr>
        <w:pStyle w:val="ListBullet"/>
      </w:pPr>
      <w:r>
        <w:t>DME/GME는 마이크로 오만 원유 선물(표준 1,000배럴 대비 100배럴)을 출시하였다.</w:t>
      </w:r>
    </w:p>
    <w:p>
      <w:pPr>
        <w:pStyle w:val="ListBullet"/>
      </w:pPr>
      <w:r>
        <w:t>Euronext는 미니 개별주식 옵션(2025년 5월)과 미니 ETF 옵션(2026년 3월)을 도입하였다.</w:t>
      </w:r>
    </w:p>
    <w:p>
      <w:pPr>
        <w:pStyle w:val="Heading3"/>
      </w:pPr>
      <w:r>
        <w:t>6.4 ESG 및 환경 파생상품 (ESG &amp; Environmental Derivatives)</w:t>
      </w:r>
    </w:p>
    <w:p>
      <w:pPr>
        <w:pStyle w:val="ListBullet"/>
      </w:pPr>
      <w:r>
        <w:t>ICE 환경 시장은 2025년 2,090만 계약의 역대 최고치를 기록하였다 (전년 대비 +4%).</w:t>
      </w:r>
    </w:p>
    <w:p>
      <w:pPr>
        <w:pStyle w:val="ListBullet"/>
      </w:pPr>
      <w:r>
        <w:t>EU 배출권거래제(ETS) 배출권은 가장 유동성 높은 환경 파생상품으로, ICE Futures Europe이 주요 거래소이다.</w:t>
      </w:r>
    </w:p>
    <w:p>
      <w:pPr>
        <w:pStyle w:val="ListBullet"/>
      </w:pPr>
      <w:r>
        <w:t>ASX는 ACCU(호주탄소크레딧 선물), NZU 선물, LGC 선물을 상장하고 있다.</w:t>
      </w:r>
    </w:p>
    <w:p>
      <w:pPr>
        <w:pStyle w:val="ListBullet"/>
      </w:pPr>
      <w:r>
        <w:t>Euronext는 CAC 40 ESG 지수 선물을 출시하였다.</w:t>
      </w:r>
    </w:p>
    <w:p>
      <w:pPr>
        <w:pStyle w:val="ListBullet"/>
      </w:pPr>
      <w:r>
        <w:t>글로벌 탄소 시장은 2025년 1조 달러를 초과하였다.</w:t>
      </w:r>
    </w:p>
    <w:p>
      <w:pPr>
        <w:pStyle w:val="ListBullet"/>
      </w:pPr>
      <w:r>
        <w:t>재생에너지 탄소크레딧 시장은 2024년 434억 달러를 초과하였다.</w:t>
      </w:r>
    </w:p>
    <w:p>
      <w:pPr>
        <w:pStyle w:val="Heading3"/>
      </w:pPr>
      <w:r>
        <w:t>6.5 암호화폐 파생상품 (Cryptocurrency Derivatives)</w:t>
      </w:r>
    </w:p>
    <w:p>
      <w:pPr>
        <w:pStyle w:val="ListBullet"/>
      </w:pPr>
      <w:r>
        <w:t>암호화폐 파생상품 시장은 2025년 월간 89.4조 달러 규모로 확대되었다.</w:t>
      </w:r>
    </w:p>
    <w:p>
      <w:pPr>
        <w:pStyle w:val="ListBullet"/>
      </w:pPr>
      <w:r>
        <w:t>CME 비트코인 및 이더 선물·옵션은 규제 거래소로서 지속 성장하고 있다.</w:t>
      </w:r>
    </w:p>
    <w:p>
      <w:pPr>
        <w:pStyle w:val="ListBullet"/>
      </w:pPr>
      <w:r>
        <w:t>이더 옵션의 일평균 거래량은 2024년 대비 2025년에 65% 증가하였다.</w:t>
      </w:r>
    </w:p>
    <w:p>
      <w:pPr>
        <w:pStyle w:val="ListBullet"/>
      </w:pPr>
      <w:r>
        <w:t>비트코인과 이더리움이 합산 암호화폐 파생상품 거래량의 약 68%를 차지한다.</w:t>
      </w:r>
    </w:p>
    <w:p>
      <w:pPr>
        <w:pStyle w:val="Heading3"/>
      </w:pPr>
      <w:r>
        <w:t>6.6 거래 시간 연장 (Extended Trading Hours)</w:t>
      </w:r>
    </w:p>
    <w:p>
      <w:pPr>
        <w:pStyle w:val="ListBullet"/>
      </w:pPr>
      <w:r>
        <w:t>TAIFEX는 19시간 커버리지를 제공한다 (주간 세션 + T+1 야간 세션, 2017년부터).</w:t>
      </w:r>
    </w:p>
    <w:p>
      <w:pPr>
        <w:pStyle w:val="ListBullet"/>
      </w:pPr>
      <w:r>
        <w:t>ASX 24는 금리 및 주가지수 선물에 대해 준 24시간 거래를 제공한다.</w:t>
      </w:r>
    </w:p>
    <w:p>
      <w:pPr>
        <w:pStyle w:val="ListBullet"/>
      </w:pPr>
      <w:r>
        <w:t>CME Globex는 전 자산군에 걸쳐 하루 약 23시간 거래를 제공한다.</w:t>
      </w:r>
    </w:p>
    <w:p>
      <w:pPr>
        <w:pStyle w:val="ListBullet"/>
      </w:pPr>
      <w:r>
        <w:t>SHFE·DCE·CFFEX의 야간 세션은 런던·뉴욕 시장과의 시간대 중첩을 확대한다.</w:t>
      </w:r>
    </w:p>
    <w:p>
      <w:pPr>
        <w:pStyle w:val="ListBullet"/>
      </w:pPr>
      <w:r>
        <w:t>Euronext는 주가지수 선물 거래 시간을 CET 22시까지 연장하였다(미국 장 커버).</w:t>
      </w:r>
    </w:p>
    <w:p>
      <w:pPr>
        <w:pStyle w:val="ListBullet"/>
      </w:pPr>
      <w:r>
        <w:t>KRX(한국거래소)는 2025년 6월 9일 독립 야간 세션(18:00~06:00 KST)을 개시하여 파생상품 거래 시간을 하루 약 19시간으로 확대하였다.</w:t>
      </w:r>
    </w:p>
    <w:p>
      <w:pPr>
        <w:pStyle w:val="Heading3"/>
      </w:pPr>
      <w:r>
        <w:t>6.7 기술 현대화 (Technology Modernization)</w:t>
      </w:r>
    </w:p>
    <w:p>
      <w:pPr>
        <w:pStyle w:val="ListBullet"/>
      </w:pPr>
      <w:r>
        <w:t>증거금 방법론 전환: 주요 CCP 전반에서 SPAN에서 VaR 기반 방식(SPAN 2, Prisma, IRM 2)으로 이행 중이다.</w:t>
      </w:r>
    </w:p>
    <w:p>
      <w:pPr>
        <w:pStyle w:val="ListBullet"/>
      </w:pPr>
      <w:r>
        <w:t>Euronext는 모든 파생상품(IDEM 포함)에 대한 Optiq 플랫폼 이전을 2024년 4월 완료하였다.</w:t>
      </w:r>
    </w:p>
    <w:p>
      <w:pPr>
        <w:pStyle w:val="ListBullet"/>
      </w:pPr>
      <w:r>
        <w:t>Euronext Clearing의 LCH SA로부터의 전환이 모든 금융 파생상품에 대해 2024년 9월 완료되었다.</w:t>
      </w:r>
    </w:p>
    <w:p>
      <w:pPr>
        <w:pStyle w:val="ListBullet"/>
      </w:pPr>
      <w:r>
        <w:t>ASX 24 플랫폼 현대화 사업이 LSEG와 함께 발표되었다(2026년 3월, 목표 운영 개시 2028년 상반기).</w:t>
      </w:r>
    </w:p>
    <w:p>
      <w:pPr>
        <w:pStyle w:val="ListBullet"/>
      </w:pPr>
      <w:r>
        <w:t>NSE는 나노초 지연 업그레이드를 계획하고 있다(초당 1억 건 처리, 2026년 4월부터).</w:t>
      </w:r>
    </w:p>
    <w:p>
      <w:pPr>
        <w:pStyle w:val="ListBullet"/>
      </w:pPr>
      <w:r>
        <w:t>OSE J-GATE 4.0은 Nasdaq Eqlipse 플랫폼 기반으로 계획되어 있다(약 2028년).</w:t>
      </w:r>
    </w:p>
    <w:p>
      <w:pPr>
        <w:pStyle w:val="Heading3"/>
      </w:pPr>
      <w:r>
        <w:t>6.8 중국의 국제화 (China's Internationalization)</w:t>
      </w:r>
    </w:p>
    <w:p>
      <w:pPr>
        <w:pStyle w:val="ListBullet"/>
      </w:pPr>
      <w:r>
        <w:t>INE(상해국제에너지거래소, Shanghai International Energy Exchange) 원유 선물(2018년 상장)이 위안화(RMB) 기반 에너지 벤치마크를 정립하였다.</w:t>
      </w:r>
    </w:p>
    <w:p>
      <w:pPr>
        <w:pStyle w:val="ListBullet"/>
      </w:pPr>
      <w:r>
        <w:t>DCE 철광석 및 팜유는 해외 거래자에게 개방되었다.</w:t>
      </w:r>
    </w:p>
    <w:p>
      <w:pPr>
        <w:pStyle w:val="ListBullet"/>
      </w:pPr>
      <w:r>
        <w:t>SHFE 보세 창고 구리 및 저유황 연료유는 외국인 참여자가 접근 가능하다.</w:t>
      </w:r>
    </w:p>
    <w:p>
      <w:pPr>
        <w:pStyle w:val="ListBullet"/>
      </w:pPr>
      <w:r>
        <w:t>QFI(적격외국인투자자, Qualified Foreign Investor) 제도가 CFFEX·DCE·SHFE 상품 전반으로 접근을 확대하였다.</w:t>
      </w:r>
    </w:p>
    <w:p>
      <w:pPr>
        <w:pStyle w:val="ListBullet"/>
      </w:pPr>
      <w:r>
        <w:t>선물 및 파생상품법(2022)이 포괄적인 법적 기반을 마련하였다.</w:t>
      </w:r>
    </w:p>
    <w:p>
      <w:pPr>
        <w:pStyle w:val="Heading3"/>
      </w:pPr>
      <w:r>
        <w:t>6.9 채권 파생상품 성장 (Fixed Income Derivatives Growth)</w:t>
      </w:r>
    </w:p>
    <w:p>
      <w:pPr>
        <w:pStyle w:val="ListBullet"/>
      </w:pPr>
      <w:r>
        <w:t>BOJ(일본은행)의 금리 정상화가 OSE의 TONA 선물 성장을 이끌고 있다.</w:t>
      </w:r>
    </w:p>
    <w:p>
      <w:pPr>
        <w:pStyle w:val="ListBullet"/>
      </w:pPr>
      <w:r>
        <w:t>Euronext는 2025년 9월 미니 현금결제 국채 선물(BTP, OAT, Bund, Bono)을 출시하였다.</w:t>
      </w:r>
    </w:p>
    <w:p>
      <w:pPr>
        <w:pStyle w:val="ListBullet"/>
      </w:pPr>
      <w:r>
        <w:t>몬트리올거래소(Montreal Exchange) CORRA 선물(CRA)은 BAX에서 CRA로의 성공적인 전환 이후 2025년 일평균 거래량 약 17만 계약을 달성하였다.</w:t>
      </w:r>
    </w:p>
    <w:p>
      <w:pPr>
        <w:pStyle w:val="ListBullet"/>
      </w:pPr>
      <w:r>
        <w:t>ASX 금리 선물은 2025년 4분기에 역대 최고 거래량을 기록하였다(전년 대비 +23%).</w:t>
      </w:r>
    </w:p>
    <w:p>
      <w:pPr>
        <w:pStyle w:val="ListBullet"/>
      </w:pPr>
      <w:r>
        <w:t>CFFEX 30년 국채선물(CGB Futures)은 2023년 4월 상장되어 중국의 수익률 곡선 커버리지가 완성되었다.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조사 로드맵 (Research Roadmap)</w:t>
      </w:r>
    </w:p>
    <w:p>
      <w:pPr>
        <w:pStyle w:val="Heading3"/>
      </w:pPr>
      <w:r>
        <w:t>1단계 — 심층 분석 (Tier 1 — Deep Dive)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CME Group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[cme_group.md](exchanges/cme_group.md)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[eurex.md](exchanges/eurex.md)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HKEX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[hkex_derivatives.md](exchanges/hkex_derivatives.md)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SGX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[sgx_derivatives.md](exchanges/sgx_derivatives.md)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[krx_derivatives.md](exchanges/krx_derivatives.md)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(2026-04-13)</w:t>
            </w:r>
          </w:p>
        </w:tc>
      </w:tr>
    </w:tbl>
    <w:p/>
    <w:p>
      <w:pPr>
        <w:pStyle w:val="Heading3"/>
      </w:pPr>
      <w:r>
        <w:t>2단계 — 표준 분석 (Tier 2 — Standard)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Cboe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[cboe.md](exchanges/cboe.md)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[ice_futures.md](exchanges/ice_futures.md)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오사카거래소 (Osaka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[osaka_exchange.md](exchanges/osaka_exchange.md)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[euronext_derivatives.md](exchanges/euronext_derivatives.md)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[asx_derivatives.md](exchanges/asx_derivatives.md)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</w:tbl>
    <w:p/>
    <w:p>
      <w:pPr>
        <w:pStyle w:val="Heading3"/>
      </w:pPr>
      <w:r>
        <w:t>3단계 — 개요 분석 (Tier 3 —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몬트리올거래소 (Montreal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[montreal_exchange.md](exchanges/montreal_exchange.md)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CFFEX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[cffex.md](exchanges/cffex.md)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[dce.md](exchanges/dce.md)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SHFE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[shfe.md](exchanges/shfe.md)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NSE F&amp;O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[nse_fo.md](exchanges/nse_fo.md)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TAIFEX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[taifex.md](exchanges/taifex.md)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[dme.md](exchanges/dme.md)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 (2026-04-07)</w:t>
            </w:r>
          </w:p>
        </w:tc>
      </w:tr>
    </w:tbl>
    <w:p/>
    <w:p>
      <w:pPr>
        <w:pStyle w:val="Heading3"/>
      </w:pPr>
      <w:r>
        <w:t>지원 조사 자료 (Supporting Research)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문서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Globex 시스템 심층 분석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[systems/globex.md](systems/globex.md)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Genium INET 시스템 심층 분석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[systems/genium_inet.md](systems/genium_inet.md)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파생상품 시스템 심층 분석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[systems/t7_derivatives.md](systems/t7_derivatives.md)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미국 파생상품 규제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[regulations/us_derivatives_regulation.md](regulations/us_derivatives_regulation.md)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 파생상품 규제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[regulations/eu_derivatives_regulation.md](regulations/eu_derivatives_regulation.md)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아시아 파생상품 규제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[regulations/asia_derivatives_regulation.md](regulations/asia_derivatives_regulation.md)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 완료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[FIA — 2024 Annual ETD Volume Review](https://www.fia.org/fia/articles/2024-annual-etd-volume-review)</w:t>
      </w:r>
    </w:p>
    <w:p>
      <w:pPr>
        <w:pStyle w:val="ListBullet"/>
      </w:pPr>
      <w:r>
        <w:t>[FIA — ETD Tracker](https://www.fia.org/fia/etd-tracker)</w:t>
      </w:r>
    </w:p>
    <w:p>
      <w:pPr>
        <w:pStyle w:val="ListBullet"/>
      </w:pPr>
      <w:r>
        <w:t>[BIS — OTC Derivatives Statistics](https://www.bis.org/statistics/derstats.htm)</w:t>
      </w:r>
    </w:p>
    <w:p>
      <w:pPr>
        <w:pStyle w:val="ListBullet"/>
      </w:pPr>
      <w:r>
        <w:t>[BIS — OTC Derivatives Statistics at end-June 2024](https://www.bis.org/publ/otc_hy2411.htm)</w:t>
      </w:r>
    </w:p>
    <w:p>
      <w:pPr>
        <w:pStyle w:val="ListBullet"/>
      </w:pPr>
      <w:r>
        <w:t>[ISDA — Key Trends in OTC Derivatives Markets H2 2024](https://www.isda.org/2025/07/03/key-trends-in-the-size-and-composition-of-otc-derivatives-markets-in-the-second-half-of-2024)</w:t>
      </w:r>
    </w:p>
    <w:p>
      <w:pPr>
        <w:pStyle w:val="ListBullet"/>
      </w:pPr>
      <w:r>
        <w:t>[NSE — World's Largest Derivative Exchange](https://www.nseindia.com/nse-is-now-worlds-largest-derivatives-exchange)</w:t>
      </w:r>
    </w:p>
    <w:p>
      <w:pPr>
        <w:pStyle w:val="ListBullet"/>
      </w:pPr>
      <w:r>
        <w:t>[CME Group — Record ADV 2024](https://www.marketsmedia.com/cme-reports-record-average-daily-volume-for-2024/)</w:t>
      </w:r>
    </w:p>
    <w:p>
      <w:pPr>
        <w:pStyle w:val="ListBullet"/>
      </w:pPr>
      <w:r>
        <w:t>[Business Standard — NSE Loses Top Spot to B3](https://www.business-standard.com/markets/news/nse-loses-top-derivatives-exchange-spot-to-brazil-b3-eyes-vix-futures-125073001569_1.html)</w:t>
      </w:r>
    </w:p>
    <w:p>
      <w:pPr>
        <w:pStyle w:val="ListBullet"/>
      </w:pPr>
      <w:r>
        <w:t>[Cboe — State of the Options Industry Q3 2025](https://www.cboe.com/insights/posts/the-state-of-the-options-industry-quarter-three-2025/)</w:t>
      </w:r>
    </w:p>
    <w:p>
      <w:pPr>
        <w:pStyle w:val="ListBullet"/>
      </w:pPr>
      <w:r>
        <w:t>[SEBI — 93% Retail F&amp;O Loss Study, September 2024](https://www.sebi.gov.in/media-and-notifications/press-releases/sep-2024/updated-sebi-study-reveals-93-of-individual-traders-incurred-losses-in-equity-fando-between-fy22-and-fy24-aggregate-losses-exceed-1-8-lakh-crores-over-three-years_86906.html)</w:t>
      </w:r>
    </w:p>
    <w:p>
      <w:pPr>
        <w:pStyle w:val="ListBullet"/>
      </w:pPr>
      <w:r>
        <w:t>[OpenGamma — SPAN vs VaR](https://opengamma.com/span-vs-var/)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