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Dubai Mercantile Exchange (DME, 두바이상업거래소)</w:t>
      </w:r>
    </w:p>
    <w:p>
      <w:r>
        <w:rPr>
          <w:i/>
          <w:sz w:val="18"/>
        </w:rPr>
        <w:t>**최종 수정일:** 2026-04-07</w:t>
      </w:r>
    </w:p>
    <w:p>
      <w:r>
        <w:rPr>
          <w:i/>
          <w:sz w:val="18"/>
        </w:rPr>
        <w:t>**조사 등급:** Tier 3</w:t>
      </w:r>
    </w:p>
    <w:p>
      <w:r>
        <w:rPr>
          <w:i/>
          <w:sz w:val="18"/>
        </w:rPr>
        <w:t>**분야:** 파생상품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개요 및 프로필 (Overview &amp; Profile)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정식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Gulf Mercantile Exchange Limited (구 Dubai Mercantile Exchange)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약칭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GME (구 DME)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웹사이트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https://www.gulfmerc.com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설립연도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2007년 (2007년 6월 1일 출범; 최초 합작투자 계약은 2005년 체결)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소재지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아랍에미리트 / 두바이 (Dubai International Financial Centre — DIFC)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지배구조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합작투자 — Saudi Tadawul Group (32.6%), CME Group (STG와 공동 최대주주), Oman Investment Authority, Dubai Holding, 기관투자자 (Vitol, Shell, JPMorgan, Morgan Stanley, Goldman Sachs)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모회사 / 그룹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DME Holdings Limited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감독기관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DIFC 내 Dubai Financial Services Authority (DFSA)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상장 종목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Oman Crude Oil Futures (OQD — 대표 상품), Oman Crude Oil Options (OQE), Micro Oman Crude Oil Futures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청산기관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CME Clearing (CME Group)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거래 플랫폼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CME Globex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리브랜딩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2024년 9월 2일자로 Dubai Mercantile Exchange에서 Gulf Mercantile Exchange (GME)로 명칭 변경</w:t>
            </w:r>
          </w:p>
        </w:tc>
      </w:tr>
    </w:tbl>
    <w:p/>
    <w:p>
      <w:r>
        <w:t>Source: [Wikipedia — Dubai Mercantile Exchange; GME — About GME; CME Group — GME Strategic Partnership; LiquidityFinder — DME to Rebrand as Gulf Mercantile Exchange; CME Group Press Release — Saudi Tadawul Group Acquires Strategic Stake]</w:t>
      </w:r>
    </w:p>
    <w:p>
      <w:pPr>
        <w:pStyle w:val="Heading3"/>
      </w:pPr>
      <w:r>
        <w:t>주요 연혁 (Key Historical Milestones)</w:t>
      </w:r>
    </w:p>
    <w:p>
      <w:pPr>
        <w:pStyle w:val="ListBullet"/>
      </w:pPr>
      <w:r>
        <w:t>2005년: Tatweer (Dubai Holding 자회사)와 NYMEX가 중동 상품거래소 설립을 위한 합작투자 계약 체결</w:t>
      </w:r>
    </w:p>
    <w:p>
      <w:pPr>
        <w:pStyle w:val="ListBullet"/>
      </w:pPr>
      <w:r>
        <w:t>2007년 (6월 1일): Dubai Mercantile Exchange가 Oman Crude Oil Futures Contract (OQD)을 대표 상품으로 출범, 수에즈 이동 원유 시장의 투명한 벤치마크 구축 목표</w:t>
      </w:r>
    </w:p>
    <w:p>
      <w:pPr>
        <w:pStyle w:val="ListBullet"/>
      </w:pPr>
      <w:r>
        <w:t>2007년: DME Oman이 출범 당시 아시아행 중동 원유의 약 8%를 차지</w:t>
      </w:r>
    </w:p>
    <w:p>
      <w:pPr>
        <w:pStyle w:val="ListBullet"/>
      </w:pPr>
      <w:r>
        <w:t>2008년: Concord Energy, Goldman Sachs, JPMorgan Chase, Morgan Stanley, Shell, Vitol 등 글로벌 금융기관이 DME 주주로 참여; NYMEX가 CME Group에 인수되어 DME가 CME Group 체제로 편입</w:t>
      </w:r>
    </w:p>
    <w:p>
      <w:pPr>
        <w:pStyle w:val="ListBullet"/>
      </w:pPr>
      <w:r>
        <w:t>2009년 (2월): DME 선물 계약이 NYMEX ACCESS에서 CME Globex 전자거래 플랫폼으로 이관, 세계 3대 원유 벤치마크(WTI, Brent, DME Oman)를 동일 플랫폼에서 거래 가능</w:t>
      </w:r>
    </w:p>
    <w:p>
      <w:pPr>
        <w:pStyle w:val="ListBullet"/>
      </w:pPr>
      <w:r>
        <w:t>2012년 (2월): CME Group의 NYMEX 부문이 지분을 약 50%로 확대; Oman Investment Fund 약 29%; Dubai Holding 약 9%; 기관투자자 약 12%</w:t>
      </w:r>
    </w:p>
    <w:p>
      <w:pPr>
        <w:pStyle w:val="ListBullet"/>
      </w:pPr>
      <w:r>
        <w:t>2016년: 오만 석유가스부가 DME Oman을 오만 원유 수출 공식판매가격(OSP) 벤치마크로 채택</w:t>
      </w:r>
    </w:p>
    <w:p>
      <w:pPr>
        <w:pStyle w:val="ListBullet"/>
      </w:pPr>
      <w:r>
        <w:t>2018년: 두바이 최고에너지위원회가 DME Oman을 두바이 원유 OSP 가격 벤치마크로 채택</w:t>
      </w:r>
    </w:p>
    <w:p>
      <w:pPr>
        <w:pStyle w:val="ListBullet"/>
      </w:pPr>
      <w:r>
        <w:t>2024년 (1월): Saudi Tadawul Group (STG)이 DME Holdings의 32.6% 전략적 지분을 인수, CME Group과 공동 최대주주로 등극</w:t>
      </w:r>
    </w:p>
    <w:p>
      <w:pPr>
        <w:pStyle w:val="ListBullet"/>
      </w:pPr>
      <w:r>
        <w:t>2024년 (9월 2일): Dubai Mercantile Exchange에서 Gulf Mercantile Exchange (GME)로 공식 리브랜딩</w:t>
      </w:r>
    </w:p>
    <w:p>
      <w:pPr>
        <w:pStyle w:val="ListBullet"/>
      </w:pPr>
      <w:r>
        <w:t>2024년: DME Oman이 아시아행 중동 원유의 36%를 차지 (2007년 8%에서 상승)</w:t>
      </w:r>
    </w:p>
    <w:p>
      <w:r>
        <w:t>Source: [Wikipedia — Dubai Mercantile Exchange; Wikipedia — DME Oman Crude Oil Futures Contract; MarketsWiki — Dubai Mercantile Exchange; Logistics Middle East — Gulf Mercantile Exchange launched; PR Newswire — Saudi Tadawul Group acquires strategic stake]</w:t>
      </w:r>
    </w:p>
    <w:p>
      <w:pPr>
        <w:pStyle w:val="Heading3"/>
      </w:pPr>
      <w:r>
        <w:t>전략적 중요성 (Strategic Importance)</w:t>
      </w:r>
    </w:p>
    <w:p>
      <w:r>
        <w:t>DME Oman은 ICE Brent (유럽 벤치마크) 및 NYMEX WTI (북미 벤치마크)와 함께 세계 3대 원유 벤치마크이다. 주요 전략적 중요성은 다음과 같다:</w:t>
      </w:r>
    </w:p>
    <w:p>
      <w:pPr>
        <w:pStyle w:val="ListBullet"/>
      </w:pPr>
      <w:r>
        <w:t>아시아 사워 원유 가격결정: DME Oman은 오만 및 두바이 원유 공식판매가격(OSP)의 명시적이고 유일한 벤치마크로, 아시아 수출 중동 원유의 역사적으로 확립된 가격 기준 역할을 한다</w:t>
      </w:r>
    </w:p>
    <w:p>
      <w:pPr>
        <w:pStyle w:val="ListBullet"/>
      </w:pPr>
      <w:r>
        <w:t>실물 인수도: 세계 최대 실물 인수도 원유 계약으로, 가격 발견에 실물 기반을 제공한다</w:t>
      </w:r>
    </w:p>
    <w:p>
      <w:pPr>
        <w:pStyle w:val="ListBullet"/>
      </w:pPr>
      <w:r>
        <w:t>지리적 이점: 수출항 Mina al Fahal (Petroleum Development Oman 운영)은 호르무즈 해협을 지나 오만만에 위치하여 지정학적 병목 리스크를 회피한다</w:t>
      </w:r>
    </w:p>
    <w:p>
      <w:pPr>
        <w:pStyle w:val="ListBullet"/>
      </w:pPr>
      <w:r>
        <w:t>시장 점유율 성장: 2007년 아시아행 중동 원유의 8%에서 2024년 36%로 확대</w:t>
      </w:r>
    </w:p>
    <w:p>
      <w:r>
        <w:t>Source: [GME — About GME; Oxford Energy — Prospects of the DME Oman Crude Oil Futures Contract; Ursa Space — DME Oman crude in the spotlight]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시장 구조 (Market Structure)</w:t>
      </w:r>
    </w:p>
    <w:p>
      <w:pPr>
        <w:pStyle w:val="Heading3"/>
      </w:pPr>
      <w:r>
        <w:t>2.1 시장 구분 / 자산 유형 (Market Segments / Asset Classes)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자산 유형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주요 계약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**에너지 — 원유**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오만 사워 원유 선물 및 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Oman Crude Oil Futures (OQD), Oman Crude Oil Options (OQE), Micro Oman Crude Oil Futures</w:t>
            </w:r>
          </w:p>
        </w:tc>
      </w:tr>
    </w:tbl>
    <w:p/>
    <w:p>
      <w:r>
        <w:t>DME/GME는 오만 원유 파생상품에 전문화된 단일 상품 거래소이다. 이러한 좁은 집중은 광범위한 다자산 시장이 아닌 가격결정 벤치마크로서의 전략적 역할을 반영한다.</w:t>
      </w:r>
    </w:p>
    <w:p>
      <w:pPr>
        <w:pStyle w:val="Heading3"/>
      </w:pPr>
      <w:r>
        <w:t>2.2 거래 세션 / 거래 시간 (Trading Sessions / Hours)</w:t>
      </w:r>
    </w:p>
    <w:p>
      <w:r>
        <w:t>참고: 두바이 표준시(GST)는 연중 UTC+4이다 (일광절약시간 없음). DME/GME 상품은 미국 동부시간으로 운영되는 CME Globex에서 거래된다.</w:t>
      </w:r>
    </w:p>
    <w:p>
      <w:r>
        <w:t>Oman Crude Oil Futures (OQD) on CME Globex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세션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미국 동부시간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두바이 시간 (GST)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UTC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**전자거래 개시**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18:00 (일요일)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02:00 +1 (월요일)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23:00 (일요일)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일요일 저녁 ET에 주간 개시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**연속 거래**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18:00 – 17:15 +1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02:00 +1 – 01:15 +2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23:00 – 22:15 +1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거의 연속 거래 (일일 약 23.25시간)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**일일 점검 시간**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17:15 – 18:00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01:15 – 02:00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22:15 – 23:00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45분 일일 점검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**주간 마감**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17:15 (금요일)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01:15 (토요일)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22:15 (금요일)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금요일 오후 ET에 주간 마감</w:t>
            </w:r>
          </w:p>
        </w:tc>
      </w:tr>
    </w:tbl>
    <w:p/>
    <w:p>
      <w:r>
        <w:t>정산 시간대:</w:t>
      </w:r>
    </w:p>
    <w:p>
      <w:pPr>
        <w:pStyle w:val="ListBullet"/>
      </w:pPr>
      <w:r>
        <w:t>일일 정산가격은 EST 14:30에 선언되며, EST 14:25~14:30 사이의 GME Oman 시장 관련 값을 기준으로 한다</w:t>
      </w:r>
    </w:p>
    <w:p>
      <w:r>
        <w:t>Oman Marker Price:</w:t>
      </w:r>
    </w:p>
    <w:p>
      <w:pPr>
        <w:pStyle w:val="ListBullet"/>
      </w:pPr>
      <w:r>
        <w:t>Marker Window 동안 근월물 OQD 계약에 대한 일일 마커 가격이 발표된다: 싱가포르 시간 16:25 – 16:30 (GST 08:25 – 08:30 / UTC 04:25 – 04:30)</w:t>
      </w:r>
    </w:p>
    <w:p>
      <w:r>
        <w:t>Source: [GME — Trading Hours and Holiday Calendar; GME — Settlements; CME Group — Trading Hours; GME — Oman Crude Oil Futures TAM/TAM.pdf)]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매매 메커니즘 (Trading Mechanism)</w:t>
      </w:r>
    </w:p>
    <w:p>
      <w:pPr>
        <w:pStyle w:val="Heading3"/>
      </w:pPr>
      <w:r>
        <w:t>3.1 거래 플랫폼 — CME Globex</w:t>
      </w:r>
    </w:p>
    <w:p>
      <w:r>
        <w:t>DME/GME 상품은 NYMEX WTI 및 기타 CME Group 에너지 상품과 동일한 플랫폼인 CME Globex 전자 매매체결엔진에 상장되어 거래된다. 이는 다음과 같은 이점을 제공한다:</w:t>
      </w:r>
    </w:p>
    <w:p>
      <w:pPr>
        <w:pStyle w:val="ListBullet"/>
      </w:pPr>
      <w:r>
        <w:t>단일 플랫폼 접근: 거래자가 동일한 전자 플랫폼에서 세계 3대 원유 벤치마크(WTI, Brent, DME Oman)에 모두 접근 가능</w:t>
      </w:r>
    </w:p>
    <w:p>
      <w:pPr>
        <w:pStyle w:val="ListBullet"/>
      </w:pPr>
      <w:r>
        <w:t>체결 알고리즘: 가격-시간 우선 (FIFO) — 표준 CME Globex 체결 로직</w:t>
      </w:r>
    </w:p>
    <w:p>
      <w:pPr>
        <w:pStyle w:val="ListBullet"/>
      </w:pPr>
      <w:r>
        <w:t>주문 유형: 지정가, 시장가, 스톱, 스톱-지정가, Market-if-Touched, 아이스버그 주문 등 CME Globex의 전체 주문 유형 이용 가능</w:t>
      </w:r>
    </w:p>
    <w:p>
      <w:pPr>
        <w:pStyle w:val="ListBullet"/>
      </w:pPr>
      <w:r>
        <w:t>스프레드 거래: OQD와 기타 CME Group 에너지 계약 간 상품간 스프레드 이용 가능 (예: WTI-Oman 스프레드)</w:t>
      </w:r>
    </w:p>
    <w:p>
      <w:pPr>
        <w:pStyle w:val="Heading3"/>
      </w:pPr>
      <w:r>
        <w:t>3.2 Trade at Marker (TAM)</w:t>
      </w:r>
    </w:p>
    <w:p>
      <w:r>
        <w:t>GME는 Trade at Marker (TAM) 기능을 제공한다:</w:t>
      </w:r>
    </w:p>
    <w:p>
      <w:pPr>
        <w:pStyle w:val="ListBullet"/>
      </w:pPr>
      <w:r>
        <w:t>시장 참가자가 일일 Oman Marker Price로 거래를 체결할 수 있다</w:t>
      </w:r>
    </w:p>
    <w:p>
      <w:pPr>
        <w:pStyle w:val="ListBullet"/>
      </w:pPr>
      <w:r>
        <w:t>Marker Window: 각 거래일 싱가포르 시간 16:25 – 16:30</w:t>
      </w:r>
    </w:p>
    <w:p>
      <w:pPr>
        <w:pStyle w:val="ListBullet"/>
      </w:pPr>
      <w:r>
        <w:t>마커 가격은 Marker Window 중 근월물(M1) 계약에서 체결된 거래로 결정된다</w:t>
      </w:r>
    </w:p>
    <w:p>
      <w:pPr>
        <w:pStyle w:val="Heading3"/>
      </w:pPr>
      <w:r>
        <w:t>3.3 청산 — CME Clearing</w:t>
      </w:r>
    </w:p>
    <w:p>
      <w:pPr>
        <w:pStyle w:val="ListBullet"/>
      </w:pPr>
      <w:r>
        <w:t>모든 GME 상품은 CME Clearing (구 NYMEX Clearing)을 통해 청산된다</w:t>
      </w:r>
    </w:p>
    <w:p>
      <w:pPr>
        <w:pStyle w:val="ListBullet"/>
      </w:pPr>
      <w:r>
        <w:t>채무인수(Novation): CME Clearing이 모든 매도자에 대한 매수자, 모든 매수자에 대한 매도자가 된다</w:t>
      </w:r>
    </w:p>
    <w:p>
      <w:pPr>
        <w:pStyle w:val="ListBullet"/>
      </w:pPr>
      <w:r>
        <w:t>차감결제(Netting): CME Group 상품 전반에 걸쳐 청산 수준에서 포지션 차감</w:t>
      </w:r>
    </w:p>
    <w:p>
      <w:pPr>
        <w:pStyle w:val="ListBullet"/>
      </w:pPr>
      <w:r>
        <w:t>결제은행: CME Group 인가 결제은행의 글로벌 네트워크</w:t>
      </w:r>
    </w:p>
    <w:p>
      <w:pPr>
        <w:pStyle w:val="Heading3"/>
      </w:pPr>
      <w:r>
        <w:t>3.4 실물 인수도 (Physical Delivery)</w:t>
      </w:r>
    </w:p>
    <w:p>
      <w:pPr>
        <w:pStyle w:val="ListBullet"/>
      </w:pPr>
      <w:r>
        <w:t>Oman Crude Oil Futures Contract은 실물 인수도 방식이다</w:t>
      </w:r>
    </w:p>
    <w:p>
      <w:pPr>
        <w:pStyle w:val="ListBullet"/>
      </w:pPr>
      <w:r>
        <w:t>인수도 지점: 오만 무스카트 Mina al Fahal 수출 터미널 FOB (Free on Board)</w:t>
      </w:r>
    </w:p>
    <w:p>
      <w:pPr>
        <w:pStyle w:val="ListBullet"/>
      </w:pPr>
      <w:r>
        <w:t>근월물은 항상 2개월 선행 (예: 1월 거래 중 3월물이 근월물)</w:t>
      </w:r>
    </w:p>
    <w:p>
      <w:pPr>
        <w:pStyle w:val="ListBullet"/>
      </w:pPr>
      <w:r>
        <w:t>실물 인수도가 벤치마크로서의 계약 신뢰성을 뒷받침한다 — 현금결제 계약과 차별화</w:t>
      </w:r>
    </w:p>
    <w:p>
      <w:r>
        <w:t>Source: [CME Group — GME Strategic Partnership; Wikipedia — DME Oman Crude Oil Futures Contract; GME — OQD Contract Summary; Rigzone — DME's Contracts Migrate to CME Group Trading Platform]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매매시스템 기술 (Trading System Technology)</w:t>
      </w:r>
    </w:p>
    <w:p>
      <w:pPr>
        <w:pStyle w:val="Heading3"/>
      </w:pPr>
      <w:r>
        <w:t>5.1 시스템 개요 (System Overview)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거래 플랫폼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CME Globex (CME Group이 호스팅 및 운영)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매매체결엔진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CME Globex 매매체결엔진 — 중앙집중형 고성능 전자 플랫폼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청산 시스템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CME Clearing (블록/EFP 제출은 CME ClearPort)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기술 제공자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CME Group (전체 기술 스택)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주문 접수 프로토콜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CME iLink (FIX 기반), CME Market Data (MDP 3.0)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코로케이션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미국 일리노이주 오로라 CME Group 데이터센터 (기본); 전 세계 연결 허브</w:t>
            </w:r>
          </w:p>
        </w:tc>
      </w:tr>
    </w:tbl>
    <w:p/>
    <w:p>
      <w:pPr>
        <w:pStyle w:val="Heading3"/>
      </w:pPr>
      <w:r>
        <w:t>5.2 플랫폼 변천 (Platform History)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연도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연혁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2007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DME가 NYMEX ACCESS 전자거래 플랫폼으로 출범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2009 (2월)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CME Group의 NYMEX 인수 후 CME Globex 전자거래 플랫폼으로 이관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2009~현재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모든 거래, 청산, 결제가 CME Group 인프라를 통해 처리</w:t>
            </w:r>
          </w:p>
        </w:tc>
      </w:tr>
    </w:tbl>
    <w:p/>
    <w:p>
      <w:pPr>
        <w:pStyle w:val="Heading3"/>
      </w:pPr>
      <w:r>
        <w:t>5.3 연결성 (Connectivity)</w:t>
      </w:r>
    </w:p>
    <w:p>
      <w:pPr>
        <w:pStyle w:val="ListBullet"/>
      </w:pPr>
      <w:r>
        <w:t>CME Globex 직접 접속: 참가자는 CME의 글로벌 네트워크를 통해 CME iLink 프로토콜로 접속</w:t>
      </w:r>
    </w:p>
    <w:p>
      <w:pPr>
        <w:pStyle w:val="ListBullet"/>
      </w:pPr>
      <w:r>
        <w:t>코로케이션: 최저지연 접속을 위해 미국 일리노이주 오로라 CME Group 데이터센터에서 이용 가능</w:t>
      </w:r>
    </w:p>
    <w:p>
      <w:pPr>
        <w:pStyle w:val="ListBullet"/>
      </w:pPr>
      <w:r>
        <w:t>글로벌 네트워크 허브: CME는 런던, 도쿄, 싱가포르, 홍콩, 두바이 등 주요 금융 중심지에 연결 거점을 운영</w:t>
      </w:r>
    </w:p>
    <w:p>
      <w:pPr>
        <w:pStyle w:val="ListBullet"/>
      </w:pPr>
      <w:r>
        <w:t>ISV 지원: CME Globex을 지원하는 모든 주요 독립 소프트웨어 벤더가 DME/GME 상품도 지원</w:t>
      </w:r>
    </w:p>
    <w:p>
      <w:r>
        <w:t>참고: DME/GME가 CME Globex을 사용하므로, 거래소 자체는 독자적인 거래 기술을 운영하지 않는다. 모든 기술 인프라는 CME Group이 제공하고 유지관리한다.</w:t>
      </w:r>
    </w:p>
    <w:p>
      <w:r>
        <w:t>Source: [CME Group — GME Strategic Partnership; CME Group Press Release — Dubai Mercantile Exchange Contracts Migrate to CME Group Platform; Rigzone — DME's Contracts Migrate to CME Group Trading Platform]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리스크 관리 및 서킷브레이커 (Risk Controls &amp; Circuit Breakers)</w:t>
      </w:r>
    </w:p>
    <w:p>
      <w:pPr>
        <w:pStyle w:val="Heading3"/>
      </w:pPr>
      <w:r>
        <w:t>8.1 가격제한 (Price Limits)</w:t>
      </w:r>
    </w:p>
    <w:p>
      <w:r>
        <w:t>DME/GME 상품은 CME Group의 표준 에너지 상품 가격제한 메커니즘의 적용을 받는다: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메커니즘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**Price Banding (Velocity Logic)**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CME Globex의 동적 가격밴드 시스템으로, 극단적 가격에서의 주문 체결을 방지; 현재 시장가 주변의 동적 가격 범위를 벗어나는 주문을 거부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**Stop Logic**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스톱 주문 연쇄가 시장을 정의된 임계치 이상으로 이동시킬 경우 짧은 일시정지를 발동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**일일 가격제한**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CME Group 규칙에 따른 상품별 일일 가격제한; 극단적 움직임 시 단계적으로 확대 [unverified]</w:t>
            </w:r>
          </w:p>
        </w:tc>
      </w:tr>
    </w:tbl>
    <w:p/>
    <w:p>
      <w:pPr>
        <w:pStyle w:val="Heading3"/>
      </w:pPr>
      <w:r>
        <w:t>8.2 포지션한도 (Position Limits)</w:t>
      </w:r>
    </w:p>
    <w:p>
      <w:pPr>
        <w:pStyle w:val="ListBullet"/>
      </w:pPr>
      <w:r>
        <w:t>CME Group이 DME Oman 계약에 대한 포지션한도 (건옥제한) 및 책임 수준을 설정</w:t>
      </w:r>
    </w:p>
    <w:p>
      <w:pPr>
        <w:pStyle w:val="ListBullet"/>
      </w:pPr>
      <w:r>
        <w:t>CME Group 및 CFTC 규칙(미국 관련 참가자 대상)에 따른 대량거래자 보고 의무 적용</w:t>
      </w:r>
    </w:p>
    <w:p>
      <w:pPr>
        <w:pStyle w:val="ListBullet"/>
      </w:pPr>
      <w:r>
        <w:t>CME Group의 시장규제부서를 통해 헤지 면제 가능</w:t>
      </w:r>
    </w:p>
    <w:p>
      <w:pPr>
        <w:pStyle w:val="Heading3"/>
      </w:pPr>
      <w:r>
        <w:t>8.3 CME Clearing 리스크 관리 (CME Clearing Risk Management)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CCP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CME Clearing이 모든 GME 거래의 중앙거래상대방(CCP)으로 기능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증거금 산출 방법론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CME SPAN (Standard Portfolio Analysis of Risk)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일일정산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일일 결제; 필요시 장중 마진콜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채무불이행 분담 순서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CME Clearing의 표준 채무불이행 분담 순서 — 채무불이행 회원 자원, CME 출연금("skin in the game"), 청산기금(상호부담), 추가분담금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재무 안전장치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GME 상품은 CME Clearing의 전체 재무 안전장치 패키지(청산회원 자산 약 USD 350억)의 혜택을 받는다 [unverified]</w:t>
            </w:r>
          </w:p>
        </w:tc>
      </w:tr>
    </w:tbl>
    <w:p/>
    <w:p>
      <w:r>
        <w:t>Source: [CME Group — GME Strategic Partnership; GME — About GME]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규제 체계 (Regulatory Framework)</w:t>
      </w:r>
    </w:p>
    <w:p>
      <w:pPr>
        <w:pStyle w:val="Heading3"/>
      </w:pPr>
      <w:r>
        <w:t>9.1 주요 감독기관 (Primary Regulator)</w:t>
      </w:r>
    </w:p>
    <w:p>
      <w:pPr>
        <w:pStyle w:val="ListBullet"/>
      </w:pPr>
      <w:r>
        <w:t>Dubai Financial Services Authority (DFSA): DIFC (Dubai International Financial Centre)의 독립 감독기관; DIFC 자유지구 내에서 허가된 거래소로서 DME/GME를 감독</w:t>
      </w:r>
    </w:p>
    <w:p>
      <w:pPr>
        <w:pStyle w:val="ListBullet"/>
      </w:pPr>
      <w:r>
        <w:t>DIFC: DIFC는 본토 UAE 규제와 별도의 독자적인 법률 및 규제 체계를 가진 금융 자유지구로 운영된다</w:t>
      </w:r>
    </w:p>
    <w:p>
      <w:pPr>
        <w:pStyle w:val="Heading3"/>
      </w:pPr>
      <w:r>
        <w:t>9.2 규제 환경 (Regulatory Environment)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규정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**DIFC Markets Law**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DIFC 내 거래소 및 시장 중개기관을 규율하는 주요 법률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**DFSA Market Rules**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DIFC 규제 거래소에서의 거래, 행위, 시장남용, 보고를 규율하는 규칙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**CME Group Rules**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CME Group의 규칙집이 CME Globex에서의 DME/GME 상품 거래 및 CME Clearing을 통한 청산에 적용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**CFTC 감독**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미국 CFTC 감독은 CME Clearing (등록 DCO)과 DME/GME 상품을 거래하는 미국인에게 적용</w:t>
            </w:r>
          </w:p>
        </w:tc>
      </w:tr>
    </w:tbl>
    <w:p/>
    <w:p>
      <w:pPr>
        <w:pStyle w:val="Heading3"/>
      </w:pPr>
      <w:r>
        <w:t>9.3 국경간 인정 (Cross-Border Recognition)</w:t>
      </w:r>
    </w:p>
    <w:p>
      <w:pPr>
        <w:pStyle w:val="ListBullet"/>
      </w:pPr>
      <w:r>
        <w:t>DME/GME 상품은 CME Globex을 통해 전 세계 참가자에게 접근 가능하다</w:t>
      </w:r>
    </w:p>
    <w:p>
      <w:pPr>
        <w:pStyle w:val="ListBullet"/>
      </w:pPr>
      <w:r>
        <w:t>미국 CFTC 등록 DCO이자 EU EMIR 하 인정 CCP인 CME Clearing의 지위가 DME/GME 상품에 대한 규제적 인정을 확대한다</w:t>
      </w:r>
    </w:p>
    <w:p>
      <w:pPr>
        <w:pStyle w:val="ListBullet"/>
      </w:pPr>
      <w:r>
        <w:t>DFSA는 다수의 국제 감독기관과 협력 협정을 유지한다</w:t>
      </w:r>
    </w:p>
    <w:p>
      <w:pPr>
        <w:pStyle w:val="Heading3"/>
      </w:pPr>
      <w:r>
        <w:t>9.4 시장 건전성 (Market Integrity)</w:t>
      </w:r>
    </w:p>
    <w:p>
      <w:pPr>
        <w:pStyle w:val="ListBullet"/>
      </w:pPr>
      <w:r>
        <w:t>DFSA와 CME Group 시장규제부서가 공동으로 시장감시를 수행</w:t>
      </w:r>
    </w:p>
    <w:p>
      <w:pPr>
        <w:pStyle w:val="ListBullet"/>
      </w:pPr>
      <w:r>
        <w:t>포지션 보고 및 대량거래자 보고 의무 적용</w:t>
      </w:r>
    </w:p>
    <w:p>
      <w:pPr>
        <w:pStyle w:val="ListBullet"/>
      </w:pPr>
      <w:r>
        <w:t>DFSA 및 CME Group 규칙에 따른 시세조종 방지 및 시장남용 조항</w:t>
      </w:r>
    </w:p>
    <w:p>
      <w:r>
        <w:t>Source: [GME — About GME; Wikipedia — Dubai Mercantile Exchange; CFTC — DME Contract Specifications]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파생상품 전용 섹션 (Derivatives-Specific Sections)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D1. 상품 목록 (Product Catalog)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심볼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계약 단위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결제 방식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Oman Crude Oil Futures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OQD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1,000 배럴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실물 인수도 (FOB Mina al Fahal)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활성 — 대표 상품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Oman Crude Oil European Style Options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OQE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1,000 배럴 (선물 1계약)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행사 시 선물 포지션으로 전환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활성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Micro Oman Crude Oil Futures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100 배럴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현금결제 [unverified]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활성</w:t>
            </w:r>
          </w:p>
        </w:tc>
      </w:tr>
    </w:tbl>
    <w:p/>
    <w:p>
      <w:r>
        <w:t>참고: DME/GME는 오만 원유를 중심으로 한 좁은 상품 구성을 의도적으로 유지하는 거래소이다. 다자산 거래소와 달리, GME의 가치 제안은 상품 다양성보다는 오만 원유를 아시아 사워 원유의 확정적 벤치마크로 확립하는 데 초점을 맞추고 있다.</w:t>
      </w:r>
    </w:p>
    <w:p>
      <w:r>
        <w:t>Source: [GME — OQD Contract Summary; GME — OQE Contract Summary; Wikipedia — DME Oman Crude Oil Futures Contract; DFM — Micro Oman Crude Oil Futures]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D2. 주요 계약 명세 (Key Contract Specifications)</w:t>
      </w:r>
    </w:p>
    <w:p>
      <w:pPr>
        <w:pStyle w:val="Heading3"/>
      </w:pPr>
      <w:r>
        <w:t>1. Oman Crude Oil Futures (OQD) — 대표 상품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명세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기초자산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Oman Crude Oil (사워 원유 등급)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단위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1,000 배럴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가격 표시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배럴당 미국 달러 및 센트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호가단위 (최소가격변동폭)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배럴당 USD 0.01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틱 가치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USD 10.00 (= USD 0.01 x 1,000 배럴)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최대 72개 연속 월물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근월물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항상 2개월 선행 (예: 1월 거래 중 3월물이 근월물)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거래 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일요일 18:00 – 금요일 17:15 ET (CME Globex); 일일 45분 점검 17:15 – 18:00 ET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최종 거래일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계약월 2개월 전 월의 마지막 영업일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 방식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실물 인수도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인수도 지점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오만 무스카트 FOB Mina al Fahal 터미널 (Petroleum Development Oman 운영)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 통화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USD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일일 마커 가격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싱가포르 시간 Marker Window 16:25 – 16:30에 결정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일일 정산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EST 14:30 (EST 14:25 – 14:30 사이 값 기준)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블록거래 (대량매매) 최소 수량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CME Group 규칙에 따른 상품별 임계치 [unverified]</w:t>
            </w:r>
          </w:p>
        </w:tc>
      </w:tr>
    </w:tbl>
    <w:p/>
    <w:p>
      <w:pPr>
        <w:pStyle w:val="Heading3"/>
      </w:pPr>
      <w:r>
        <w:t>2. Oman Crude Oil European Style Options (OQE)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명세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기초자산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Oman Crude Oil Futures 1계약 (OQD)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단위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1,000 배럴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행사 유형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유러피안 (만기 시에만 행사 가능)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가격 표시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배럴당 미국 달러 및 센트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호가단위 (최소가격변동폭)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배럴당 USD 0.01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틱 가치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USD 10.00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행사 시 기초자산 OQD 계약의 선물 포지션으로 전환</w:t>
            </w:r>
          </w:p>
        </w:tc>
      </w:tr>
    </w:tbl>
    <w:p/>
    <w:p>
      <w:pPr>
        <w:pStyle w:val="Heading3"/>
      </w:pPr>
      <w:r>
        <w:t>3. Micro Oman Crude Oil Futures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명세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단위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100 배럴 (표준 OQD의 1/10)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가격 표시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배럴당 미국 달러 및 센트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현금결제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목적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개인 및 소규모 기관 참가자를 위한 소형 계약</w:t>
            </w:r>
          </w:p>
        </w:tc>
      </w:tr>
    </w:tbl>
    <w:p/>
    <w:p>
      <w:r>
        <w:t>Source: [GME — OQD Contract Summary; GME — OQE Contract Summary; Wikipedia — DME Oman Crude Oil Futures Contract; CFTC — DME Contract Specifications; DFM — Micro Oman Crude Oil Futures]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D3. 증거금 체계 (Margin Framework)</w:t>
      </w:r>
    </w:p>
    <w:p>
      <w:pPr>
        <w:pStyle w:val="Heading3"/>
      </w:pPr>
      <w:r>
        <w:t>증거금 산출 방법론 (Margin Methodology)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방법론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CME SPAN (Standard Portfolio Analysis of Risk)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관리 주체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CME Clearing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증거금 산출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포트폴리오 기반 리스크 평가; 가격 리스크, 변동성, 월간 스프레드, 상품간 상관관계를 고려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개시증거금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CME Clearing이 설정; 시장 변동성에 따라 조정; 일일 스캐닝 범위 발표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유지증거금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통상 개시증거금의 일정 비율로 설정 (CME 표준 관행)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변동증거금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손익의 일일 mark-to-market 결제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장중 증거금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CME Clearing은 극단적 변동성 기간에 장중 마진콜을 발행할 수 있다</w:t>
            </w:r>
          </w:p>
        </w:tc>
      </w:tr>
    </w:tbl>
    <w:p/>
    <w:p>
      <w:pPr>
        <w:pStyle w:val="Heading3"/>
      </w:pPr>
      <w:r>
        <w:t>증거금 처리 절차 (Margin Process)</w:t>
      </w:r>
    </w:p>
    <w:p>
      <w:pPr>
        <w:pStyle w:val="ListNumber"/>
      </w:pPr>
      <w:r>
        <w:t>일일 마감: CME Clearing이 GME 상품을 포함한 광범위한 포트폴리오의 모든 미결제 포지션에 대해 SPAN을 사용하여 증거금 요건을 산출</w:t>
      </w:r>
    </w:p>
    <w:p>
      <w:pPr>
        <w:pStyle w:val="ListNumber"/>
      </w:pPr>
      <w:r>
        <w:t>교차증거금: GME Oman 포지션이 동일 포트폴리오 내 다른 CME Group 에너지 상품(예: WTI 원유, Brent 원유)과 함께 보유될 때 잠재적 증거금 상계 가능</w:t>
      </w:r>
    </w:p>
    <w:p>
      <w:pPr>
        <w:pStyle w:val="ListNumber"/>
      </w:pPr>
      <w:r>
        <w:t>결제: CME Group의 결제은행 네트워크를 통한 변동증거금의 일일 현금 결제</w:t>
      </w:r>
    </w:p>
    <w:p>
      <w:pPr>
        <w:pStyle w:val="ListNumber"/>
      </w:pPr>
      <w:r>
        <w:t>마진콜: CME Clearing 규칙에 따라 정해진 시한 내에 충족해야 하며; 마진콜 미충족 시 포지션 청산으로 이어질 수 있다</w:t>
      </w:r>
    </w:p>
    <w:p>
      <w:pPr>
        <w:pStyle w:val="Heading3"/>
      </w:pPr>
      <w:r>
        <w:t>적격 담보 (CME Clearing 기준)</w:t>
      </w:r>
    </w:p>
    <w:p>
      <w:pPr>
        <w:pStyle w:val="ListBullet"/>
      </w:pPr>
      <w:r>
        <w:t>현금 (USD 및 일부 외화)</w:t>
      </w:r>
    </w:p>
    <w:p>
      <w:pPr>
        <w:pStyle w:val="ListBullet"/>
      </w:pPr>
      <w:r>
        <w:t>미국 재무부 증권</w:t>
      </w:r>
    </w:p>
    <w:p>
      <w:pPr>
        <w:pStyle w:val="ListBullet"/>
      </w:pPr>
      <w:r>
        <w:t>국채 (승인 목록)</w:t>
      </w:r>
    </w:p>
    <w:p>
      <w:pPr>
        <w:pStyle w:val="ListBullet"/>
      </w:pPr>
      <w:r>
        <w:t>신용장 (한도 적용)</w:t>
      </w:r>
    </w:p>
    <w:p>
      <w:pPr>
        <w:pStyle w:val="ListBullet"/>
      </w:pPr>
      <w:r>
        <w:t>기타 CME 인가 담보 (헤어컷 적용)</w:t>
      </w:r>
    </w:p>
    <w:p>
      <w:r>
        <w:t>Source: [CME Group — GME Strategic Partnership; GME — About GME]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본 조사는 GME/DME 공식 자료, CME Group 자료, CFTC 제출 서류, 업계 참고자료를 기반으로 작성되었다. [unverified]로 표기된 항목은 1차 출처를 통한 확인이 필요하다.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