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아시아태평양 파생상품 규제 (Asia-Pacific Derivatives Regulation)</w:t>
      </w:r>
    </w:p>
    <w:p>
      <w:r>
        <w:rPr>
          <w:i/>
          <w:sz w:val="18"/>
        </w:rPr>
        <w:t>**최종 업데이트:** 2026-04-07</w:t>
      </w:r>
    </w:p>
    <w:p>
      <w:r>
        <w:rPr>
          <w:i/>
          <w:sz w:val="18"/>
        </w:rPr>
        <w:t>**분야:** 파생상품 — 규제 프레임워크 (Regulatory Framework)</w:t>
      </w:r>
    </w:p>
    <w:p>
      <w:r>
        <w:rPr>
          <w:i/>
          <w:sz w:val="18"/>
        </w:rPr>
        <w:t>**대상 관할권:** 일본, 홍콩, 싱가포르, 한국 (비교)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일본 (Japan)</w:t>
      </w:r>
    </w:p>
    <w:p>
      <w:pPr>
        <w:pStyle w:val="Heading3"/>
      </w:pPr>
      <w:r>
        <w:t>1.1 규제 기관 (Regulatory Authorities)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**JFSA** (금융청, Financial Services Agency)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규제기관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증권, 은행, 보험, 파생상품; 내각부 소속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**SESC** (증권거래등감시위원회, Securities and Exchange Surveillance Commission)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집행 및 감시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시장조작, 내부자거래, FIBO 검사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**JPX-R** (JPX Regulation)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자율규제기관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 상장시장에 대한 시장감시, 회원 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**일본은행 (Bank of Japan)**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중앙은행 / 시스템 감독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JSCC에 대한 시스템리스크 감독; 통화정책 관련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**METI** (경제산업성, Ministry of Economy, Trade and Industry)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 감독 (역사적)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상품파생상품 (2012년 통합 이전); 현재 대부분 JFSA에 통합</w:t>
            </w:r>
          </w:p>
        </w:tc>
      </w:tr>
    </w:tbl>
    <w:p/>
    <w:p>
      <w:pPr>
        <w:pStyle w:val="ListBullet"/>
      </w:pPr>
      <w:r>
        <w:t>일본은 부처 수준(ministry-level) 규제 모델을 운용한다: JFSA는 내각부의 외청(external bureau)으로서 광범위한 행정 권한을 가진다.</w:t>
      </w:r>
    </w:p>
    <w:p>
      <w:pPr>
        <w:pStyle w:val="ListBullet"/>
      </w:pPr>
      <w:r>
        <w:t>SESC는 조직적으로 JFSA 산하에 있으나, 집행 조치에 있어 운영상 독립성을 유지한다.</w:t>
      </w:r>
    </w:p>
    <w:p>
      <w:pPr>
        <w:pStyle w:val="ListBullet"/>
      </w:pPr>
      <w:r>
        <w:t>JPX-R은 오사카거래소(OSE) 및 도쿄상품거래소(TOCOM) 파생상품 시장에 대한 일선 감시를 제공한다.</w:t>
      </w:r>
    </w:p>
    <w:p>
      <w:r>
        <w:rPr>
          <w:i/>
          <w:sz w:val="18"/>
        </w:rPr>
        <w:t>출처: [JFSA 공식 웹사이트](https://www.fsa.go.jp/en/); [Chambers Derivatives 2025 — Japan](https://practiceguides.chambers.com/practice-guides/derivatives-2025/japan)</w:t>
      </w:r>
    </w:p>
    <w:p>
      <w:pPr>
        <w:pStyle w:val="Heading3"/>
      </w:pPr>
      <w:r>
        <w:t>1.2 주요 법률 (Key Legislation)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법률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**금융상품거래법 (Financial Instruments and Exchange Act, FIEA)**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2006년 (최초), 다수 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및 파생상품을 규율하는 주요 법률; 금융상품거래업자(FIBOs) 정의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**상품파생상품법 (Commodity Derivatives Act)**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2009년 (최초)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상품파생상품 규율; 2012년 이후 대부분 FIEA 프레임워크에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**2012년 종합 개혁**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2012년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증권파생상품과 상품파생상품의 규제를 JFSA 하에 통합; 이전에는 상품파생상품이 METI/MAFF 관할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**2024년 FIEA 개정**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2024년 (제정); 2026년 5월 시행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주주공시 개혁; 현금결제 주식파생상품으로 보고의무 확대; "공동보유자" 정의 명확화</w:t>
            </w:r>
          </w:p>
        </w:tc>
      </w:tr>
    </w:tbl>
    <w:p/>
    <w:p>
      <w:r>
        <w:t>파생상품에 대한 FIEA 주요 조항:</w:t>
      </w:r>
    </w:p>
    <w:p>
      <w:pPr>
        <w:pStyle w:val="ListBullet"/>
      </w:pPr>
      <w:r>
        <w:t>파생상품을 거래하는 금융상품거래업자(FIBOs)의 등록 요건</w:t>
      </w:r>
    </w:p>
    <w:p>
      <w:pPr>
        <w:pStyle w:val="ListBullet"/>
      </w:pPr>
      <w:r>
        <w:t>인가된 청산소를 통한 지정 OTC 파생상품의 의무청산</w:t>
      </w:r>
    </w:p>
    <w:p>
      <w:pPr>
        <w:pStyle w:val="ListBullet"/>
      </w:pPr>
      <w:r>
        <w:t>거래저장소에 대한 거래보고의무 (2024년 4월 개정으로 LEI, UTI, CDE 보고 의무화)</w:t>
      </w:r>
    </w:p>
    <w:p>
      <w:pPr>
        <w:pStyle w:val="ListBullet"/>
      </w:pPr>
      <w:r>
        <w:t>행위 규칙: 적합성 의무, 리스크 공시, 고객자산 분리보관</w:t>
      </w:r>
    </w:p>
    <w:p>
      <w:pPr>
        <w:pStyle w:val="ListBullet"/>
      </w:pPr>
      <w:r>
        <w:t>거래소 규정에 위임된 포지션한도 프레임워크</w:t>
      </w:r>
    </w:p>
    <w:p>
      <w:r>
        <w:rPr>
          <w:i/>
          <w:sz w:val="18"/>
        </w:rPr>
        <w:t>출처: [ICLG Derivatives 2025-2026 — Japan](https://iclg.com/practice-areas/derivatives-laws-and-regulations/japan); [Funds-Axis — FIEA 2024 Amendments](https://funds-axis.com/japans-2024-fiea-amendments-key-shareholder-disclosure-reforms-coming-in-2026/)</w:t>
      </w:r>
    </w:p>
    <w:p>
      <w:pPr>
        <w:pStyle w:val="Heading3"/>
      </w:pPr>
      <w:r>
        <w:t>1.3 청산 프레임워크 (Clearing Framework)</w:t>
      </w:r>
    </w:p>
    <w:p>
      <w:r>
        <w:t>중앙청산소(CCP): 일본증권청산기구(Japan Securities Clearing Corporation, JSCC) — 상장 및 OTC 파생상품의 유일한 CCP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의무 여부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상장파생상품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OSE/TOCOM 상장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예 (모든 장내거래)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OTC IRS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엔화 표시 금리스왑 (TONA compounded in arrears)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예 (지정 FIBO 대상)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OTC CDS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iTraxx Japan 지수 CDS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예 (지정 FIBO 대상)</w:t>
            </w:r>
          </w:p>
        </w:tc>
      </w:tr>
    </w:tbl>
    <w:p/>
    <w:p>
      <w:pPr>
        <w:pStyle w:val="ListBullet"/>
      </w:pPr>
      <w:r>
        <w:t>JSCC는 엔화 표시 OTC 상품(IRS 및 CDS)만 청산한다.</w:t>
      </w:r>
    </w:p>
    <w:p>
      <w:pPr>
        <w:pStyle w:val="ListBullet"/>
      </w:pPr>
      <w:r>
        <w:t>의무청산은 내각부령에 따라 JFSA 장관이 지정한 기준을 충족하는 FIBO 및 등록 금융기관에 적용된다.</w:t>
      </w:r>
    </w:p>
    <w:p>
      <w:pPr>
        <w:pStyle w:val="ListBullet"/>
      </w:pPr>
      <w:r>
        <w:t>2025년 동향: 미국 CFTC가 Staff Letter No. 25-32 (2025년 9월 12일) 및 수정 면제 명령을 발행하여, 미국 적격계약참여자(eligible contract participants)가 JSCC 청산회원을 통해 JPY-IRS를 청산하는 것을 허용하였다. 이는 국경간 중요한 이정표이다.</w:t>
      </w:r>
    </w:p>
    <w:p>
      <w:r>
        <w:rPr>
          <w:i/>
          <w:sz w:val="18"/>
        </w:rPr>
        <w:t>출처: [JSCC — OTC Derivatives Clearing](https://www.jpx.co.jp/jscc/en/otc/index.html); [CFTC Letter No. 25-32](https://www.cftc.gov/csl/25-32/download); [Gibson Dunn — CFTC/JSCC](https://www.gibsondunn.com/cftc-will-permit-us-customers-to-clear-yen-interest-rate-swaps-at-jscc/)</w:t>
      </w:r>
    </w:p>
    <w:p>
      <w:pPr>
        <w:pStyle w:val="Heading3"/>
      </w:pPr>
      <w:r>
        <w:t>1.4 포지션한도 및 보고 (Position Limits &amp; Reporting)</w:t>
      </w:r>
    </w:p>
    <w:p>
      <w:pPr>
        <w:pStyle w:val="ListBullet"/>
      </w:pPr>
      <w:r>
        <w:t>포지션한도는 오사카거래소(OSE)가 거래소 규정 수준에서 설정하며, 법률로 규정되지는 않는다.</w:t>
      </w:r>
    </w:p>
    <w:p>
      <w:pPr>
        <w:pStyle w:val="ListBullet"/>
      </w:pPr>
      <w:r>
        <w:t>한도는 계약별로 상이하며, 계약 수(순포지션)로 표시된다.</w:t>
      </w:r>
    </w:p>
    <w:p>
      <w:pPr>
        <w:pStyle w:val="ListBullet"/>
      </w:pPr>
      <w:r>
        <w:t>포지션이 거래소가 정한 기준을 초과하는 경우 대규모 포지션 보고가 요구된다.</w:t>
      </w:r>
    </w:p>
    <w:p>
      <w:pPr>
        <w:pStyle w:val="ListBullet"/>
      </w:pPr>
      <w:r>
        <w:t>거래소 신청을 통한 헤지 면제가 가능하다.</w:t>
      </w:r>
    </w:p>
    <w:p>
      <w:pPr>
        <w:pStyle w:val="ListBullet"/>
      </w:pPr>
      <w:r>
        <w:t>JFSA는 시스템적 우려가 보증하는 경우 거래소에 포지션한도 규정의 수정을 지시할 권한을 보유한다.</w:t>
      </w:r>
    </w:p>
    <w:p>
      <w:r>
        <w:rPr>
          <w:i/>
          <w:sz w:val="18"/>
        </w:rPr>
        <w:t>출처: [JPX — Index Futures Specifications (May 2025)](https://www.jpx.co.jp/english/derivatives/rules/outline/dreu250000001ove-att/dreu250000001oyj.pdf)</w:t>
      </w:r>
    </w:p>
    <w:p>
      <w:pPr>
        <w:pStyle w:val="Heading3"/>
      </w:pPr>
      <w:r>
        <w:t>1.5 거래보고 (Trade Reporting)</w:t>
      </w:r>
    </w:p>
    <w:p>
      <w:pPr>
        <w:pStyle w:val="ListBullet"/>
      </w:pPr>
      <w:r>
        <w:t>2024년 4월 개혁: 거래 데이터 보고 요건에 대한 개정이 시행되어 다음을 요구한다:</w:t>
      </w:r>
    </w:p>
    <w:p>
      <w:pPr>
        <w:pStyle w:val="ListBullet"/>
      </w:pPr>
      <w:r>
        <w:t>인가된 거래저장소를 통한 보고 (JFSA에 직접 보고하는 것이 아닌)</w:t>
      </w:r>
    </w:p>
    <w:p>
      <w:pPr>
        <w:pStyle w:val="ListBullet"/>
      </w:pPr>
      <w:r>
        <w:t>법인식별기호(LEI) 의무 사용</w:t>
      </w:r>
    </w:p>
    <w:p>
      <w:pPr>
        <w:pStyle w:val="ListBullet"/>
      </w:pPr>
      <w:r>
        <w:t>고유거래식별자(UTI) 의무 사용</w:t>
      </w:r>
    </w:p>
    <w:p>
      <w:pPr>
        <w:pStyle w:val="ListBullet"/>
      </w:pPr>
      <w:r>
        <w:t>CPMI-IOSCO 표준에 정합된 개선된 핵심 데이터 요소(CDE)</w:t>
      </w:r>
    </w:p>
    <w:p>
      <w:r>
        <w:rPr>
          <w:i/>
          <w:sz w:val="18"/>
        </w:rPr>
        <w:t>출처: [ICLG Derivatives 2025-2026 — Japan](https://iclg.com/practice-areas/derivatives-laws-and-regulations/japan)</w:t>
      </w:r>
    </w:p>
    <w:p>
      <w:pPr>
        <w:pStyle w:val="Heading3"/>
      </w:pPr>
      <w:r>
        <w:t>1.6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동향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**연장 거래시간**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2016년 (야간세션 오전 5:30 JST까지)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야간세션이 총 선물 및 옵션 거래량의 약 40%를 차지한다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**휴일 거래**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2022년 9월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OSE/TOCOM이 선별 파생상품 상품에 대해 휴일 거래를 개시하였다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**TONA 선물 성장**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2023-2025년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3개월 TONA 선물 미결제약정이 100,000계약을 돌파(2025년 3월); 2025년 10월 거래량이 약 250,000계약에 도달(월간 신기록); BOJ의 금리 정상화에 의해 뒷받침 (2024년 3월 마이너스금리 해제, 2024년 7월 0.25%로 금리 인상)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**JSCC IRS 청산 신기록**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10월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JPY IRS 청산 거래량이 약 1,526조 엔에 도달, 신기록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**CFTC 국경간 접근**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9월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미국 고객이 JSCC에서 JPY-IRS를 청산하는 것이 허용됨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**2024년 FIEA 개정**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2024년 제정; 2026년 5월 시행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현금결제 주식파생상품이 주주공시 보고에 포함됨</w:t>
            </w:r>
          </w:p>
        </w:tc>
      </w:tr>
    </w:tbl>
    <w:p/>
    <w:p>
      <w:r>
        <w:rPr>
          <w:i/>
          <w:sz w:val="18"/>
        </w:rPr>
        <w:t>출처: [JPX — TONA Futures Record (Mar 2025)](https://www.jpx.co.jp/english/corporate/news/news-releases/2041/20250314-01.html); [JPX — Oct 2025 Records](https://www.jpx.co.jp/english/news/2041/20251107-01.html); [FIA — JPX Extended Hours Success](https://www.fia.org/marketvoice/articles/market-never-sleeps-success-extended-trading-hours-jpx)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홍콩 (Hong Kong)</w:t>
      </w:r>
    </w:p>
    <w:p>
      <w:pPr>
        <w:pStyle w:val="Heading3"/>
      </w:pPr>
      <w:r>
        <w:t>2.1 규제 기관 (Regulatory Authorities)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**SFC** (증권선물사무감찰위원회, Securities and Futures Commission)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시장 규제기관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증권, 선물, OTC 파생상품 규제; 독립적 법정기관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**HKMA** (홍콩금융관리국, Hong Kong Monetary Authority)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은행/금융 규제기관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인가기관(은행)의 OTC 파생상품 규제; SFC와 공동 규제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**HKEX**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 및 CCP 운영자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거래소와 3개 청산소를 운영하며; 일선 규제도 수행한다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**FSTB** (재경사무국, Financial Services and the Treasury Bureau)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입법 정책 방향을 설정한다</w:t>
            </w:r>
          </w:p>
        </w:tc>
      </w:tr>
    </w:tbl>
    <w:p/>
    <w:p>
      <w:pPr>
        <w:pStyle w:val="ListBullet"/>
      </w:pPr>
      <w:r>
        <w:t>홍콩은 독립적 법정기관 모델을 사용한다. SFC는 정부 부처가 아니라 준사법적 권한을 가진 독립 기관이다.</w:t>
      </w:r>
    </w:p>
    <w:p>
      <w:pPr>
        <w:pStyle w:val="ListBullet"/>
      </w:pPr>
      <w:r>
        <w:t>OTC 파생상품 규제에 있어 SFC와 HKMA가 관할권을 공유한다: SFC는 인가법인을 감독하고, HKMA는 인가기관(은행)을 감독한다.</w:t>
      </w:r>
    </w:p>
    <w:p>
      <w:pPr>
        <w:pStyle w:val="ListBullet"/>
      </w:pPr>
      <w:r>
        <w:t>HKEX는 상업적 거래소 운영자와 시장 규제기관의 이중 역할을 수행한다.</w:t>
      </w:r>
    </w:p>
    <w:p>
      <w:r>
        <w:rPr>
          <w:i/>
          <w:sz w:val="18"/>
        </w:rPr>
        <w:t>출처: [SFC — About the SFC](https://www.sfc.hk/en/About-the-SFC); [ICLG Derivatives 2025-2026 — Hong Kong](https://iclg.com/practice-areas/derivatives-laws-and-regulations/hong-kong)</w:t>
      </w:r>
    </w:p>
    <w:p>
      <w:pPr>
        <w:pStyle w:val="Heading3"/>
      </w:pPr>
      <w:r>
        <w:t>2.2 주요 법률 (Key Legislation)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법률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**증권선물조례 (Securities and Futures Ordinance, SFO)**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2003년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및 선물 시장을 규율하는 주요 법률; 인가, 시장행위, 파생상품 규제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**증권선물(장외파생상품거래 — 보고 및 기록보관의무) 규칙**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2015년 이후 (단계적)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파생상품의 의무 보고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**증권선물(장외파생상품거래 — 청산 및 기록보관의무 및 중앙청산소 지정) 규칙**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2016년 이후 (단계적)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지정 OTC 파생상품의 의무청산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**증권선물(계약한도 및 보고대상 포지션) 규칙**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장내 파생상품의 포지션한도 및 대규모 미결제 포지션 보고</w:t>
            </w:r>
          </w:p>
        </w:tc>
      </w:tr>
    </w:tbl>
    <w:p/>
    <w:p>
      <w:r>
        <w:rPr>
          <w:i/>
          <w:sz w:val="18"/>
        </w:rPr>
        <w:t>출처: [SFC — OTC Derivatives Regime FAQ](https://www.sfc.hk/en/faqs/OTC-derivatives)</w:t>
      </w:r>
    </w:p>
    <w:p>
      <w:pPr>
        <w:pStyle w:val="Heading3"/>
      </w:pPr>
      <w:r>
        <w:t>2.3 청산 프레임워크 (Clearing Framework)</w:t>
      </w:r>
    </w:p>
    <w:p>
      <w:r>
        <w:t>HKEX 산하 청산소: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청산소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**HKCC** (HKFE Clearing Corporation)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HKEX의 모든 장내 선물 및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**SEOCH** (SEHK Options Clearing House)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 주식옵션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HKEX의 주식옵션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**OTC Clear** (OTC Clearing Hong Kong Limited)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파생상품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IRS (HKD, USD, EUR, GBP, CNY), 통화간 스왑, NDF</w:t>
            </w:r>
          </w:p>
        </w:tc>
      </w:tr>
    </w:tbl>
    <w:p/>
    <w:p>
      <w:r>
        <w:t>의무 OTC 청산:</w:t>
      </w:r>
    </w:p>
    <w:p>
      <w:pPr>
        <w:pStyle w:val="ListBullet"/>
      </w:pPr>
      <w:r>
        <w:t>의무청산은 "지정인(prescribed persons)"과 "금융서비스제공자(Financial Services Providers, FSPs — 홍콩 외부의 주요 딜러)" 간의 IRS 거래에 적용된다.</w:t>
      </w:r>
    </w:p>
    <w:p>
      <w:pPr>
        <w:pStyle w:val="ListBullet"/>
      </w:pPr>
      <w:r>
        <w:t>대상 통화: HKD, USD, EUR, GBP 고정-변동 IRS.</w:t>
      </w:r>
    </w:p>
    <w:p>
      <w:pPr>
        <w:pStyle w:val="ListBullet"/>
      </w:pPr>
      <w:r>
        <w:t>FSP 목록은 매년 갱신되며; 2025년 갱신은 2025년 4분기에 관보에 게재되어 2026년 1월 1일부터 시행되었다.</w:t>
      </w:r>
    </w:p>
    <w:p>
      <w:pPr>
        <w:pStyle w:val="ListBullet"/>
      </w:pPr>
      <w:r>
        <w:t>2026년 의견수렴: 2026년 1월, HKMA와 SFC가 OTC 파생상품 청산 규칙에 따른 표준 산정 기간에 관해 공동으로 의견수렴을 실시하여, 2027년 3월 1일부터 시행되는 연간 2회 산정 기간(3-5월 및 9-11월)을 제안하였다.</w:t>
      </w:r>
    </w:p>
    <w:p>
      <w:r>
        <w:t>비중앙청산 파생상품에 대한 증거금:</w:t>
      </w:r>
    </w:p>
    <w:p>
      <w:pPr>
        <w:pStyle w:val="ListBullet"/>
      </w:pPr>
      <w:r>
        <w:t>비중앙청산 OTC 개별주식옵션, 주식바스켓 옵션, 주가지수 옵션에 대한 증거금 요건이 2026년 1월 4일로 연기되어 영국 및 EU 일정과 맞추었다.</w:t>
      </w:r>
    </w:p>
    <w:p>
      <w:r>
        <w:rPr>
          <w:i/>
          <w:sz w:val="18"/>
        </w:rPr>
        <w:t>출처: [HKEX — OTC Clear Clearing Services](https://www.hkex.com.hk/Services/Clearing/OTC-Clear/Overview/Clearing-Services?sc_lang=en); [HKMA — FSP List Update (Apr 2025)](https://www.hkma.gov.hk/eng/news-and-media/press-releases/2025/04/20250417-3/); [HKMA — Clearing Rules Consultation (Jan 2026)](https://www.hkma.gov.hk/eng/news-and-media/press-releases/2026/01/20260129-4/)</w:t>
      </w:r>
    </w:p>
    <w:p>
      <w:pPr>
        <w:pStyle w:val="Heading3"/>
      </w:pPr>
      <w:r>
        <w:t>2.4 포지션한도 (Position Limits)</w:t>
      </w:r>
    </w:p>
    <w:p>
      <w:r>
        <w:t>SFC는 장내 파생상품에 대해 법정 포지션한도를 규정한다:</w:t>
      </w:r>
    </w:p>
    <w:p>
      <w:r>
        <w:t>주요 포지션한도 (2025년 7월 2일 시행):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포지션한도 (델타)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변동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항셍지수(HSI)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+50% 증가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항셍중국기업지수(HSCEI)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+108% 증가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항셍테크지수(Hang Seng TECH Index)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30,000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+43% 증가</w:t>
            </w:r>
          </w:p>
        </w:tc>
      </w:tr>
    </w:tbl>
    <w:p/>
    <w:p>
      <w:pPr>
        <w:pStyle w:val="ListBullet"/>
      </w:pPr>
      <w:r>
        <w:t>포지션한도는 포지션 델타(position delta)(선물 및 옵션에 걸친 순 델타)로 표시된다.</w:t>
      </w:r>
    </w:p>
    <w:p>
      <w:pPr>
        <w:pStyle w:val="ListBullet"/>
      </w:pPr>
      <w:r>
        <w:t>보고대상 포지션 기준은 더 낮은 수준으로 설정되며; 이를 초과하면 SFC에 대규모 미결제 포지션(LOP) 보고가 발동된다.</w:t>
      </w:r>
    </w:p>
    <w:p>
      <w:pPr>
        <w:pStyle w:val="ListBullet"/>
      </w:pPr>
      <w:r>
        <w:t>헤지 면제 및 시장조성자 면제가 신청 시 가능하다.</w:t>
      </w:r>
    </w:p>
    <w:p>
      <w:pPr>
        <w:pStyle w:val="ListBullet"/>
      </w:pPr>
      <w:r>
        <w:t>SFC는 2025년 초에 이러한 증가에 관해 의견수렴을 실시하였으며, 국내외 시장 참여자로부터 25건의 제출을 받아 강한 지지를 확인하였다.</w:t>
      </w:r>
    </w:p>
    <w:p>
      <w:r>
        <w:rPr>
          <w:i/>
          <w:sz w:val="18"/>
        </w:rPr>
        <w:t>출처: [SFC — Position Limit Increases (Jun 2025)](https://apps.sfc.hk/edistributionWeb/gateway/EN/news-and-announcements/news/doc?refNo=25PR100); [SFC — Consultation Paper 25CP2](https://apps.sfc.hk/edistributionWeb/api/consultation/openFile?lang=EN&amp;refNo=25CP2)</w:t>
      </w:r>
    </w:p>
    <w:p>
      <w:pPr>
        <w:pStyle w:val="Heading3"/>
      </w:pPr>
      <w:r>
        <w:t>2.5 거래보고 (Trade Reporting)</w:t>
      </w:r>
    </w:p>
    <w:p>
      <w:pPr>
        <w:pStyle w:val="ListBullet"/>
      </w:pPr>
      <w:r>
        <w:t>2025년 9월 29일: 강화된 HKTR(홍콩 거래저장소) 보고 요건이 시행되었다:</w:t>
      </w:r>
    </w:p>
    <w:p>
      <w:pPr>
        <w:pStyle w:val="ListBullet"/>
      </w:pPr>
      <w:r>
        <w:t>고유거래식별자(UTI) 의무화</w:t>
      </w:r>
    </w:p>
    <w:p>
      <w:pPr>
        <w:pStyle w:val="ListBullet"/>
      </w:pPr>
      <w:r>
        <w:t>고유상품식별자(UPI) 의무화</w:t>
      </w:r>
    </w:p>
    <w:p>
      <w:pPr>
        <w:pStyle w:val="ListBullet"/>
      </w:pPr>
      <w:r>
        <w:t>CPMI-IOSCO 표준에 정합된 핵심 데이터 요소(CDE) 의무화</w:t>
      </w:r>
    </w:p>
    <w:p>
      <w:r>
        <w:rPr>
          <w:i/>
          <w:sz w:val="18"/>
        </w:rPr>
        <w:t>출처: [EY — Evolving HKTR Requirements (Mar 2025)](https://www.ey.com/content/dam/ey-unified-site/ey-com/en-cn/technical/hong-kong-fsrm-insights/documents/ey-evolving-hktr-requirements-adapting-to-international-standards-and-revamping-reporting-capabilities.pdf)</w:t>
      </w:r>
    </w:p>
    <w:p>
      <w:pPr>
        <w:pStyle w:val="Heading3"/>
      </w:pPr>
      <w:r>
        <w:t>2.6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동향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**Swap Connect 출범**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2023년 5월 15일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국제 투자자가 중국본토 은행간 IRS 시장에 접근할 수 있는 노스바운드 거래 채널; OTC Clear / 상하이청산소를 통해 청산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**Swap Connect 개선**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2024년 5월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IMM 날짜 거래, 단독 압축 서비스, 소급 거래 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**Swap Connect 채권 담보**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역외 투자자가 중앙정부채 및 정책은행채(Bond Connect를 통해 보유)를 담보로 사용하는 것이 허용됨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**Swap Connect 30년물**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6월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노스바운드 Swap Connect에 30년 만기 추가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**Swap Connect 누적 거래량**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4월 기준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15개 시장에서 79개 기관; 12,000건 이상 거래; 총명목금액 약 6.5조 위안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**포지션한도 증가**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7월 2일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HSI/HSCEI/HSTECH 포지션한도 50-108% 증가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**HKTR 보고 개선**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2025년 9월 29일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UTI, UPI, CDE 의무화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**Synapse 플랫폼**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2023년 이후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DAML 스마트계약을 활용한 Stock Connect 결제 가속 플랫폼; DTCC와 협력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**Orion Derivatives Platform (ODP)**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개발 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차세대 파생상품 거래 플랫폼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**사우스바운드 Swap Connect**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검토 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SFC가 사우스바운드 기능을 검토 중이다</w:t>
            </w:r>
          </w:p>
        </w:tc>
      </w:tr>
    </w:tbl>
    <w:p/>
    <w:p>
      <w:r>
        <w:rPr>
          <w:i/>
          <w:sz w:val="18"/>
        </w:rPr>
        <w:t>출처: [HKEX — Swap Connect Launch](https://www.hkex.com.hk/News/News-Release/2025/250630news?sc_lang=en); [Reed Smith — Swap Connect](https://www.reedsmith.com/en/perspectives/2023/05/hong-kong-stock-exchange-launched-swap-connect); [SFC Speech — Bond Connect Anniversary (Jul 2025)](https://www.sfc.hk/-/media/EN/files/COM/Speech/EN_Bond-Connect-Anniversary_CEO-Speech_Jul-2025.pdf)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싱가포르 (Singapore)</w:t>
      </w:r>
    </w:p>
    <w:p>
      <w:pPr>
        <w:pStyle w:val="Heading3"/>
      </w:pPr>
      <w:r>
        <w:t>3.1 규제 기관 (Regulatory Authorities)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**MAS** (싱가포르 통화청, Monetary Authority of Singapore)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규제기관 + 중앙은행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증권, 은행, 보험, 파생상품, 통화정책 — 단일 통합 규제기관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 RegCo**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자율규제기관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상장시장의 일선 규제; SGX Group의 자회사</w:t>
            </w:r>
          </w:p>
        </w:tc>
      </w:tr>
    </w:tbl>
    <w:p/>
    <w:p>
      <w:pPr>
        <w:pStyle w:val="ListBullet"/>
      </w:pPr>
      <w:r>
        <w:t>싱가포르는 완전 통합형 규제 모델을 사용한다: MAS가 중앙은행이자 금융 규제기관이다.</w:t>
      </w:r>
    </w:p>
    <w:p>
      <w:pPr>
        <w:pStyle w:val="ListBullet"/>
      </w:pPr>
      <w:r>
        <w:t>SGX RegCo는 2017년에 별도 자회사로 설립되어 SGX의 상업적 운영으로부터 규제 기능의 독립성을 강화하였다.</w:t>
      </w:r>
    </w:p>
    <w:p>
      <w:r>
        <w:rPr>
          <w:i/>
          <w:sz w:val="18"/>
        </w:rPr>
        <w:t>출처: [MAS — About MAS](https://www.mas.gov.sg); [SGX RegCo](https://www.sgx.com/regulation/sgx-regco)</w:t>
      </w:r>
    </w:p>
    <w:p>
      <w:pPr>
        <w:pStyle w:val="Heading3"/>
      </w:pPr>
      <w:r>
        <w:t>3.2 주요 법률 (Key Legislation)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법률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**증권선물법 (Securities and Futures Act, SFA)**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2001년 (현행)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증권, 선물 및 파생상품 시장을 규율하는 주요 법률; 인가, 시장행위, 청산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**증권선물(파생상품계약 보고) 규칙 2013**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2013년 (2024년 개정)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파생상품 계약의 의무 보고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**증권선물(인가 및 영업행위) 규칙**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자본시장서비스에 대한 인가 요건</w:t>
            </w:r>
          </w:p>
        </w:tc>
      </w:tr>
    </w:tbl>
    <w:p/>
    <w:p>
      <w:r>
        <w:rPr>
          <w:i/>
          <w:sz w:val="18"/>
        </w:rPr>
        <w:t>출처: [MAS — Securities and Futures Act 2001](https://www.mas.gov.sg/regulation/acts/securities-and-futures-act); [Singapore Statutes Online — SFA](https://sso.agc.gov.sg/SL/SFA2001-RG10)</w:t>
      </w:r>
    </w:p>
    <w:p>
      <w:pPr>
        <w:pStyle w:val="Heading3"/>
      </w:pPr>
      <w:r>
        <w:t>3.3 청산 프레임워크 (Clearing Framework)</w:t>
      </w:r>
    </w:p>
    <w:p>
      <w:r>
        <w:t>중앙청산소(CCP): SGX Derivatives Clearing Limited (SGX-DC)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상장파생상품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SGX 상장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주가지수, FX, 상품, 금리 파생상품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OTC IRS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SGD 및 USD IRS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S$200억 기준 초과 기관에 의무화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OTC FX 청산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NDF, FX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자발적 청산 가능</w:t>
            </w:r>
          </w:p>
        </w:tc>
      </w:tr>
    </w:tbl>
    <w:p/>
    <w:p>
      <w:r>
        <w:t>의무청산 범위:</w:t>
      </w:r>
    </w:p>
    <w:p>
      <w:pPr>
        <w:pStyle w:val="ListBullet"/>
      </w:pPr>
      <w:r>
        <w:t>MAS는 특정 IRS 계약에 대해 의무청산을 시행하였다 (당초 SGD 고정-변동 SOR IRS 및 USD 고정-변동 LIBOR IRS; SORA 기반 벤치마크로 전환).</w:t>
      </w:r>
    </w:p>
    <w:p>
      <w:pPr>
        <w:pStyle w:val="ListBullet"/>
      </w:pPr>
      <w:r>
        <w:t>싱가포르에서 기장된 파생상품에 대해 연속 4개 분기에 걸쳐 측정한 총명목잔액이 S$200억을 초과하는 은행 및 기타 지정인에게 적용된다.</w:t>
      </w:r>
    </w:p>
    <w:p>
      <w:pPr>
        <w:pStyle w:val="ListBullet"/>
      </w:pPr>
      <w:r>
        <w:t>기준 미만의 은행 및 비은행 기관은 면제된다.</w:t>
      </w:r>
    </w:p>
    <w:p>
      <w:r>
        <w:t>SGX-DC는 CFTC에 등록된 파생상품청산기관(DCO)으로서, 미국 고객이 SGX 청산 상품에 접근하는 것을 가능하게 한다.</w:t>
      </w:r>
    </w:p>
    <w:p>
      <w:r>
        <w:rPr>
          <w:i/>
          <w:sz w:val="18"/>
        </w:rPr>
        <w:t>출처: [MAS — Consultation Paper on Mandatory Clearing](https://www.mas.gov.sg/-/media/MAS/News-and-Publications/Consultation-Papers/Consultation-Paper-on-Draft-Regulations-for-Mandatory-Clearing-of-Derivatives-Contracts.pdf); [CFTC — SGX-DC Registration](https://www.cftc.gov/PressRoom/PressReleases/6812-13)</w:t>
      </w:r>
    </w:p>
    <w:p>
      <w:pPr>
        <w:pStyle w:val="Heading3"/>
      </w:pPr>
      <w:r>
        <w:t>3.4 포지션한도 (Position Limits)</w:t>
      </w:r>
    </w:p>
    <w:p>
      <w:pPr>
        <w:pStyle w:val="ListBullet"/>
      </w:pPr>
      <w:r>
        <w:t>포지션한도는 SGX가 거래소 규정 수준에서 설정한다.</w:t>
      </w:r>
    </w:p>
    <w:p>
      <w:pPr>
        <w:pStyle w:val="ListBullet"/>
      </w:pPr>
      <w:r>
        <w:t>SGX는 이중 프레임워크를 사용한다:</w:t>
      </w:r>
    </w:p>
    <w:p>
      <w:pPr>
        <w:pStyle w:val="ListBullet"/>
      </w:pPr>
      <w:r>
        <w:t>포지션한도(Position limits): 투기 계좌의 순포지션에 대한 경성 상한.</w:t>
      </w:r>
    </w:p>
    <w:p>
      <w:pPr>
        <w:pStyle w:val="ListBullet"/>
      </w:pPr>
      <w:r>
        <w:t>책임수준(Accountability levels): 거래소 조회를 발동하지만 추가 포지션을 자동으로 금지하지는 않는 연성 기준.</w:t>
      </w:r>
    </w:p>
    <w:p>
      <w:pPr>
        <w:pStyle w:val="ListBullet"/>
      </w:pPr>
      <w:r>
        <w:t>포지션이 규정 기준을 초과하는 경우 대규모 포지션 보고가 요구된다.</w:t>
      </w:r>
    </w:p>
    <w:p>
      <w:pPr>
        <w:pStyle w:val="ListBullet"/>
      </w:pPr>
      <w:r>
        <w:t>SGX 신청을 통한 헤지 면제가 가능하다.</w:t>
      </w:r>
    </w:p>
    <w:p>
      <w:r>
        <w:rPr>
          <w:i/>
          <w:sz w:val="18"/>
        </w:rPr>
        <w:t>출처: [SGX-DC Clearing Rules](https://rulebook.sgx.com/rulebook/sgx-dc-clearing-rules)</w:t>
      </w:r>
    </w:p>
    <w:p>
      <w:pPr>
        <w:pStyle w:val="Heading3"/>
      </w:pPr>
      <w:r>
        <w:t>3.5 거래보고 (Trade Reporting)</w:t>
      </w:r>
    </w:p>
    <w:p>
      <w:r>
        <w:t>2024년 10월 21일 개혁 (MAS Rewrite):</w:t>
      </w:r>
    </w:p>
    <w:p>
      <w:pPr>
        <w:pStyle w:val="ListBullet"/>
      </w:pPr>
      <w:r>
        <w:t>CPMI-IOSCO 표준과 조화하는 OTC 파생상품 보고 요건의 대대적 개편:</w:t>
      </w:r>
    </w:p>
    <w:p>
      <w:pPr>
        <w:pStyle w:val="ListBullet"/>
      </w:pPr>
      <w:r>
        <w:t>ISO 20022 메시징 표준 채택</w:t>
      </w:r>
    </w:p>
    <w:p>
      <w:pPr>
        <w:pStyle w:val="ListBullet"/>
      </w:pPr>
      <w:r>
        <w:t>영업일 2일 이내 인가 거래저장소에 대한 의무 보고</w:t>
      </w:r>
    </w:p>
    <w:p>
      <w:pPr>
        <w:pStyle w:val="ListBullet"/>
      </w:pPr>
      <w:r>
        <w:t>대상: 싱가포르에서 기장 또는 거래된 금리, 신용, FX, 상품 및 주식 파생상품 계약</w:t>
      </w:r>
    </w:p>
    <w:p>
      <w:pPr>
        <w:pStyle w:val="ListBullet"/>
      </w:pPr>
      <w:r>
        <w:t>재보고 요건: 2024년 10월 21일 기준 잔존 만기 6개월 이상인 모든 미결제 지정 파생상품 계약은 2025년 4월 21일까지 재보고해야 하였다.</w:t>
      </w:r>
    </w:p>
    <w:p>
      <w:r>
        <w:rPr>
          <w:i/>
          <w:sz w:val="18"/>
        </w:rPr>
        <w:t>출처: [MAS — Reporting Guidelines (May 2024)](https://www.mas.gov.sg/-/media/mas/regulations-and-financial-stability/regulations-guidance-and-licensing/securities-futures-and-fund-management/regulations-guidance-and-licensing/guidelines/guidelines-to-the-securities-and-futures-reporting-of-derivatives-contracts-regulations_31-may-2024.pdf); [Rajah &amp; Tann — OTC Reporting Changes (Oct 2024)](https://www.rajahtannasia.com/viewpoints/changes-to-the-otc-derivatives-reporting-regime-commencing-on-21-october-2024/)</w:t>
      </w:r>
    </w:p>
    <w:p>
      <w:pPr>
        <w:pStyle w:val="Heading3"/>
      </w:pPr>
      <w:r>
        <w:t>3.6 최근 동향 (Recent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동향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**GIFT Connect (NSE 연계)**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2023년 7월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GIFT Nifty 출범 — SGX Nifty 파생상품의 인도 GIFT City NSE IX로의 이전; 출범 시 미결제약정 $90억; SGX 회원이 연결 약정을 통해 접근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**연장 거래시간**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2024년 11월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닛케이 파생상품 및 FTSE Blossom Japan Index 선물 거래시간 30분 연장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**OTC 보고 개혁**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2024년 10월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파생상품 보고 대대적 개편 (ISO 20022, UTI, UPI, CDE)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**FX 선물 선도적 지위**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SGX는 아시아 최대 FX 선물 및 옵션 거래소이며; 신규 통화 쌍을 지속 추가 중이다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**CME 상호상쇄**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Group과의 약정으로 한 거래소에서 개설된 선물 포지션을 다른 거래소에서 청산 가능 (유로달러/유로엔 및 닛케이 225 선물)</w:t>
            </w:r>
          </w:p>
        </w:tc>
      </w:tr>
    </w:tbl>
    <w:p/>
    <w:p>
      <w:r>
        <w:rPr>
          <w:i/>
          <w:sz w:val="18"/>
        </w:rPr>
        <w:t>출처: [SGX — GIFT Connect](https://www.sgx.com/derivatives/products/gift-connect); [Phillip Nova — SGX Extended Hours (Nov 2024)](https://www.phillipnova.com.sg/announcement/extension-of-t-session-trading-hours-for-sgx-nikkei-derivatives-and-sgx-ftse-blossom-japan-index-futures/)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비교 분석 (Comparative Analysis)</w:t>
      </w:r>
    </w:p>
    <w:p>
      <w:pPr>
        <w:pStyle w:val="Heading3"/>
      </w:pPr>
      <w:r>
        <w:t>4.1 규제 구조 비교 (Regulatory Structure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**주요 규제기관**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JFSA (금융청)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(증권선물사무감찰위원회)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 (싱가포르 통화청)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FSC (금융위원회)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**규제기관 유형**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내각부 외청 (부처 수준)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독립적 법정기관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통합 규제기관 + 중앙은행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국무총리실 소속 정부 위원회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**감독 조직**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SESC (집행)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SFC 집행부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 (통합)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FSS (금융감독원)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**SRO**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JPX-R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HKEX (이중 역할)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RegCo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(이중 역할: 거래소 + SRO)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**중앙은행 역할**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BOJ — JSCC에 대한 시스템 감독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HKMA — OTC 파생상품(은행)에 대한 공동 규제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MAS가 중앙은행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BOK — 파생상품 규제에서 제한적 직접 역할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**이중 규제기관?**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아니오 (2012년 JFSA 통합 이후)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(OTC 파생상품에 대해 SFC + HKMA)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아니오 (MAS가 완전 통합)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(FSC 정책 + FSS 감독)</w:t>
            </w:r>
          </w:p>
        </w:tc>
      </w:tr>
    </w:tbl>
    <w:p/>
    <w:p>
      <w:r>
        <w:t>주요 구별점:</w:t>
      </w:r>
    </w:p>
    <w:p>
      <w:pPr>
        <w:pStyle w:val="ListBullet"/>
      </w:pPr>
      <w:r>
        <w:t>싱가포르는 중앙은행이 금융 규제기관이기도 한 유일한 완전 통합형 모델이다.</w:t>
      </w:r>
    </w:p>
    <w:p>
      <w:pPr>
        <w:pStyle w:val="ListBullet"/>
      </w:pPr>
      <w:r>
        <w:t>한국은 고유한 이중 구조를 가진다: FSC가 정책을 수립하고 FSS(별도 조직)가 감독 및 검사를 집행한다. 이는 기관 유형(인가법인 vs. 은행)에 기반한 홍콩의 SFC/HKMA 분할과 다르며, 기능(정책 vs. 집행)에 기반한다.</w:t>
      </w:r>
    </w:p>
    <w:p>
      <w:pPr>
        <w:pStyle w:val="ListBullet"/>
      </w:pPr>
      <w:r>
        <w:t>일본은 2012년에 통합을 완료하여, 상품파생상품을 METI/MAFF에서 JFSA로 이관하였다.</w:t>
      </w:r>
    </w:p>
    <w:p>
      <w:pPr>
        <w:pStyle w:val="Heading3"/>
      </w:pPr>
      <w:r>
        <w:t>4.2 포지션한도 접근방식 (Position Limit Approaches)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**한도 설정 기관**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거래소(OSE)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법정(SFC)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거래소(SGX)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거래소(KRX) + FSC 감독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**표시**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계약 수(순)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포지션 델타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계약 수 + 책임수준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계약 수(순); 투자자 유형별 상이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**법정 vs. 거래소 규정**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거래소 규정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법정 (SFO 하위법령)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거래소 규정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FSC 승인에 따른 KRX 규정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**최근 변경**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주요 변경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HSI/HSCEI/HSTECH 한도 50-108% 증가 (2025년 7월)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[최근 주요 변경 보고 없음]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행사가격 범위 확대 (2026년 3월)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**외국인 투자자 대우**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동일한 한도; 등록 필요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동일한 한도; SFC 인가 필요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동일한 한도; MAS 인가 필요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별도 등록; 외국인 ID 시스템; 역사적으로 더 엄격한 검토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**헤지 면제**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 (거래소 신청)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 (SFC 신청)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 (SGX 신청)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가능 (KRX 신청)</w:t>
            </w:r>
          </w:p>
        </w:tc>
      </w:tr>
    </w:tbl>
    <w:p/>
    <w:p>
      <w:pPr>
        <w:pStyle w:val="Heading3"/>
      </w:pPr>
      <w:r>
        <w:t>4.3 청산의무 비교 (Clearing Mandate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**상장파생상품 CCP**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JSCC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HKCC, SEOCH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(수직 통합)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**OTC 파생상품 CCP**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JSCC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OTC Clear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(제한적 OTC 청산)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**의무 OTC 청산 — IRS**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(JPY IRS)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(HKD, USD, EUR, GBP IRS)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(SGD, USD IRS — 기준 초과)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제한적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**의무 OTC 청산 — CDS**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(iTraxx Japan)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의무 CDS 청산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의무 CDS 청산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의무 CDS 청산 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**청산 기준**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지정 FIBO에 적용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지정인과 FSP 간 거래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S$200억 총명목잔액 기준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[규정별 상이]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**거래보고**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(2024년 4월부터 LEI, UTI, CDE)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(2025년 9월부터 UTI, UPI, CDE)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(2024년 10월부터 ISO 20022, UTI, CDE)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 (KRX/FSS에)</w:t>
            </w:r>
          </w:p>
        </w:tc>
      </w:tr>
    </w:tbl>
    <w:p/>
    <w:p>
      <w:r>
        <w:t>주요 패턴:</w:t>
      </w:r>
    </w:p>
    <w:p>
      <w:pPr>
        <w:pStyle w:val="ListBullet"/>
      </w:pPr>
      <w:r>
        <w:t>4개 관할권 모두 의무 OTC IRS 청산을 시행하였으며, 홍콩이 가장 넓은 통화 범위를 포괄한다.</w:t>
      </w:r>
    </w:p>
    <w:p>
      <w:pPr>
        <w:pStyle w:val="ListBullet"/>
      </w:pPr>
      <w:r>
        <w:t>일본은 CDS 청산(iTraxx Japan)을 의무화한 유일한 관할권이다.</w:t>
      </w:r>
    </w:p>
    <w:p>
      <w:pPr>
        <w:pStyle w:val="ListBullet"/>
      </w:pPr>
      <w:r>
        <w:t>싱가포르는 청산의무를 결정하기 위해 정량적 기준(S$200억)을 적용한다.</w:t>
      </w:r>
    </w:p>
    <w:p>
      <w:pPr>
        <w:pStyle w:val="ListBullet"/>
      </w:pPr>
      <w:r>
        <w:t>4개 관할권 모두 최근 CPMI-IOSCO CDE 표준에 맞추어 거래보고를 업그레이드하였다 (2024-2025년 시행 물결).</w:t>
      </w:r>
    </w:p>
    <w:p>
      <w:pPr>
        <w:pStyle w:val="Heading3"/>
      </w:pPr>
      <w:r>
        <w:t>4.4 국경간 약정 (Cross-Border Arrangements)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약정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참여자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**IOSCO MMOU**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4개 관할권 모두 (JFSA, SFC, MAS, FSC/FSS)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정회원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**IOSCO APRC Supervisory MMoU**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JFSA, SFC, MAS, FSC/FSS (APRC 전체 12개 서명국)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정회원; 집행뿐만 아니라 감독 정보 교환을 가능하게 한다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**CFTC — JSCC 면제**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일본 / 미국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JSCC는 DCO 등록 면제; 미국 고객이 JPY-IRS 청산 가능 (2025년 9월)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**CFTC — SGX-DC 등록**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싱가포르 / 미국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SGX-DC가 CFTC DCO로 완전 등록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**CFTC — OTC Clear 면제**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홍콩 / 미국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Clear가 DCO 등록 면제 (2015년 12월)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**ESMA 동등성**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일본, 홍콩, 싱가포르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ESMA가 EMIR에 따라 3개 관할권 모두의 CCP 규제 동등성을 평가하였다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**Swap Connect**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홍콩 / 중국본토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노스바운드 운영 중 (2023년 5월); 사우스바운드 검토 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**GIFT Connect**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싱가포르 / 인도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SGX-NSE IX 연결 (2023년 7월)</w:t>
            </w:r>
          </w:p>
        </w:tc>
      </w:tr>
    </w:tbl>
    <w:p/>
    <w:p>
      <w:pPr>
        <w:pStyle w:val="ListBullet"/>
      </w:pPr>
      <w:r>
        <w:t>4개 관할권 모두 IOSCO MMOU 및 APRC Supervisory MMoU 서명국으로서, 국경간 집행 및 감독 협력을 촉진한다.</w:t>
      </w:r>
    </w:p>
    <w:p>
      <w:pPr>
        <w:pStyle w:val="ListBullet"/>
      </w:pPr>
      <w:r>
        <w:t>국경간 CCP 인정이 잘 확립되어 있다: JSCC, OTC Clear, SGX-DC 모두 CFTC 면제/등록 지위를 가지고 있으며 ESMA 동등성 평가를 받았다.</w:t>
      </w:r>
    </w:p>
    <w:p>
      <w:pPr>
        <w:pStyle w:val="ListBullet"/>
      </w:pPr>
      <w:r>
        <w:t>한국의 KRX는 KOSPI 200 상품에 대해 Eurex와 협력 약정을 맺은 바 있으나, Eurex는 자사 KOSPI 파생상품의 거래 승인을 취소하였다 [미확인 — 구체적 시점].</w:t>
      </w:r>
    </w:p>
    <w:p>
      <w:r>
        <w:rPr>
          <w:i/>
          <w:sz w:val="18"/>
        </w:rPr>
        <w:t>출처: [JFSA — APRC MMoU (Nov 2022)](https://www.fsa.go.jp/en/news/2022/20221111-3/20221111-3.html); [SFC — IOSCO MMOU](https://www.sfc.hk/en/About-the-SFC/Regulatory-collaboration/International/IOSCO-MMOU); [FSC — APRC MMoU](https://www.fsc.go.kr/eng/pr010101/81856)</w:t>
      </w:r>
    </w:p>
    <w:p>
      <w:pPr>
        <w:pStyle w:val="Heading3"/>
      </w:pPr>
      <w:r>
        <w:t>4.5 한국 프레임워크와의 주요 차이 (Key Differences from Korean Framework)</w:t>
      </w:r>
    </w:p>
    <w:p>
      <w:r>
        <w:t>한국의 파생상품 규제 프레임워크는 다른 3개 관할권과 비교하여 여러 특징적인 요소를 가지고 있다:</w:t>
      </w:r>
    </w:p>
    <w:p>
      <w:pPr>
        <w:pStyle w:val="Heading4"/>
      </w:pPr>
      <w:r>
        <w:t>4.5.1 FSC/FSS 이중 구조</w:t>
      </w:r>
    </w:p>
    <w:p>
      <w:pPr>
        <w:pStyle w:val="ListBullet"/>
      </w:pPr>
      <w:r>
        <w:t>한국의 FSC (정책 수립)와 FSS (감독/검사) 분리는 홍콩의 SFC/HKMA 분리와 기능적으로 다르다. 홍콩은 기관 유형(인가법인 vs. 은행)으로 구분하고, 한국은 기능(정책 vs. 집행)으로 구분한다.</w:t>
      </w:r>
    </w:p>
    <w:p>
      <w:pPr>
        <w:pStyle w:val="ListBullet"/>
      </w:pPr>
      <w:r>
        <w:t>FSS는 정부기관이 아닌 특수법인으로서, 독특한 제도적 역학을 만들어낸다.</w:t>
      </w:r>
    </w:p>
    <w:p>
      <w:pPr>
        <w:pStyle w:val="ListBullet"/>
      </w:pPr>
      <w:r>
        <w:t>일본과 싱가포르에서는 이러한 기능이 단일 기관(JFSA와 MAS)에 통합되어 있다.</w:t>
      </w:r>
    </w:p>
    <w:p>
      <w:pPr>
        <w:pStyle w:val="Heading4"/>
      </w:pPr>
      <w:r>
        <w:t>4.5.2 수직 통합형 거래소 + CCP로서의 KRX</w:t>
      </w:r>
    </w:p>
    <w:p>
      <w:pPr>
        <w:pStyle w:val="ListBullet"/>
      </w:pPr>
      <w:r>
        <w:t>KRX는 거래소와 CCP를 모두 운영한다 (수직 사일로 모델), HKEX의 구조와 유사하다.</w:t>
      </w:r>
    </w:p>
    <w:p>
      <w:pPr>
        <w:pStyle w:val="ListBullet"/>
      </w:pPr>
      <w:r>
        <w:t>이는 JPX(거래소 지주회사)와 JSCC(CCP)가 별도 법인인 일본과 대조된다 (다만 JSCC는 JPX 자회사).</w:t>
      </w:r>
    </w:p>
    <w:p>
      <w:pPr>
        <w:pStyle w:val="ListBullet"/>
      </w:pPr>
      <w:r>
        <w:t>SGX도 수직 사일로 모델을 사용하나(SGX-DC가 자회사), MAS는 SGX RegCo를 통해 규제적 분리를 유지해 왔다.</w:t>
      </w:r>
    </w:p>
    <w:p>
      <w:pPr>
        <w:pStyle w:val="ListBullet"/>
      </w:pPr>
      <w:r>
        <w:t>수직 통합 논의는 KRX가 한국 파생상품의 유일한 거래소이자 CCP로서 독점적 지위를 가지고 있다는 점에서 특히 관련이 있다.</w:t>
      </w:r>
    </w:p>
    <w:p>
      <w:pPr>
        <w:pStyle w:val="Heading4"/>
      </w:pPr>
      <w:r>
        <w:t>4.5.3 KOSPI 200 파생상품 포지션한도</w:t>
      </w:r>
    </w:p>
    <w:p>
      <w:pPr>
        <w:pStyle w:val="ListBullet"/>
      </w:pPr>
      <w:r>
        <w:t>한국은 역사적으로 투자자 유형별(개인, 기관, 외국인) 차별화된 포지션한도를 적용해 왔으며, 2011년 옵션 승수 인상(100,000원에서 500,000원) 이후 개인투자자에 대해 특히 엄격한 KOSPI 200 옵션 한도를 적용하고 있다.</w:t>
      </w:r>
    </w:p>
    <w:p>
      <w:pPr>
        <w:pStyle w:val="ListBullet"/>
      </w:pPr>
      <w:r>
        <w:t>이러한 투자자 유형별 접근방식은 일본, 홍콩, 싱가포르보다 세분화되어 있으며, 이 관할권들에서는 투자자 유형에 관계없이 한도가 일반적으로 동일하다 (시장조성자 면제는 어디에서나 적용).</w:t>
      </w:r>
    </w:p>
    <w:p>
      <w:pPr>
        <w:pStyle w:val="ListBullet"/>
      </w:pPr>
      <w:r>
        <w:t>2026년 3월: KRX가 KOSPI 200 옵션의 행사가격 범위를 +/-80에서 +/-120포인트로 확대하였다 (최근월물 제1~제3, Mini KOSPI 200 옵션에도 유사하게 적용).</w:t>
      </w:r>
    </w:p>
    <w:p>
      <w:pPr>
        <w:pStyle w:val="Heading4"/>
      </w:pPr>
      <w:r>
        <w:t>4.5.4 외국인 투자자 접근</w:t>
      </w:r>
    </w:p>
    <w:p>
      <w:pPr>
        <w:pStyle w:val="ListBullet"/>
      </w:pPr>
      <w:r>
        <w:t>한국은 외국인 투자자가 파생상품을 거래하기 전에 FSS로부터 고유한 투자자등록증(Investor Registration Certificate, IRC)을 취득하도록 요구한다.</w:t>
      </w:r>
    </w:p>
    <w:p>
      <w:pPr>
        <w:pStyle w:val="ListBullet"/>
      </w:pPr>
      <w:r>
        <w:t>이는 다음과 대조된다:</w:t>
      </w:r>
    </w:p>
    <w:p>
      <w:pPr>
        <w:pStyle w:val="ListBullet"/>
      </w:pPr>
      <w:r>
        <w:t>일본: 외국인 투자자가 인가 FIBO를 통해 접근; 별도 투자자 등록 없음</w:t>
      </w:r>
    </w:p>
    <w:p>
      <w:pPr>
        <w:pStyle w:val="ListBullet"/>
      </w:pPr>
      <w:r>
        <w:t>홍콩: 인가 중개기관을 통해 접근; 별도 투자자 등록 없음</w:t>
      </w:r>
    </w:p>
    <w:p>
      <w:pPr>
        <w:pStyle w:val="ListBullet"/>
      </w:pPr>
      <w:r>
        <w:t>싱가포르: 인가 자본시장서비스 제공자를 통해 접근; 별도 투자자 등록 없음</w:t>
      </w:r>
    </w:p>
    <w:p>
      <w:pPr>
        <w:pStyle w:val="ListBullet"/>
      </w:pPr>
      <w:r>
        <w:t>한국의 IRC 제도는 외국인 포지션의 계좌 수준 추적을 가능하게 하지만, 다른 3개 시장에는 없는 행정적 계층을 추가한다.</w:t>
      </w:r>
    </w:p>
    <w:p>
      <w:pPr>
        <w:pStyle w:val="Heading4"/>
      </w:pPr>
      <w:r>
        <w:t>4.5.5 규제 거버넌스 (Regulatory Governance)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한국 (FSC/FSS/KRX)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홍콩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싱가포르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자본시장법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자본시장법 (FSCMA, 2009년)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FIEA (2006년)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SFO (2003년)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SFA (2001년)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거래소 거버넌스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(회원소유, 준공공)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JPX (상장)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HKEX (상장)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(상장)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CCP 거버넌스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(동일 법인)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JSCC (JPX 자회사)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HKCC/OTC Clear (HKEX 자회사)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SGX-DC (SGX 자회사)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시장감시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KRX (계좌 기반)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JPX-R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HKEX + SFC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RegCo + MAS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OTC 청산 발전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확립 (IRS, CDS)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확립 (IRS, NDF, CCS)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확립 (IRS, FX)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요약 및 전망 (Summary &amp; Outlook)</w:t>
      </w:r>
    </w:p>
    <w:p>
      <w:pPr>
        <w:pStyle w:val="Heading3"/>
      </w:pPr>
      <w:r>
        <w:t>5.1 수렴 추세 (Convergence Trends)</w:t>
      </w:r>
    </w:p>
    <w:p>
      <w:r>
        <w:t>4개 관할권 모두 여러 측면에서 수렴하고 있다:</w:t>
      </w:r>
    </w:p>
    <w:p>
      <w:pPr>
        <w:pStyle w:val="ListNumber"/>
      </w:pPr>
      <w:r>
        <w:t>거래보고 조화: 2024-2025년에 모두 CPMI-IOSCO CDE, UTI, UPI 표준을 채택하였다.</w:t>
      </w:r>
    </w:p>
    <w:p>
      <w:pPr>
        <w:pStyle w:val="ListNumber"/>
      </w:pPr>
      <w:r>
        <w:t>OTC 청산의무: 모두 의무 IRS 청산을 시행하고 있으나, 범위와 기준은 상이하다.</w:t>
      </w:r>
    </w:p>
    <w:p>
      <w:pPr>
        <w:pStyle w:val="ListNumber"/>
      </w:pPr>
      <w:r>
        <w:t>IOSCO 참여: 모두 MMOU 및 APRC Supervisory MMoU의 정회원이다.</w:t>
      </w:r>
    </w:p>
    <w:p>
      <w:pPr>
        <w:pStyle w:val="ListNumber"/>
      </w:pPr>
      <w:r>
        <w:t>국경간 CCP 인정: 주요 서방 상대기관(CFTC, ESMA)과의 상호인정 프레임워크가 잘 확립되어 있다.</w:t>
      </w:r>
    </w:p>
    <w:p>
      <w:pPr>
        <w:pStyle w:val="Heading3"/>
      </w:pPr>
      <w:r>
        <w:t>5.2 분화 지점 (Divergence Points)</w:t>
      </w:r>
    </w:p>
    <w:p>
      <w:pPr>
        <w:pStyle w:val="ListNumber"/>
      </w:pPr>
      <w:r>
        <w:t>규제 구조: 완전 통합형(싱가포르/MAS)부터 기능 분리형(한국/FSC+FSS), 기관유형 분리형(홍콩/SFC+HKMA)까지 다양하다.</w:t>
      </w:r>
    </w:p>
    <w:p>
      <w:pPr>
        <w:pStyle w:val="ListNumber"/>
      </w:pPr>
      <w:r>
        <w:t>포지션한도 권한: 법정(홍콩) vs. 거래소 수준(일본, 싱가포르, 한국).</w:t>
      </w:r>
    </w:p>
    <w:p>
      <w:pPr>
        <w:pStyle w:val="ListNumber"/>
      </w:pPr>
      <w:r>
        <w:t>외국인 투자자 접근: 한국의 IRC 제도는 다른 3개 관할권보다 제한적이다.</w:t>
      </w:r>
    </w:p>
    <w:p>
      <w:pPr>
        <w:pStyle w:val="ListNumber"/>
      </w:pPr>
      <w:r>
        <w:t>거래소 구조: KRX의 독점적 준공공 모델은 다른 3개 관할권의 상장 거래소 그룹과 다르다.</w:t>
      </w:r>
    </w:p>
    <w:p>
      <w:pPr>
        <w:pStyle w:val="Heading3"/>
      </w:pPr>
      <w:r>
        <w:t>5.3 주요 관전포인트 (2026-2027) (Key Watchpoints)</w:t>
      </w:r>
    </w:p>
    <w:p>
      <w:pPr>
        <w:pStyle w:val="ListBullet"/>
      </w:pPr>
      <w:r>
        <w:t>일본: FIEA 2024년 개정 2026년 5월 시행; TONA 선물 시장의 지속적 발전</w:t>
      </w:r>
    </w:p>
    <w:p>
      <w:pPr>
        <w:pStyle w:val="ListBullet"/>
      </w:pPr>
      <w:r>
        <w:t>홍콩: 사우스바운드 Swap Connect 개발; 청산 규칙 산정 기간 개정 (2027년 3월 시행 제안); ODP 플랫폼 출시</w:t>
      </w:r>
    </w:p>
    <w:p>
      <w:pPr>
        <w:pStyle w:val="ListBullet"/>
      </w:pPr>
      <w:r>
        <w:t>싱가포르: FX 선물 상품군의 지속적 확대; 의무청산 기준 갱신 가능성</w:t>
      </w:r>
    </w:p>
    <w:p>
      <w:pPr>
        <w:pStyle w:val="ListBullet"/>
      </w:pPr>
      <w:r>
        <w:t>한국: KRX IPO가 규제 구조에 미칠 잠재적 영향; 지속적인 파생상품 시장 개혁; 외국인 투자자 접근 현대화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[Chambers — Derivatives 2025: Japan](https://practiceguides.chambers.com/practice-guides/derivatives-2025/japan)</w:t>
      </w:r>
    </w:p>
    <w:p>
      <w:pPr>
        <w:pStyle w:val="ListBullet"/>
      </w:pPr>
      <w:r>
        <w:t>[ICLG — Derivatives 2025-2026: Japan](https://iclg.com/practice-areas/derivatives-laws-and-regulations/japan)</w:t>
      </w:r>
    </w:p>
    <w:p>
      <w:pPr>
        <w:pStyle w:val="ListBullet"/>
      </w:pPr>
      <w:r>
        <w:t>[ICLG — Derivatives 2025-2026: Hong Kong](https://iclg.com/practice-areas/derivatives-laws-and-regulations/hong-kong)</w:t>
      </w:r>
    </w:p>
    <w:p>
      <w:pPr>
        <w:pStyle w:val="ListBullet"/>
      </w:pPr>
      <w:r>
        <w:t>[Chambers — Financial Services Regulation 2025: South Korea](https://practiceguides.chambers.com/practice-guides/financial-services-regulation-2025/south-korea)</w:t>
      </w:r>
    </w:p>
    <w:p>
      <w:pPr>
        <w:pStyle w:val="ListBullet"/>
      </w:pPr>
      <w:r>
        <w:t>[JSCC — OTC Derivatives Clearing](https://www.jpx.co.jp/jscc/en/otc/index.html)</w:t>
      </w:r>
    </w:p>
    <w:p>
      <w:pPr>
        <w:pStyle w:val="ListBullet"/>
      </w:pPr>
      <w:r>
        <w:t>[SFC — OTC Derivatives Regime](https://www.sfc.hk/en/faqs/OTC-derivatives)</w:t>
      </w:r>
    </w:p>
    <w:p>
      <w:pPr>
        <w:pStyle w:val="ListBullet"/>
      </w:pPr>
      <w:r>
        <w:t>[MAS — Securities and Futures Act](https://www.mas.gov.sg/regulation/acts/securities-and-futures-act)</w:t>
      </w:r>
    </w:p>
    <w:p>
      <w:pPr>
        <w:pStyle w:val="ListBullet"/>
      </w:pPr>
      <w:r>
        <w:t>[HKMA — Clearing Rules Consultation (Jan 2026)](https://www.hkma.gov.hk/eng/news-and-media/press-releases/2026/01/20260129-4/)</w:t>
      </w:r>
    </w:p>
    <w:p>
      <w:pPr>
        <w:pStyle w:val="ListBullet"/>
      </w:pPr>
      <w:r>
        <w:t>[SFC — Position Limit Increases (Jun 2025)](https://apps.sfc.hk/edistributionWeb/gateway/EN/news-and-announcements/news/doc?refNo=25PR100)</w:t>
      </w:r>
    </w:p>
    <w:p>
      <w:pPr>
        <w:pStyle w:val="ListBullet"/>
      </w:pPr>
      <w:r>
        <w:t>[CFTC — JSCC Letter No. 25-32 (Sep 2025)](https://www.cftc.gov/csl/25-32/download)</w:t>
      </w:r>
    </w:p>
    <w:p>
      <w:pPr>
        <w:pStyle w:val="ListBullet"/>
      </w:pPr>
      <w:r>
        <w:t>[JPX — TONA Futures Records](https://www.jpx.co.jp/english/corporate/news/news-releases/2041/20250314-01.html)</w:t>
      </w:r>
    </w:p>
    <w:p>
      <w:pPr>
        <w:pStyle w:val="ListBullet"/>
      </w:pPr>
      <w:r>
        <w:t>[HKEX — Swap Connect 30-Year Launch (Jun 2025)](https://www.hkex.com.hk/News/News-Release/2025/250630news?sc_lang=en)</w:t>
      </w:r>
    </w:p>
    <w:p>
      <w:pPr>
        <w:pStyle w:val="ListBullet"/>
      </w:pPr>
      <w:r>
        <w:t>[SGX — GIFT Connect](https://www.sgx.com/derivatives/products/gift-connect)</w:t>
      </w:r>
    </w:p>
    <w:p>
      <w:pPr>
        <w:pStyle w:val="ListBullet"/>
      </w:pPr>
      <w:r>
        <w:t>[MAS — OTC Derivatives Reporting Guidelines](https://www.mas.gov.sg/regulation/guidelines/guidelines-on-reporting-of-otc-derivatives-contracts-sfa-06a-g01)</w:t>
      </w:r>
    </w:p>
    <w:p>
      <w:pPr>
        <w:pStyle w:val="ListBullet"/>
      </w:pPr>
      <w:r>
        <w:t>[Rajah &amp; Tann — MAS OTC Reporting Changes (Oct 2024)](https://www.rajahtannasia.com/viewpoints/changes-to-the-otc-derivatives-reporting-regime-commencing-on-21-october-2024/)</w:t>
      </w:r>
    </w:p>
    <w:p>
      <w:pPr>
        <w:pStyle w:val="ListBullet"/>
      </w:pPr>
      <w:r>
        <w:t>[JFSA — APRC Supervisory MMoU](https://www.fsa.go.jp/en/news/2022/20221111-3/20221111-3.html)</w:t>
      </w:r>
    </w:p>
    <w:p>
      <w:pPr>
        <w:pStyle w:val="ListBullet"/>
      </w:pPr>
      <w:r>
        <w:t>[FSC Korea — Press Releases](https://www.fsc.go.kr/eng/pr010101)</w:t>
      </w:r>
    </w:p>
    <w:p>
      <w:pPr>
        <w:pStyle w:val="ListBullet"/>
      </w:pPr>
      <w:r>
        <w:t>[FIA — JPX Extended Hours](https://www.fia.org/marketvoice/articles/market-never-sleeps-success-extended-trading-hours-jpx)</w:t>
      </w:r>
    </w:p>
    <w:p>
      <w:pPr>
        <w:pStyle w:val="ListBullet"/>
      </w:pPr>
      <w:r>
        <w:t>[KRX — KOSPI 200 Options Expansion (Mar 2026)](https://en.sedaily.com/news/2026/03/11/krx-expands-kospi-200-options-strike-prices-to-ease-trading)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