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 파생상품 규제 (EU Derivatives Regulation)</w:t>
      </w:r>
    </w:p>
    <w:p>
      <w:r>
        <w:rPr>
          <w:i/>
          <w:sz w:val="18"/>
        </w:rPr>
        <w:t>**최종 업데이트:** 2026-04-07</w:t>
      </w:r>
    </w:p>
    <w:p>
      <w:r>
        <w:rPr>
          <w:i/>
          <w:sz w:val="18"/>
        </w:rPr>
        <w:t>**분야:** 파생상품 — 규제 프레임워크 (Regulatory Framework)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규제 기관 (Regulatory Authorities)</w:t>
      </w:r>
    </w:p>
    <w:p>
      <w:pPr>
        <w:pStyle w:val="Heading3"/>
      </w:pPr>
      <w:r>
        <w:t>1.1 유럽위원회 (European Commission)</w:t>
      </w:r>
    </w:p>
    <w:p>
      <w:pPr>
        <w:pStyle w:val="ListBullet"/>
      </w:pPr>
      <w:r>
        <w:t>파생상품 시장에 대한 입법 조치를 발의하고 제안한다 (예: EMIR, MiFID II/MiFIR)</w:t>
      </w:r>
    </w:p>
    <w:p>
      <w:pPr>
        <w:pStyle w:val="ListBullet"/>
      </w:pPr>
      <w:r>
        <w:t>ESMA 초안에 기반하여 위임법률(delegated acts) 및 이행법률(implementing acts) (규제기술표준(RTS), 이행기술표준(ITS))을 채택한다</w:t>
      </w:r>
    </w:p>
    <w:p>
      <w:pPr>
        <w:pStyle w:val="ListBullet"/>
      </w:pPr>
      <w:r>
        <w:t>제3국 규제체제에 대한 동등성 결정(equivalence decisions)을 발행한다</w:t>
      </w:r>
    </w:p>
    <w:p>
      <w:pPr>
        <w:pStyle w:val="ListBullet"/>
      </w:pPr>
      <w:r>
        <w:t>입법 검토 및 영향평가를 담당한다 (예: EMIR 개정 제안)</w:t>
      </w:r>
    </w:p>
    <w:p>
      <w:pPr>
        <w:pStyle w:val="Heading3"/>
      </w:pPr>
      <w:r>
        <w:t>1.2 ESMA (유럽증권시장감독청, European Securities and Markets Authority)</w:t>
      </w:r>
    </w:p>
    <w:p>
      <w:pPr>
        <w:pStyle w:val="ListBullet"/>
      </w:pPr>
      <w:r>
        <w:t>감독 조율: EU 전역에서 NCA들의 파생상품 시장 감독을 조율한다</w:t>
      </w:r>
    </w:p>
    <w:p>
      <w:pPr>
        <w:pStyle w:val="ListBullet"/>
      </w:pPr>
      <w:r>
        <w:t>직접 CCP 감독: EMIR 2.2 및 EMIR 3.0에 따라 Tier 2 제3국 CCP(중앙청산소)를 직접 감독하며, 리스크 모델, 유동성 및 운영리스크를 모니터링한다</w:t>
      </w:r>
    </w:p>
    <w:p>
      <w:pPr>
        <w:pStyle w:val="ListBullet"/>
      </w:pPr>
      <w:r>
        <w:t>기술표준: 위원회 채택을 위해 RTS 및 ITS를 초안한다 (청산의무, 보고 형식, CCP 요건)</w:t>
      </w:r>
    </w:p>
    <w:p>
      <w:pPr>
        <w:pStyle w:val="ListBullet"/>
      </w:pPr>
      <w:r>
        <w:t>제3국 CCP 인정: 계층 구분(Tier 1 vs Tier 2)을 결정하고 인정을 부여하거나 거부한다</w:t>
      </w:r>
    </w:p>
    <w:p>
      <w:pPr>
        <w:pStyle w:val="ListBullet"/>
      </w:pPr>
      <w:r>
        <w:t>데이터 및 투명성: 거래저장소, 통합시세정보제공자(CTP) 선정 및 데이터 품질을 감독한다</w:t>
      </w:r>
    </w:p>
    <w:p>
      <w:pPr>
        <w:pStyle w:val="ListBullet"/>
      </w:pPr>
      <w:r>
        <w:t>포지션한도: MiFID II에 따라 상품파생상품 포지션한도 프레임워크를 수립한다</w:t>
      </w:r>
    </w:p>
    <w:p>
      <w:pPr>
        <w:pStyle w:val="ListBullet"/>
      </w:pPr>
      <w:r>
        <w:t>설립: 2011년, 파리 소재</w:t>
      </w:r>
    </w:p>
    <w:p>
      <w:pPr>
        <w:pStyle w:val="Heading3"/>
      </w:pPr>
      <w:r>
        <w:t>1.3 각국 감독기관 (National Competent Authorities, NCAs)</w:t>
      </w:r>
    </w:p>
    <w:p>
      <w:r>
        <w:t>주요 NCA는 다음과 같다: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NCA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국가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역할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**BaFin**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 참여자 감독, 독일 은행의 파생상품 익스포저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**AMF** (금융시장감독청, Autorité des Marchés Financiers)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프랑스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파생상품 감독, 프랑스 시장 참여자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**CONSOB**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이탈리아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이탈리아 파생상품 시장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**CNMV**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스페인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스페인 파생상품 규제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**AFM**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네덜란드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네덜란드 파생상품 시장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**DNB** (네덜란드 중앙은행, De Nederlandsche Bank)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네덜란드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네덜란드 CCP의 건전성 감독</w:t>
            </w:r>
          </w:p>
        </w:tc>
      </w:tr>
    </w:tbl>
    <w:p/>
    <w:p>
      <w:pPr>
        <w:pStyle w:val="ListBullet"/>
      </w:pPr>
      <w:r>
        <w:t>NCA는 감독기관 합의체(colleges of supervisors)의 지원을 받아 EMIR에 따라 EU CCP를 인가한다</w:t>
      </w:r>
    </w:p>
    <w:p>
      <w:pPr>
        <w:pStyle w:val="ListBullet"/>
      </w:pPr>
      <w:r>
        <w:t>NCA는 MiFID II에 따라 상품파생상품의 포지션한도를 설정하고 집행한다 (ESMA가 직접적 역할을 하는 핵심/중요 계약 제외)</w:t>
      </w:r>
    </w:p>
    <w:p>
      <w:pPr>
        <w:pStyle w:val="ListBullet"/>
      </w:pPr>
      <w:r>
        <w:t>NCA는 파생상품 관련 시장남용을 포함하여 MAR 조항을 집행한다</w:t>
      </w:r>
    </w:p>
    <w:p>
      <w:pPr>
        <w:pStyle w:val="Heading3"/>
      </w:pPr>
      <w:r>
        <w:t>1.4 ECB / ESCB (유럽중앙은행 / 유럽중앙은행시스템)</w:t>
      </w:r>
    </w:p>
    <w:p>
      <w:pPr>
        <w:pStyle w:val="ListBullet"/>
      </w:pPr>
      <w:r>
        <w:t>CCP 및 파생상품 시장에 대한 시스템리스크 모니터링</w:t>
      </w:r>
    </w:p>
    <w:p>
      <w:pPr>
        <w:pStyle w:val="ListBullet"/>
      </w:pPr>
      <w:r>
        <w:t>CCP 감독 합의체에 참여한다 (특히 유로화 표시 청산)</w:t>
      </w:r>
    </w:p>
    <w:p>
      <w:pPr>
        <w:pStyle w:val="ListBullet"/>
      </w:pPr>
      <w:r>
        <w:t>CCP 인가 및 인정에 관한 발행중앙은행(central bank of issue) 의견을 제공한다</w:t>
      </w:r>
    </w:p>
    <w:p>
      <w:pPr>
        <w:pStyle w:val="ListBullet"/>
      </w:pPr>
      <w:r>
        <w:t>EMIR 3.0은 유로화 표시 상품에 대한 제3국 CCP 감독에서 ECB의 참여를 강화한다</w:t>
      </w:r>
    </w:p>
    <w:p>
      <w:pPr>
        <w:pStyle w:val="Heading3"/>
      </w:pPr>
      <w:r>
        <w:t>1.5 ESRB (유럽시스템리스크위원회, European Systemic Risk Board)</w:t>
      </w:r>
    </w:p>
    <w:p>
      <w:pPr>
        <w:pStyle w:val="ListBullet"/>
      </w:pPr>
      <w:r>
        <w:t>EU 파생상품 시장에 대한 거시건전성 감독</w:t>
      </w:r>
    </w:p>
    <w:p>
      <w:pPr>
        <w:pStyle w:val="ListBullet"/>
      </w:pPr>
      <w:r>
        <w:t>파생상품 익스포저에서 발생하는 시스템리스크에 관한 경고 및 권고를 발행한다</w:t>
      </w:r>
    </w:p>
    <w:p>
      <w:pPr>
        <w:pStyle w:val="ListBullet"/>
      </w:pPr>
      <w:r>
        <w:t>CCP 스트레스 테스트 및 시스템리스크 평가에 대해 ESMA와 조율한다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주요 법률 (Key Legislation)</w:t>
      </w:r>
    </w:p>
    <w:p>
      <w:pPr>
        <w:pStyle w:val="Heading3"/>
      </w:pPr>
      <w:r>
        <w:t>2.1 EMIR (유럽시장인프라규정, European Market Infrastructure Regulation)</w:t>
      </w:r>
    </w:p>
    <w:p>
      <w:pPr>
        <w:pStyle w:val="Heading4"/>
      </w:pPr>
      <w:r>
        <w:t>2.1.1 최초 EMIR — Regulation (EU) No 648/2012</w:t>
      </w:r>
    </w:p>
    <w:p>
      <w:pPr>
        <w:pStyle w:val="ListBullet"/>
      </w:pPr>
      <w:r>
        <w:t>채택: 2012년 7월 4일; 시행: 2012년 8월 16일</w:t>
      </w:r>
    </w:p>
    <w:p>
      <w:pPr>
        <w:pStyle w:val="ListBullet"/>
      </w:pPr>
      <w:r>
        <w:t>핵심 축:</w:t>
      </w:r>
    </w:p>
    <w:p>
      <w:pPr>
        <w:pStyle w:val="ListBullet"/>
      </w:pPr>
      <w:r>
        <w:t>청산의무: 인가 또는 인정된 CCP를 통한 표준화된 OTC 파생상품의 의무적 중앙청산</w:t>
      </w:r>
    </w:p>
    <w:p>
      <w:pPr>
        <w:pStyle w:val="ListBullet"/>
      </w:pPr>
      <w:r>
        <w:t>거래보고: 모든 파생상품 계약(OTC 및 장내거래)을 인가된 거래저장소에 보고</w:t>
      </w:r>
    </w:p>
    <w:p>
      <w:pPr>
        <w:pStyle w:val="ListBullet"/>
      </w:pPr>
      <w:r>
        <w:t>비청산 OTC 파생상품의 리스크 경감: 적시 확인, 포트폴리오 조정 및 압축, 분쟁 해결, 일일 시가평가/모델평가, 담보물 교환 (양자간 증거금)</w:t>
      </w:r>
    </w:p>
    <w:p>
      <w:pPr>
        <w:pStyle w:val="ListBullet"/>
      </w:pPr>
      <w:r>
        <w:t>CCP 인가: 자본, 거버넌스, 리스크 관리, 부도 절차를 포함한 EU CCP 인가의 포괄적 요건</w:t>
      </w:r>
    </w:p>
    <w:p>
      <w:pPr>
        <w:pStyle w:val="ListBullet"/>
      </w:pPr>
      <w:r>
        <w:t>거래상대방 분류:</w:t>
      </w:r>
    </w:p>
    <w:p>
      <w:pPr>
        <w:pStyle w:val="ListBullet"/>
      </w:pPr>
      <w:r>
        <w:t>금융 거래상대방(Financial Counterparties, FC): 은행, 투자회사, 보험사, UCITS, AIF, 연금기금, CCP</w:t>
      </w:r>
    </w:p>
    <w:p>
      <w:pPr>
        <w:pStyle w:val="ListBullet"/>
      </w:pPr>
      <w:r>
        <w:t>비금융 거래상대방(Non-Financial Counterparties, NFC): FC에 해당하지 않는 EU 내 설립된 모든 기업</w:t>
      </w:r>
    </w:p>
    <w:p>
      <w:pPr>
        <w:pStyle w:val="ListBullet"/>
      </w:pPr>
      <w:r>
        <w:t>NFC+: 청산 기준을 초과하는 NFC; NFC-: 기준 미만의 NFC</w:t>
      </w:r>
    </w:p>
    <w:p>
      <w:pPr>
        <w:pStyle w:val="Heading4"/>
      </w:pPr>
      <w:r>
        <w:t>2.1.2 EMIR 2.2 — Regulation (EU) 2019/2099</w:t>
      </w:r>
    </w:p>
    <w:p>
      <w:pPr>
        <w:pStyle w:val="ListBullet"/>
      </w:pPr>
      <w:r>
        <w:t>채택: 2019년 10월 23일</w:t>
      </w:r>
    </w:p>
    <w:p>
      <w:pPr>
        <w:pStyle w:val="ListBullet"/>
      </w:pPr>
      <w:r>
        <w:t>제3국 CCP에 대한 ESMA의 직접 감독 권한을 강화하였다</w:t>
      </w:r>
    </w:p>
    <w:p>
      <w:pPr>
        <w:pStyle w:val="ListBullet"/>
      </w:pPr>
      <w:r>
        <w:t>제3국 CCP에 대한 계층 프레임워크(tiering framework)를 도입하였다:</w:t>
      </w:r>
    </w:p>
    <w:p>
      <w:pPr>
        <w:pStyle w:val="ListBullet"/>
      </w:pPr>
      <w:r>
        <w:t>Tier 1: 시스템적으로 중요하지 않은 CCP; 지속적인 준수 모니터링과 함께 인정 대상</w:t>
      </w:r>
    </w:p>
    <w:p>
      <w:pPr>
        <w:pStyle w:val="ListBullet"/>
      </w:pPr>
      <w:r>
        <w:t>Tier 2: EU 금융안정에 시스템적으로 중요한(또는 중요해질 가능성이 있는) CCP; ESMA의 직접 감독 및 EMIR 요건 준수 대상</w:t>
      </w:r>
    </w:p>
    <w:p>
      <w:pPr>
        <w:pStyle w:val="ListBullet"/>
      </w:pPr>
      <w:r>
        <w:t>발행중앙은행의 CCP 감독 역할을 강화하였다</w:t>
      </w:r>
    </w:p>
    <w:p>
      <w:pPr>
        <w:pStyle w:val="ListBullet"/>
      </w:pPr>
      <w:r>
        <w:t>ESMA 내 CCP 감독위원회(CCP Supervisory Committee)를 설립하였다</w:t>
      </w:r>
    </w:p>
    <w:p>
      <w:pPr>
        <w:pStyle w:val="Heading4"/>
      </w:pPr>
      <w:r>
        <w:t>2.1.3 EMIR Refit — Regulation (EU) 2019/834</w:t>
      </w:r>
    </w:p>
    <w:p>
      <w:pPr>
        <w:pStyle w:val="ListBullet"/>
      </w:pPr>
      <w:r>
        <w:t>공포: 2019년 5월 28일; 시행: 2019년 6월 17일</w:t>
      </w:r>
    </w:p>
    <w:p>
      <w:pPr>
        <w:pStyle w:val="ListBullet"/>
      </w:pPr>
      <w:r>
        <w:t>주요 간소화:</w:t>
      </w:r>
    </w:p>
    <w:p>
      <w:pPr>
        <w:pStyle w:val="ListBullet"/>
      </w:pPr>
      <w:r>
        <w:t>청산의무에 대한 사전적용(frontloading) 요건을 폐지하였다</w:t>
      </w:r>
    </w:p>
    <w:p>
      <w:pPr>
        <w:pStyle w:val="ListBullet"/>
      </w:pPr>
      <w:r>
        <w:t>소규모 금융 거래상대방에 대한 청산의무를 간소화하였다 (청산 기준 미만의 FC는 청산의무 면제이나 포지션 산정은 여전히 필요)</w:t>
      </w:r>
    </w:p>
    <w:p>
      <w:pPr>
        <w:pStyle w:val="ListBullet"/>
      </w:pPr>
      <w:r>
        <w:t>NFC는 기준을 초과하는 자산유형의 포지션만 산정하면 된다 (모든 유형이 아님)</w:t>
      </w:r>
    </w:p>
    <w:p>
      <w:pPr>
        <w:pStyle w:val="ListBullet"/>
      </w:pPr>
      <w:r>
        <w:t>보고 간소화: NFC-의 보고는 FC 거래상대방에 위임된다</w:t>
      </w:r>
    </w:p>
    <w:p>
      <w:pPr>
        <w:pStyle w:val="ListBullet"/>
      </w:pPr>
      <w:r>
        <w:t>연금제도(pension scheme arrangements)에 대한 청산의무를 유예하였다 (여러 차례 연장)</w:t>
      </w:r>
    </w:p>
    <w:p>
      <w:pPr>
        <w:pStyle w:val="ListBullet"/>
      </w:pPr>
      <w:r>
        <w:t>보고 개선 (RTS/ITS 2024년 4월 29일부터 적용):</w:t>
      </w:r>
    </w:p>
    <w:p>
      <w:pPr>
        <w:pStyle w:val="ListBullet"/>
      </w:pPr>
      <w:r>
        <w:t>CPMI-IOSCO 글로벌 데이터 요소 표준과 정합</w:t>
      </w:r>
    </w:p>
    <w:p>
      <w:pPr>
        <w:pStyle w:val="ListBullet"/>
      </w:pPr>
      <w:r>
        <w:t>UTI(고유거래식별자), UPI(고유상품식별자), LEI(법인식별기호) 도입</w:t>
      </w:r>
    </w:p>
    <w:p>
      <w:pPr>
        <w:pStyle w:val="ListBullet"/>
      </w:pPr>
      <w:r>
        <w:t>MiFIR에 따라 규제시장, MTF, OTF, SI에서 거래되는 파생상품에는 ISIN 필수; 나머지 OTC 파생상품에는 UPI</w:t>
      </w:r>
    </w:p>
    <w:p>
      <w:pPr>
        <w:pStyle w:val="ListBullet"/>
      </w:pPr>
      <w:r>
        <w:t>거래저장소에서의 강화된 데이터 품질, 검증 및 조정</w:t>
      </w:r>
    </w:p>
    <w:p>
      <w:pPr>
        <w:pStyle w:val="Heading4"/>
      </w:pPr>
      <w:r>
        <w:t>2.1.4 EMIR 3.0 — Regulation (EU) 2024/2987</w:t>
      </w:r>
    </w:p>
    <w:p>
      <w:pPr>
        <w:pStyle w:val="ListBullet"/>
      </w:pPr>
      <w:r>
        <w:t>채택: 2024년 11월 27일; 관보 게재: 2024년 12월 4일 (OJ L, 2024/2987)</w:t>
      </w:r>
    </w:p>
    <w:p>
      <w:pPr>
        <w:pStyle w:val="ListBullet"/>
      </w:pPr>
      <w:r>
        <w:t>시행: 2024년 12월 24일</w:t>
      </w:r>
    </w:p>
    <w:p>
      <w:pPr>
        <w:pStyle w:val="ListBullet"/>
      </w:pPr>
      <w:r>
        <w:t>목적: 제3국 CCP에 대한 과도한 EU 익스포저를 줄이고, EU 청산 시장의 효율성을 개선한다</w:t>
      </w:r>
    </w:p>
    <w:p>
      <w:pPr>
        <w:pStyle w:val="ListBullet"/>
      </w:pPr>
      <w:r>
        <w:t>주요 조항:</w:t>
      </w:r>
    </w:p>
    <w:p>
      <w:pPr>
        <w:pStyle w:val="ListBullet"/>
      </w:pPr>
      <w:r>
        <w:t>활성계좌 요건(Active Account Requirement, AAR): EU 거래상대방은 상당한 시스템적 중요성을 지닌 특정 파생상품(주로 유로화 표시 금리파생상품, 단기금리파생상품, CDS)에 대해 EU 인가 CCP에서 활성 청산계좌를 유지해야 한다</w:t>
      </w:r>
    </w:p>
    <w:p>
      <w:pPr>
        <w:pStyle w:val="ListBullet"/>
      </w:pPr>
      <w:r>
        <w:t>스트레스 테스트를 포함하여 계좌가 진정으로 활성적이고 기능적임을 보장하는 세 가지 운영 조건</w:t>
      </w:r>
    </w:p>
    <w:p>
      <w:pPr>
        <w:pStyle w:val="ListBullet"/>
      </w:pPr>
      <w:r>
        <w:t>가장 활발한 거래상대방에 대한 대표성 의무</w:t>
      </w:r>
    </w:p>
    <w:p>
      <w:pPr>
        <w:pStyle w:val="ListBullet"/>
      </w:pPr>
      <w:r>
        <w:t>AAR 준수 평가를 위한 보고의무 (보고는 2025년 6월 25일 개시)</w:t>
      </w:r>
    </w:p>
    <w:p>
      <w:pPr>
        <w:pStyle w:val="ListBullet"/>
      </w:pPr>
      <w:r>
        <w:t>ESMA는 시행 후 6개월 이내에 RTS를 개발해야 한다</w:t>
      </w:r>
    </w:p>
    <w:p>
      <w:pPr>
        <w:pStyle w:val="ListBullet"/>
      </w:pPr>
      <w:r>
        <w:t>ESMA는 2025년 6월에 AAR에 관한 최종 보고서를 발표하였으며; 2025년 10월에 참여 요건에 관한 RTS 초안을 공개 의견수렴하였다</w:t>
      </w:r>
    </w:p>
    <w:p>
      <w:pPr>
        <w:pStyle w:val="ListBullet"/>
      </w:pPr>
      <w:r>
        <w:t>개정 청산 기준: 비청산 OTC 파생상품 활동에 초점을 맞춘 새로운 방법론으로, 비례적 청산의무를 보장한다</w:t>
      </w:r>
    </w:p>
    <w:p>
      <w:pPr>
        <w:pStyle w:val="ListBullet"/>
      </w:pPr>
      <w:r>
        <w:t>강화된 그룹 내 면제 프레임워크: 일시적 연장을 대체하는 항구적 체제</w:t>
      </w:r>
    </w:p>
    <w:p>
      <w:pPr>
        <w:pStyle w:val="ListBullet"/>
      </w:pPr>
      <w:r>
        <w:t>CRR(Regulation 575/2013) 및 MMFR(Regulation 2017/1131) 개정을 통해 EU 청산을 장려한다</w:t>
      </w:r>
    </w:p>
    <w:p>
      <w:pPr>
        <w:pStyle w:val="Heading4"/>
      </w:pPr>
      <w:r>
        <w:t>2.1.5 청산의무 대상 유형 (Clearing Obligation Categories)</w:t>
      </w:r>
    </w:p>
    <w:p>
      <w:r>
        <w:t>의무청산 대상 OTC 파생상품 유형: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자산유형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위임규정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**금리파생상품 (IRS)**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고정-변동 IRS, 베이시스 스왑, FRA, OIS (EUR, GBP, USD, JPY, NOK, PLN, SEK 통화)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(EU) 2015/2205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**신용파생상품 (CDS)**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비트랜치 유럽 지수 CDS (iTraxx Europe Main, iTraxx Europe Crossover)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(EU) 2016/592</w:t>
            </w:r>
          </w:p>
        </w:tc>
      </w:tr>
    </w:tbl>
    <w:p/>
    <w:p>
      <w:pPr>
        <w:pStyle w:val="Heading4"/>
      </w:pPr>
      <w:r>
        <w:t>2.1.6 청산 기준 (Clearing Thresholds, EMIR 3.0 검토 이전)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파생상품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NFC 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FC 기준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신용파생상품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10억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총합 산정 대상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주식파생상품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10억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총합 산정 대상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금리파생상품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30억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총합 산정 대상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외환파생상품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30억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총합 산정 대상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상품파생상품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40억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총합 산정 대상</w:t>
            </w:r>
          </w:p>
        </w:tc>
      </w:tr>
    </w:tbl>
    <w:p/>
    <w:p>
      <w:pPr>
        <w:pStyle w:val="ListBullet"/>
      </w:pPr>
      <w:r>
        <w:t>EMIR 3.0에 따라, ESMA는 개정 청산 기준에 관해 의견수렴(2025년 4월)을 실시하고 2026년 2월에 최종 보고서를 발표하여, FC에 대해 비청산 포지션과 총 OTC 익스포저를 모두 평가하는 이중 기준 접근법을 도입하였다</w:t>
      </w:r>
    </w:p>
    <w:p>
      <w:pPr>
        <w:pStyle w:val="Heading3"/>
      </w:pPr>
      <w:r>
        <w:t>2.2 MiFID II / MiFIR (파생상품 관련 조항)</w:t>
      </w:r>
    </w:p>
    <w:p>
      <w:pPr>
        <w:pStyle w:val="Heading4"/>
      </w:pPr>
      <w:r>
        <w:t>2.2.1 MiFID II — Directive 2014/65/EU</w:t>
      </w:r>
    </w:p>
    <w:p>
      <w:pPr>
        <w:pStyle w:val="ListBullet"/>
      </w:pPr>
      <w:r>
        <w:t>시행: 2018년 1월 3일</w:t>
      </w:r>
    </w:p>
    <w:p>
      <w:pPr>
        <w:pStyle w:val="ListBullet"/>
      </w:pPr>
      <w:r>
        <w:t>파생상품 관련 조항:</w:t>
      </w:r>
    </w:p>
    <w:p>
      <w:pPr>
        <w:pStyle w:val="ListBullet"/>
      </w:pPr>
      <w:r>
        <w:t>조직화된 거래시설(Organized Trading Facilities, OTFs): 파생상품을 포함한 비주식 상품을 위한 새로운 거래소 유형; 운영자의 체결 재량</w:t>
      </w:r>
    </w:p>
    <w:p>
      <w:pPr>
        <w:pStyle w:val="ListBullet"/>
      </w:pPr>
      <w:r>
        <w:t>상품파생상품 포지션한도 (제57조): NCA는 거래소에서 거래되는 상품파생상품 및 경제적으로 동등한 OTC(EEOTC) 계약에서 개인이 보유할 수 있는 순포지션에 한도를 설정해야 한다</w:t>
      </w:r>
    </w:p>
    <w:p>
      <w:pPr>
        <w:pStyle w:val="ListBullet"/>
        <w:ind w:left="720"/>
      </w:pPr>
      <w:r>
        <w:t>핵심/중요 계약: 1년간 순미결제약정이 300,000랏을 초과하는 계약</w:t>
      </w:r>
    </w:p>
    <w:p>
      <w:pPr>
        <w:pStyle w:val="ListBullet"/>
        <w:ind w:left="720"/>
      </w:pPr>
      <w:r>
        <w:t>ESMA가 NCA 설정 한도를 조율하고 개입할 수 있다</w:t>
      </w:r>
    </w:p>
    <w:p>
      <w:pPr>
        <w:pStyle w:val="ListBullet"/>
      </w:pPr>
      <w:r>
        <w:t>포지션 관리 통제: 거래소는 포지션 관리 통제를 적용해야 한다</w:t>
      </w:r>
    </w:p>
    <w:p>
      <w:pPr>
        <w:pStyle w:val="ListBullet"/>
      </w:pPr>
      <w:r>
        <w:t>포지션 보고: 거래소는 참여자 유형별 주간 종합 포지션 보고서를 발표해야 한다</w:t>
      </w:r>
    </w:p>
    <w:p>
      <w:pPr>
        <w:pStyle w:val="ListBullet"/>
      </w:pPr>
      <w:r>
        <w:t>헤지 면제: NCA는 선의의 헤지 활동에 대해 포지션한도 면제를 부여할 수 있다</w:t>
      </w:r>
    </w:p>
    <w:p>
      <w:pPr>
        <w:pStyle w:val="ListBullet"/>
      </w:pPr>
      <w:r>
        <w:t>부수적 활동 면제(Ancillary activity exemption): 주요 사업의 부수 활동으로 상품파생상품을 거래하는 비금융 기관은 MiFID II 인가에서 면제될 수 있다 (MiFID II 개정에 따른 수정 방법론)</w:t>
      </w:r>
    </w:p>
    <w:p>
      <w:pPr>
        <w:pStyle w:val="ListBullet"/>
      </w:pPr>
      <w:r>
        <w:t>MiFID II 개정: 모든 변경사항의 국내법 전환 기한: 2025년 9월 29일</w:t>
      </w:r>
    </w:p>
    <w:p>
      <w:pPr>
        <w:pStyle w:val="ListBullet"/>
      </w:pPr>
      <w:r>
        <w:t>2024년 12월: ESMA가 배출권 파생상품에 대한 포지션 모니터링 및 책임수준 확대를 제안하였다</w:t>
      </w:r>
    </w:p>
    <w:p>
      <w:pPr>
        <w:pStyle w:val="Heading4"/>
      </w:pPr>
      <w:r>
        <w:t>2.2.2 MiFIR — Regulation (EU) No 600/2014</w:t>
      </w:r>
    </w:p>
    <w:p>
      <w:pPr>
        <w:pStyle w:val="ListBullet"/>
      </w:pPr>
      <w:r>
        <w:t>거래의무: 청산의무 대상 표준화된 OTC 파생상품은 규제시장, MTF, OTF 또는 동등한 제3국 거래소에서 거래해야 한다</w:t>
      </w:r>
    </w:p>
    <w:p>
      <w:pPr>
        <w:pStyle w:val="ListBullet"/>
      </w:pPr>
      <w:r>
        <w:t>사전거래 투명성: 거래소의 파생상품에 대한 매수·매도 호가 및 거래 관심의 깊이 (대규모 주문 및 패키지 주문에 대한 면제 포함)</w:t>
      </w:r>
    </w:p>
    <w:p>
      <w:pPr>
        <w:pStyle w:val="ListBullet"/>
      </w:pPr>
      <w:r>
        <w:t>사후거래 투명성: 파생상품 거래의 가격, 거래량 및 시간, 대규모 및 비유동성 상품에 대한 지연 공개 체제</w:t>
      </w:r>
    </w:p>
    <w:p>
      <w:pPr>
        <w:pStyle w:val="ListBullet"/>
      </w:pPr>
      <w:r>
        <w:t>체계적 내부화자(Systematic Internalisers): 파생상품을 거래하는 SI에 대한 투명성 의무</w:t>
      </w:r>
    </w:p>
    <w:p>
      <w:pPr>
        <w:pStyle w:val="ListBullet"/>
      </w:pPr>
      <w:r>
        <w:t>거래보고: 제26조에 따라 파생상품 거래를 NCA에 보고한다</w:t>
      </w:r>
    </w:p>
    <w:p>
      <w:pPr>
        <w:pStyle w:val="Heading4"/>
      </w:pPr>
      <w:r>
        <w:t>2.2.3 MiFIR 개정 — Regulation (EU) 2024/791</w:t>
      </w:r>
    </w:p>
    <w:p>
      <w:pPr>
        <w:pStyle w:val="ListBullet"/>
      </w:pPr>
      <w:r>
        <w:t>채택: 2024년; Regulation (EU) No 600/2014을 개정한다</w:t>
      </w:r>
    </w:p>
    <w:p>
      <w:pPr>
        <w:pStyle w:val="ListBullet"/>
      </w:pPr>
      <w:r>
        <w:t>파생상품에 대한 주요 변경:</w:t>
      </w:r>
    </w:p>
    <w:p>
      <w:pPr>
        <w:pStyle w:val="ListBullet"/>
      </w:pPr>
      <w:r>
        <w:t>OTC 파생상품 통합시세정보제공자(CTP): ESMA가 CTP를 선정, 인가, 감독할 권한을 부여받음; OTC 파생상품 CTP 선정 절차가 2026년 1월 5일에 시작되었다 (제출 기한: 2026년 2월 11일)</w:t>
      </w:r>
    </w:p>
    <w:p>
      <w:pPr>
        <w:pStyle w:val="ListBullet"/>
      </w:pPr>
      <w:r>
        <w:t>파생상품의 사전 및 사후거래 투명성 요건 개정: 투명성과 유동성 공급자 보호 간 균형</w:t>
      </w:r>
    </w:p>
    <w:p>
      <w:pPr>
        <w:pStyle w:val="ListBullet"/>
      </w:pPr>
      <w:r>
        <w:t>파생상품 투명성에 대한 동적 계산을 대체하는 정적 기준</w:t>
      </w:r>
    </w:p>
    <w:p>
      <w:pPr>
        <w:pStyle w:val="ListBullet"/>
      </w:pPr>
      <w:r>
        <w:t>개정된 파생상품 RTS에 대한 단일 적용일</w:t>
      </w:r>
    </w:p>
    <w:p>
      <w:pPr>
        <w:pStyle w:val="ListBullet"/>
      </w:pPr>
      <w:r>
        <w:t>ESMA에 대한 파생상품 투명성 보고 삭제 (간소화)</w:t>
      </w:r>
    </w:p>
    <w:p>
      <w:pPr>
        <w:pStyle w:val="ListBullet"/>
      </w:pPr>
      <w:r>
        <w:t>ESMA는 2025년 12월 11일에 파생상품 투명성 및 CTP 입출력에 관한 최종 보고서를 위원회에 제출하였다</w:t>
      </w:r>
    </w:p>
    <w:p>
      <w:pPr>
        <w:pStyle w:val="ListBullet"/>
      </w:pPr>
      <w:r>
        <w:t>주문흐름결제(Payment for Order Flow, PFOF): 금지, 경과기간 적용</w:t>
      </w:r>
    </w:p>
    <w:p>
      <w:pPr>
        <w:pStyle w:val="ListBullet"/>
      </w:pPr>
      <w:r>
        <w:t>강화된 데이터 품질 요건</w:t>
      </w:r>
    </w:p>
    <w:p>
      <w:pPr>
        <w:pStyle w:val="Heading3"/>
      </w:pPr>
      <w:r>
        <w:t>2.3 기타 관련 규정 (Other Relevant Regulations)</w:t>
      </w:r>
    </w:p>
    <w:p>
      <w:pPr>
        <w:pStyle w:val="Heading4"/>
      </w:pPr>
      <w:r>
        <w:t>2.3.1 MAR — 시장남용규정 (Market Abuse Regulation, (EU) No 596/2014)</w:t>
      </w:r>
    </w:p>
    <w:p>
      <w:pPr>
        <w:pStyle w:val="ListBullet"/>
      </w:pPr>
      <w:r>
        <w:t>시장남용 프레임워크를 파생상품으로 확장한다: 내부자거래 및 시장조작 조항이 거래소에 상장된 금융상품을 기초자산으로 하는 파생상품에 적용된다</w:t>
      </w:r>
    </w:p>
    <w:p>
      <w:pPr>
        <w:pStyle w:val="ListBullet"/>
      </w:pPr>
      <w:r>
        <w:t>벤치마크 조작을 명시적으로 금지한다 (LIBOR 스캔들 이후 개혁)</w:t>
      </w:r>
    </w:p>
    <w:p>
      <w:pPr>
        <w:pStyle w:val="ListBullet"/>
      </w:pPr>
      <w:r>
        <w:t>상품파생상품 및 관련 현물상품 계약에 적용된다</w:t>
      </w:r>
    </w:p>
    <w:p>
      <w:pPr>
        <w:pStyle w:val="ListBullet"/>
      </w:pPr>
      <w:r>
        <w:t>교차시장 감시 의무: 거래소는 관련 파생상품과 기초시장 간의 남용을 모니터링해야 한다</w:t>
      </w:r>
    </w:p>
    <w:p>
      <w:pPr>
        <w:pStyle w:val="ListBullet"/>
      </w:pPr>
      <w:r>
        <w:t>NCA의 강화된 조사 및 제재 권한</w:t>
      </w:r>
    </w:p>
    <w:p>
      <w:pPr>
        <w:pStyle w:val="Heading4"/>
      </w:pPr>
      <w:r>
        <w:t>2.3.2 CRR / CRD (자본요건)</w:t>
      </w:r>
    </w:p>
    <w:p>
      <w:pPr>
        <w:pStyle w:val="ListBullet"/>
      </w:pPr>
      <w:r>
        <w:t>CRR — Regulation (EU) No 575/2013 (CRR II/III에 의해 개정):</w:t>
      </w:r>
    </w:p>
    <w:p>
      <w:pPr>
        <w:pStyle w:val="ListBullet"/>
      </w:pPr>
      <w:r>
        <w:t>파생상품에 대한 거래상대방 신용리스크 프레임워크: SA-CCR(거래상대방 신용리스크 표준접근법)이 2021년 6월부터 의무화되었다</w:t>
      </w:r>
    </w:p>
    <w:p>
      <w:pPr>
        <w:pStyle w:val="ListBullet"/>
      </w:pPr>
      <w:r>
        <w:t>신용가치조정(CVA) 리스크 자본 부담</w:t>
      </w:r>
    </w:p>
    <w:p>
      <w:pPr>
        <w:pStyle w:val="ListBullet"/>
      </w:pPr>
      <w:r>
        <w:t>중앙청산 파생상품에 대한 우대 자본 처리 (CCP 익스포저에 대한 낮은 위험가중치)</w:t>
      </w:r>
    </w:p>
    <w:p>
      <w:pPr>
        <w:pStyle w:val="ListBullet"/>
      </w:pPr>
      <w:r>
        <w:t>EMIR 3.0의 CRR 개정을 통해 조정된 자본 요건으로 EU 청산을 장려한다</w:t>
      </w:r>
    </w:p>
    <w:p>
      <w:pPr>
        <w:pStyle w:val="ListBullet"/>
      </w:pPr>
      <w:r>
        <w:t>CRD — Directive 2013/36/EU: 은행의 파생상품 활동에 적용되는 거버넌스 및 내부통제 요건</w:t>
      </w:r>
    </w:p>
    <w:p>
      <w:pPr>
        <w:pStyle w:val="Heading4"/>
      </w:pPr>
      <w:r>
        <w:t>2.3.3 SFTR — 증권금융거래규정 (Securities Financing Transactions Regulation, (EU) 2015/2365)</w:t>
      </w:r>
    </w:p>
    <w:p>
      <w:pPr>
        <w:pStyle w:val="ListBullet"/>
      </w:pPr>
      <w:r>
        <w:t>증권금융거래(환매조건부거래, 증권대차, 마진대출)의 거래저장소 보고의무</w:t>
      </w:r>
    </w:p>
    <w:p>
      <w:pPr>
        <w:pStyle w:val="ListBullet"/>
      </w:pPr>
      <w:r>
        <w:t>파생상품 거래에서 수취한 담보물의 재담보(re-hypothecation)/재사용에 대한 투명성</w:t>
      </w:r>
    </w:p>
    <w:p>
      <w:pPr>
        <w:pStyle w:val="ListBullet"/>
      </w:pPr>
      <w:r>
        <w:t>특정 담보 관련 거래에 대해 EMIR 보고와 중복된다</w:t>
      </w:r>
    </w:p>
    <w:p>
      <w:pPr>
        <w:pStyle w:val="ListBullet"/>
      </w:pPr>
      <w:r>
        <w:t>EMIR과 거래저장소 인프라를 공유한다</w:t>
      </w:r>
    </w:p>
    <w:p>
      <w:pPr>
        <w:pStyle w:val="Heading4"/>
      </w:pPr>
      <w:r>
        <w:t>2.3.4 BMR — 벤치마크규정 (Benchmarks Regulation, (EU) 2016/1011)</w:t>
      </w:r>
    </w:p>
    <w:p>
      <w:pPr>
        <w:pStyle w:val="ListBullet"/>
      </w:pPr>
      <w:r>
        <w:t>파생상품 계약에서 사용되는 기준금리를 제공하는 벤치마크 관리자를 규제한다 (예: EURIBOR, EONIA 후속 ESTR)</w:t>
      </w:r>
    </w:p>
    <w:p>
      <w:pPr>
        <w:pStyle w:val="ListBullet"/>
      </w:pPr>
      <w:r>
        <w:t>벤치마크 관리자의 인가/등록</w:t>
      </w:r>
    </w:p>
    <w:p>
      <w:pPr>
        <w:pStyle w:val="ListBullet"/>
      </w:pPr>
      <w:r>
        <w:t>BMR 개정 (2024년 12월 정치적 합의, 2025년 5월 공포): 2026년 1월부터 범위가 핵심/중요 벤치마크, EU 기후전환 및 파리협정 정렬 벤치마크, 특정 상품 벤치마크로 집중된다</w:t>
      </w:r>
    </w:p>
    <w:p>
      <w:pPr>
        <w:pStyle w:val="ListBullet"/>
      </w:pPr>
      <w:r>
        <w:t>제3국 벤치마크 체제 2025년 12월 31일부터 적용</w:t>
      </w:r>
    </w:p>
    <w:p>
      <w:pPr>
        <w:pStyle w:val="ListBullet"/>
      </w:pPr>
      <w:r>
        <w:t>LIBOR 이후 전환: ESTR이 EU 무위험금리로 지정; 레거시 벤치마크를 참조하는 파생상품에 미치는 영향</w:t>
      </w:r>
    </w:p>
    <w:p>
      <w:pPr>
        <w:pStyle w:val="Heading4"/>
      </w:pPr>
      <w:r>
        <w:t>2.3.5 MiCA — 암호자산시장규정 (Markets in Crypto-Assets Regulation, (EU) 2023/1114)</w:t>
      </w:r>
    </w:p>
    <w:p>
      <w:pPr>
        <w:pStyle w:val="ListBullet"/>
      </w:pPr>
      <w:r>
        <w:t>전면 적용: 2024년 12월 30일</w:t>
      </w:r>
    </w:p>
    <w:p>
      <w:pPr>
        <w:pStyle w:val="ListBullet"/>
      </w:pPr>
      <w:r>
        <w:t>암호자산이 기초자산인 파생상품에 관련된다</w:t>
      </w:r>
    </w:p>
    <w:p>
      <w:pPr>
        <w:pStyle w:val="ListBullet"/>
      </w:pPr>
      <w:r>
        <w:t>MiFID II Annex I Section C에 따라 금융상품으로 분류되는 암호자산은 기존 파생상품 규제에 해당한다</w:t>
      </w:r>
    </w:p>
    <w:p>
      <w:pPr>
        <w:pStyle w:val="ListBullet"/>
      </w:pPr>
      <w:r>
        <w:t>기존 암호자산 서비스 제공자에 대한 경과기간: 2026년 7월 1일까지</w:t>
      </w:r>
    </w:p>
    <w:p>
      <w:pPr>
        <w:pStyle w:val="ListBullet"/>
      </w:pPr>
      <w:r>
        <w:t>DAC8 암호자산 거래에 대한 세무 투명성 규정: 2026년 1월 1일 시행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포지션한도 체계 (Position Limits Framework)</w:t>
      </w:r>
    </w:p>
    <w:p>
      <w:pPr>
        <w:pStyle w:val="Heading3"/>
      </w:pPr>
      <w:r>
        <w:t>3.1 법적 근거 (Legal Basis)</w:t>
      </w:r>
    </w:p>
    <w:p>
      <w:pPr>
        <w:pStyle w:val="ListBullet"/>
      </w:pPr>
      <w:r>
        <w:t>MiFID II 제57조: NCA는 상품파생상품 및 배출권 파생상품에 대해 포지션한도를 설정해야 한다</w:t>
      </w:r>
    </w:p>
    <w:p>
      <w:pPr>
        <w:pStyle w:val="ListBullet"/>
      </w:pPr>
      <w:r>
        <w:t>MiFID II 제58조: 포지션 보고의무</w:t>
      </w:r>
    </w:p>
    <w:p>
      <w:pPr>
        <w:pStyle w:val="Heading3"/>
      </w:pPr>
      <w:r>
        <w:t>3.2 적용범위 (Scope)</w:t>
      </w:r>
    </w:p>
    <w:p>
      <w:pPr>
        <w:pStyle w:val="ListBullet"/>
      </w:pPr>
      <w:r>
        <w:t>EU 거래소(규제시장, MTF, OTF)에서 거래되는 상품파생상품</w:t>
      </w:r>
    </w:p>
    <w:p>
      <w:pPr>
        <w:pStyle w:val="ListBullet"/>
      </w:pPr>
      <w:r>
        <w:t>경제적으로 동등한 OTC 계약(Economically Equivalent OTC Contracts, EEOTC): 장내 상품파생상품과 경제적으로 동등한 OTC 파생상품</w:t>
      </w:r>
    </w:p>
    <w:p>
      <w:pPr>
        <w:pStyle w:val="ListBullet"/>
      </w:pPr>
      <w:r>
        <w:t>배출권 파생상품: EU ETS 배출허용량에 대한 파생상품</w:t>
      </w:r>
    </w:p>
    <w:p>
      <w:pPr>
        <w:pStyle w:val="Heading3"/>
      </w:pPr>
      <w:r>
        <w:t>3.3 포지션한도 설정 (Position Limit Setting)</w:t>
      </w:r>
    </w:p>
    <w:p>
      <w:pPr>
        <w:pStyle w:val="ListBullet"/>
      </w:pPr>
      <w:r>
        <w:t>NCA는 ESMA 방법론에 따라 한도를 설정한다:</w:t>
      </w:r>
    </w:p>
    <w:p>
      <w:pPr>
        <w:pStyle w:val="ListBullet"/>
      </w:pPr>
      <w:r>
        <w:t>인도월 한도(Spot month limit): 인도가능공급량에 기반 (통상 인도가능공급량의 25%)</w:t>
      </w:r>
    </w:p>
    <w:p>
      <w:pPr>
        <w:pStyle w:val="ListBullet"/>
      </w:pPr>
      <w:r>
        <w:t>기타 월 한도(Other months limit): 미결제약정에 기반 (통상 미결제약정의 25%)</w:t>
      </w:r>
    </w:p>
    <w:p>
      <w:pPr>
        <w:pStyle w:val="ListBullet"/>
      </w:pPr>
      <w:r>
        <w:t>핵심/중요 계약: 순미결제약정이 300,000랏을 초과하는 상품파생상품; ESMA 조율 대상</w:t>
      </w:r>
    </w:p>
    <w:p>
      <w:pPr>
        <w:pStyle w:val="ListBullet"/>
      </w:pPr>
      <w:r>
        <w:t>ESMA는 NCA가 제안한 한도에 대해 의견을 발행할 수 있으며, 예외적인 경우 직접 한도를 부과하거나 수정할 수 있다</w:t>
      </w:r>
    </w:p>
    <w:p>
      <w:pPr>
        <w:pStyle w:val="Heading3"/>
      </w:pPr>
      <w:r>
        <w:t>3.4 헤지 면제 (Hedging Exemptions)</w:t>
      </w:r>
    </w:p>
    <w:p>
      <w:pPr>
        <w:pStyle w:val="ListBullet"/>
      </w:pPr>
      <w:r>
        <w:t>NCA는 상업 활동과 직접 관련된 위험을 객관적으로 측정 가능하게 감소시키는 포지션에 대해 포지션한도 면제를 부여할 수 있다</w:t>
      </w:r>
    </w:p>
    <w:p>
      <w:pPr>
        <w:pStyle w:val="ListBullet"/>
      </w:pPr>
      <w:r>
        <w:t>신청자는 포지션이 정의된 기준에 따라 헤지에 해당함을 입증해야 한다</w:t>
      </w:r>
    </w:p>
    <w:p>
      <w:pPr>
        <w:pStyle w:val="ListBullet"/>
      </w:pPr>
      <w:r>
        <w:t>NFC 헤지자를 대신하여 활동하는 금융 기관도 면제 혜택을 받을 수 있다 (개정된 프레임워크에 따라)</w:t>
      </w:r>
    </w:p>
    <w:p>
      <w:pPr>
        <w:pStyle w:val="Heading3"/>
      </w:pPr>
      <w:r>
        <w:t>3.5 포지션 관리 통제 (Position Management Controls)</w:t>
      </w:r>
    </w:p>
    <w:p>
      <w:pPr>
        <w:pStyle w:val="ListBullet"/>
      </w:pPr>
      <w:r>
        <w:t>거래소는 다음을 포함하는 포지션 관리 통제를 적용해야 한다:</w:t>
      </w:r>
    </w:p>
    <w:p>
      <w:pPr>
        <w:pStyle w:val="ListBullet"/>
      </w:pPr>
      <w:r>
        <w:t>미결제 포지션 모니터링</w:t>
      </w:r>
    </w:p>
    <w:p>
      <w:pPr>
        <w:pStyle w:val="ListBullet"/>
      </w:pPr>
      <w:r>
        <w:t>참여자로부터 포지션(EEOTC 계약 포함)에 관한 정보 획득</w:t>
      </w:r>
    </w:p>
    <w:p>
      <w:pPr>
        <w:pStyle w:val="ListBullet"/>
      </w:pPr>
      <w:r>
        <w:t>참여자에게 포지션 종료 또는 축소 요구</w:t>
      </w:r>
    </w:p>
    <w:p>
      <w:pPr>
        <w:pStyle w:val="ListBullet"/>
      </w:pPr>
      <w:r>
        <w:t>참여자에게 합의된 가격과 거래량으로 시장에 유동성을 제공할 것을 요구</w:t>
      </w:r>
    </w:p>
    <w:p>
      <w:pPr>
        <w:pStyle w:val="Heading3"/>
      </w:pPr>
      <w:r>
        <w:t>3.6 포지션 보고 (Position Reporting)</w:t>
      </w:r>
    </w:p>
    <w:p>
      <w:pPr>
        <w:pStyle w:val="ListBullet"/>
      </w:pPr>
      <w:r>
        <w:t>거래소는 참여자 유형별 종합 포지션을 포함하는 주간 거래자약정(Commitment of Traders, CoT) 보고서를 발표해야 한다</w:t>
      </w:r>
    </w:p>
    <w:p>
      <w:pPr>
        <w:pStyle w:val="ListBullet"/>
      </w:pPr>
      <w:r>
        <w:t>회원 및 참여자는 거래소에 일일 포지션을 보고해야 한다</w:t>
      </w:r>
    </w:p>
    <w:p>
      <w:pPr>
        <w:pStyle w:val="ListBullet"/>
      </w:pPr>
      <w:r>
        <w:t>NCA는 포지션 데이터를 수령하여 ESMA와 공유할 수 있다</w:t>
      </w:r>
    </w:p>
    <w:p>
      <w:pPr>
        <w:pStyle w:val="Heading3"/>
      </w:pPr>
      <w:r>
        <w:t>3.7 2024년 12월 업데이트 (December 2024 Updates)</w:t>
      </w:r>
    </w:p>
    <w:p>
      <w:pPr>
        <w:pStyle w:val="ListBullet"/>
      </w:pPr>
      <w:r>
        <w:t>ESMA가 배출권 파생상품에 대한 일반 모니터링 및 책임수준 요건의 확대를 제안하였다</w:t>
      </w:r>
    </w:p>
    <w:p>
      <w:pPr>
        <w:pStyle w:val="ListBullet"/>
      </w:pPr>
      <w:r>
        <w:t>MiFID II 개정에 따른 포지션한도 프레임워크 변경은 2025년 9월 29일까지 국내법으로 전환해야 한다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청산의무 (Clearing Obligations)</w:t>
      </w:r>
    </w:p>
    <w:p>
      <w:pPr>
        <w:pStyle w:val="Heading3"/>
      </w:pPr>
      <w:r>
        <w:t>4.1 상품 범위 (Product Scope)</w:t>
      </w:r>
    </w:p>
    <w:p>
      <w:r>
        <w:t>인가/인정된 CCP에서의 의무청산 대상 상품:</w:t>
      </w:r>
    </w:p>
    <w:p>
      <w:r>
        <w:t>금리스왑 (IRS):</w:t>
      </w:r>
    </w:p>
    <w:p>
      <w:pPr>
        <w:pStyle w:val="ListBullet"/>
      </w:pPr>
      <w:r>
        <w:t>고정-변동 IRS (plain vanilla)</w:t>
      </w:r>
    </w:p>
    <w:p>
      <w:pPr>
        <w:pStyle w:val="ListBullet"/>
      </w:pPr>
      <w:r>
        <w:t>베이시스 스왑</w:t>
      </w:r>
    </w:p>
    <w:p>
      <w:pPr>
        <w:pStyle w:val="ListBullet"/>
      </w:pPr>
      <w:r>
        <w:t>선도금리계약(FRAs)</w:t>
      </w:r>
    </w:p>
    <w:p>
      <w:pPr>
        <w:pStyle w:val="ListBullet"/>
      </w:pPr>
      <w:r>
        <w:t>익일물지수스왑(OIS)</w:t>
      </w:r>
    </w:p>
    <w:p>
      <w:pPr>
        <w:pStyle w:val="ListBullet"/>
      </w:pPr>
      <w:r>
        <w:t>통화: EUR, GBP, USD, JPY, NOK, PLN, SEK</w:t>
      </w:r>
    </w:p>
    <w:p>
      <w:pPr>
        <w:pStyle w:val="ListBullet"/>
      </w:pPr>
      <w:r>
        <w:t>기준금리: EURIBOR, LIBOR (레거시), SOFR, SONIA, TONA, ESTR</w:t>
      </w:r>
    </w:p>
    <w:p>
      <w:r>
        <w:t>신용부도스왑 (CDS):</w:t>
      </w:r>
    </w:p>
    <w:p>
      <w:pPr>
        <w:pStyle w:val="ListBullet"/>
      </w:pPr>
      <w:r>
        <w:t>비트랜치 iTraxx Europe Main (Series 17 이후, 5년 만기)</w:t>
      </w:r>
    </w:p>
    <w:p>
      <w:pPr>
        <w:pStyle w:val="ListBullet"/>
      </w:pPr>
      <w:r>
        <w:t>비트랜치 iTraxx Europe Crossover (Series 17 이후, 5년 만기)</w:t>
      </w:r>
    </w:p>
    <w:p>
      <w:pPr>
        <w:pStyle w:val="Heading3"/>
      </w:pPr>
      <w:r>
        <w:t>4.2 거래상대방 유형 및 단계적 도입 (Counterparty Categories and Phase-In)</w:t>
      </w:r>
    </w:p>
    <w:p>
      <w:r>
        <w:t>청산의무는 거래상대방 유형에 따라 단계적으로 도입되었다: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IRS 도입일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CDS 도입일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**Category 1**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관련 유형에서 최소 하나의 CCP의 청산회원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2016년 6월 21일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2017년 2월 9일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**Category 2**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총명목금액 &gt; EUR 80억의 FC 및 AIF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2016년 12월 21일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2017년 8월 9일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**Category 3**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Category 1 또는 2에 해당하지 않는 FC 및 AIF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2017년 6월 21일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2018년 2월 9일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**Category 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NFC+ (청산 기준 초과 비금융 거래상대방)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2018년 12월 21일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2019년 5월 9일</w:t>
            </w:r>
          </w:p>
        </w:tc>
      </w:tr>
    </w:tbl>
    <w:p/>
    <w:p>
      <w:pPr>
        <w:pStyle w:val="Heading3"/>
      </w:pPr>
      <w:r>
        <w:t>4.3 사전적용 (Frontloading)</w:t>
      </w:r>
    </w:p>
    <w:p>
      <w:pPr>
        <w:pStyle w:val="ListBullet"/>
      </w:pPr>
      <w:r>
        <w:t>EMIR Refit (Regulation 2019/834)에 의해 폐지되었다: 통지 후 청산의무 발효 전에 체결된 계약을 소급적으로 청산할 필요가 없어졌다</w:t>
      </w:r>
    </w:p>
    <w:p>
      <w:pPr>
        <w:pStyle w:val="Heading3"/>
      </w:pPr>
      <w:r>
        <w:t>4.4 그룹 내 면제 (Intragroup Exemptions)</w:t>
      </w:r>
    </w:p>
    <w:p>
      <w:pPr>
        <w:pStyle w:val="ListBullet"/>
      </w:pPr>
      <w:r>
        <w:t>동일 그룹 내 기관 간의 OTC 파생상품 계약은 청산의무에서 면제될 수 있다 (EMIR 제3조)</w:t>
      </w:r>
    </w:p>
    <w:p>
      <w:pPr>
        <w:pStyle w:val="ListBullet"/>
      </w:pPr>
      <w:r>
        <w:t>조건:</w:t>
      </w:r>
    </w:p>
    <w:p>
      <w:pPr>
        <w:pStyle w:val="ListBullet"/>
      </w:pPr>
      <w:r>
        <w:t>양 거래상대방이 동일한 연결 대상에 포함된다</w:t>
      </w:r>
    </w:p>
    <w:p>
      <w:pPr>
        <w:pStyle w:val="ListBullet"/>
      </w:pPr>
      <w:r>
        <w:t>양자가 적절한 중앙집중식 리스크 평가, 측정 및 통제 절차의 적용을 받는다</w:t>
      </w:r>
    </w:p>
    <w:p>
      <w:pPr>
        <w:pStyle w:val="ListBullet"/>
      </w:pPr>
      <w:r>
        <w:t>모회사가 FC가 아니다</w:t>
      </w:r>
    </w:p>
    <w:p>
      <w:pPr>
        <w:pStyle w:val="ListBullet"/>
      </w:pPr>
      <w:r>
        <w:t>제3국 그룹 내 면제: 제3국 거래상대방 관할권에 대한 동등성 결정이 필요하다</w:t>
      </w:r>
    </w:p>
    <w:p>
      <w:pPr>
        <w:pStyle w:val="ListBullet"/>
      </w:pPr>
      <w:r>
        <w:t>일시적 면제 체제가 여러 차례 연장되었다 (ESA가 EMIR 개정 중 3년 연장을 제안)</w:t>
      </w:r>
    </w:p>
    <w:p>
      <w:pPr>
        <w:pStyle w:val="ListBullet"/>
      </w:pPr>
      <w:r>
        <w:t>EMIR 3.0은 보다 항구적인 그룹 내 면제 프레임워크를 수립한다</w:t>
      </w:r>
    </w:p>
    <w:p>
      <w:pPr>
        <w:pStyle w:val="Heading3"/>
      </w:pPr>
      <w:r>
        <w:t>4.5 연금제도 (Pension Scheme Arrangements)</w:t>
      </w:r>
    </w:p>
    <w:p>
      <w:pPr>
        <w:pStyle w:val="ListBullet"/>
      </w:pPr>
      <w:r>
        <w:t>연금제도(PSA)에 대한 청산의무의 일시적 면제</w:t>
      </w:r>
    </w:p>
    <w:p>
      <w:pPr>
        <w:pStyle w:val="ListBullet"/>
      </w:pPr>
      <w:r>
        <w:t>여러 차례 연장이 부여되었으며; EMIR 3.0이 PSA의 장기적 처우를 다룬다</w:t>
      </w:r>
    </w:p>
    <w:p>
      <w:pPr>
        <w:pStyle w:val="Heading3"/>
      </w:pPr>
      <w:r>
        <w:t>4.6 EMIR 3.0의 청산 관련 변경 (EMIR 3.0 Changes to Clearing)</w:t>
      </w:r>
    </w:p>
    <w:p>
      <w:pPr>
        <w:pStyle w:val="ListBullet"/>
      </w:pPr>
      <w:r>
        <w:t>이중 평가(비청산 포지션 + FC의 총 OTC 익스포저)를 적용하는 개정 청산 기준</w:t>
      </w:r>
    </w:p>
    <w:p>
      <w:pPr>
        <w:pStyle w:val="ListBullet"/>
      </w:pPr>
      <w:r>
        <w:t>활성계좌 요건(AAR)이 EU CCP에 대한 추가 청산 거래량을 유도한다</w:t>
      </w:r>
    </w:p>
    <w:p>
      <w:pPr>
        <w:pStyle w:val="ListBullet"/>
      </w:pPr>
      <w:r>
        <w:t>소규모 거래상대방에 대한 강화된 비례성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CCP 감독 및 인가 (CCP Supervision &amp; Authorization)</w:t>
      </w:r>
    </w:p>
    <w:p>
      <w:pPr>
        <w:pStyle w:val="Heading3"/>
      </w:pPr>
      <w:r>
        <w:t>5.1 EU CCP 인가 (Title III of EMIR)</w:t>
      </w:r>
    </w:p>
    <w:p>
      <w:pPr>
        <w:pStyle w:val="ListBullet"/>
      </w:pPr>
      <w:r>
        <w:t>CCP는 본국 NCA로부터 인가를 받아야 하며, 다음을 포함하는 감독 합의체(college of supervisors)가 참여한다:</w:t>
      </w:r>
    </w:p>
    <w:p>
      <w:pPr>
        <w:pStyle w:val="ListBullet"/>
      </w:pPr>
      <w:r>
        <w:t>본국 NCA (주관 감독기관)</w:t>
      </w:r>
    </w:p>
    <w:p>
      <w:pPr>
        <w:pStyle w:val="ListBullet"/>
      </w:pPr>
      <w:r>
        <w:t>ESMA</w:t>
      </w:r>
    </w:p>
    <w:p>
      <w:pPr>
        <w:pStyle w:val="ListBullet"/>
      </w:pPr>
      <w:r>
        <w:t>관련 발행중앙은행</w:t>
      </w:r>
    </w:p>
    <w:p>
      <w:pPr>
        <w:pStyle w:val="ListBullet"/>
      </w:pPr>
      <w:r>
        <w:t>가장 관련성 높은 청산회원의 NCA</w:t>
      </w:r>
    </w:p>
    <w:p>
      <w:pPr>
        <w:pStyle w:val="ListBullet"/>
      </w:pPr>
      <w:r>
        <w:t>CCP가 서비스하는 거래소의 NCA</w:t>
      </w:r>
    </w:p>
    <w:p>
      <w:pPr>
        <w:pStyle w:val="ListBullet"/>
      </w:pPr>
      <w:r>
        <w:t>인가 요건:</w:t>
      </w:r>
    </w:p>
    <w:p>
      <w:pPr>
        <w:pStyle w:val="ListBullet"/>
      </w:pPr>
      <w:r>
        <w:t>최소 자본: EUR 750만</w:t>
      </w:r>
    </w:p>
    <w:p>
      <w:pPr>
        <w:pStyle w:val="ListBullet"/>
      </w:pPr>
      <w:r>
        <w:t>거버넌스: 독립 리스크 위원회, 고위경영진 요건</w:t>
      </w:r>
    </w:p>
    <w:p>
      <w:pPr>
        <w:pStyle w:val="ListBullet"/>
      </w:pPr>
      <w:r>
        <w:t>리스크 관리: 증거금 프레임워크 (개시증거금, 변동증거금, 부도기금), 스트레스 테스트, 백테스트</w:t>
      </w:r>
    </w:p>
    <w:p>
      <w:pPr>
        <w:pStyle w:val="ListBullet"/>
      </w:pPr>
      <w:r>
        <w:t>부도 워터폴: 부도자 증거금 -&gt; 부도자 부도기금 출연금 -&gt; CCP 자체 전용 자원(skin-in-the-game) -&gt; 비부도 회원의 부도기금 출연금</w:t>
      </w:r>
    </w:p>
    <w:p>
      <w:pPr>
        <w:pStyle w:val="ListBullet"/>
      </w:pPr>
      <w:r>
        <w:t>고객 포지션 및 담보물의 분리 및 이전 가능성</w:t>
      </w:r>
    </w:p>
    <w:p>
      <w:pPr>
        <w:pStyle w:val="ListBullet"/>
      </w:pPr>
      <w:r>
        <w:t>사업연속성 및 재해복구</w:t>
      </w:r>
    </w:p>
    <w:p>
      <w:pPr>
        <w:pStyle w:val="ListBullet"/>
      </w:pPr>
      <w:r>
        <w:t>상호운용 약정 (NCA/ESMA 승인 대상)</w:t>
      </w:r>
    </w:p>
    <w:p>
      <w:pPr>
        <w:pStyle w:val="ListBullet"/>
      </w:pPr>
      <w:r>
        <w:t>주요 EU CCP: Eurex Clearing (독일), LCH SA (프랑스), CC&amp;G (이탈리아), BME Clearing (스페인), ICE Clear Netherlands, European Commodity Clearing (독일)</w:t>
      </w:r>
    </w:p>
    <w:p>
      <w:pPr>
        <w:pStyle w:val="Heading3"/>
      </w:pPr>
      <w:r>
        <w:t>5.2 제3국 CCP 인정 (Third-Country CCP Recognition)</w:t>
      </w:r>
    </w:p>
    <w:p>
      <w:pPr>
        <w:pStyle w:val="ListBullet"/>
      </w:pPr>
      <w:r>
        <w:t>제3국 CCP는 EU 회원/거래소에 청산 서비스를 제공하기 위해 ESMA의 인정을 받아야 한다</w:t>
      </w:r>
    </w:p>
    <w:p>
      <w:pPr>
        <w:pStyle w:val="ListBullet"/>
      </w:pPr>
      <w:r>
        <w:t>전제조건:</w:t>
      </w:r>
    </w:p>
    <w:p>
      <w:pPr>
        <w:pStyle w:val="ListBullet"/>
      </w:pPr>
      <w:r>
        <w:t>제3국 규제 프레임워크에 대한 유럽위원회 동등성 결정</w:t>
      </w:r>
    </w:p>
    <w:p>
      <w:pPr>
        <w:pStyle w:val="ListBullet"/>
      </w:pPr>
      <w:r>
        <w:t>ESMA와 제3국 기관 간 협력 약정</w:t>
      </w:r>
    </w:p>
    <w:p>
      <w:pPr>
        <w:pStyle w:val="ListBullet"/>
      </w:pPr>
      <w:r>
        <w:t>본국 관할권에서의 CCP 인가</w:t>
      </w:r>
    </w:p>
    <w:p>
      <w:pPr>
        <w:pStyle w:val="ListBullet"/>
      </w:pPr>
      <w:r>
        <w:t>계층 결정 (EMIR 2.2에 의해 도입):</w:t>
      </w:r>
    </w:p>
    <w:p>
      <w:pPr>
        <w:pStyle w:val="ListBullet"/>
      </w:pPr>
      <w:r>
        <w:t>Tier 1: 시스템적으로 중요하지 않은 CCP; 본국 규정에 대한 지속적 준수를 조건으로 인정</w:t>
      </w:r>
    </w:p>
    <w:p>
      <w:pPr>
        <w:pStyle w:val="ListBullet"/>
      </w:pPr>
      <w:r>
        <w:t>Tier 2: EU/회원국 금융안정에 시스템적으로 중요한(또는 중요해질 가능성이 있는) CCP</w:t>
      </w:r>
    </w:p>
    <w:p>
      <w:pPr>
        <w:pStyle w:val="ListBullet"/>
        <w:ind w:left="720"/>
      </w:pPr>
      <w:r>
        <w:t>관련 EMIR 요건(또는 비교 가능한 준수 프레임워크)을 준수해야 한다</w:t>
      </w:r>
    </w:p>
    <w:p>
      <w:pPr>
        <w:pStyle w:val="ListBullet"/>
        <w:ind w:left="720"/>
      </w:pPr>
      <w:r>
        <w:t>ESMA의 직접 감독 대상: 리스크 모델 검토, 스트레스 테스트, 유동성 모니터링, 연례 검토</w:t>
      </w:r>
    </w:p>
    <w:p>
      <w:pPr>
        <w:pStyle w:val="ListBullet"/>
        <w:ind w:left="720"/>
      </w:pPr>
      <w:r>
        <w:t>ESMA는 EU 금융안정을 보전하기 위해 시정 조치를 제안할 수 있다</w:t>
      </w:r>
    </w:p>
    <w:p>
      <w:pPr>
        <w:pStyle w:val="ListBullet"/>
      </w:pPr>
      <w:r>
        <w:t>2026년 1월 기준, ESMA는 다수 관할권(미국, 영국, 일본, 홍콩, 싱가포르, 호주 등)의 CCP를 인정하였다</w:t>
      </w:r>
    </w:p>
    <w:p>
      <w:pPr>
        <w:pStyle w:val="Heading3"/>
      </w:pPr>
      <w:r>
        <w:t>5.3 브렉시트의 영국 CCP에 대한 영향 (Brexit Implications for UK CCPs)</w:t>
      </w:r>
    </w:p>
    <w:p>
      <w:pPr>
        <w:pStyle w:val="ListBullet"/>
      </w:pPr>
      <w:r>
        <w:t>브렉시트 이후(2021년 1월 1일): 영국 CCP는 EMIR에 따라 제3국 CCP가 되었다</w:t>
      </w:r>
    </w:p>
    <w:p>
      <w:pPr>
        <w:pStyle w:val="ListBullet"/>
      </w:pPr>
      <w:r>
        <w:t>ESMA가 인정한 주요 영국 CCP:</w:t>
      </w:r>
    </w:p>
    <w:p>
      <w:pPr>
        <w:pStyle w:val="ListBullet"/>
      </w:pPr>
      <w:r>
        <w:t>LCH Ltd (런던): Tier 2 — 유로화 표시 IRS 청산에서 지배적</w:t>
      </w:r>
    </w:p>
    <w:p>
      <w:pPr>
        <w:pStyle w:val="ListBullet"/>
      </w:pPr>
      <w:r>
        <w:t>ICE Clear Europe Ltd: Tier 2 — CDS 및 에너지 파생상품 청산이 중요</w:t>
      </w:r>
    </w:p>
    <w:p>
      <w:pPr>
        <w:pStyle w:val="ListBullet"/>
      </w:pPr>
      <w:r>
        <w:t>LME Clear Ltd: Tier 1 — 금속 파생상품</w:t>
      </w:r>
    </w:p>
    <w:p>
      <w:pPr>
        <w:pStyle w:val="ListBullet"/>
      </w:pPr>
      <w:r>
        <w:t>동등성 일정:</w:t>
      </w:r>
    </w:p>
    <w:p>
      <w:pPr>
        <w:pStyle w:val="ListBullet"/>
      </w:pPr>
      <w:r>
        <w:t>최초 일시적 동등성: 2022년 6월 30일까지</w:t>
      </w:r>
    </w:p>
    <w:p>
      <w:pPr>
        <w:pStyle w:val="ListBullet"/>
      </w:pPr>
      <w:r>
        <w:t>2025년 6월 30일까지 연장</w:t>
      </w:r>
    </w:p>
    <w:p>
      <w:pPr>
        <w:pStyle w:val="ListBullet"/>
      </w:pPr>
      <w:r>
        <w:t>최근 연장 (2025년 1월): 2028년 6월 30일까지 연장 (3년 연장)</w:t>
      </w:r>
    </w:p>
    <w:p>
      <w:pPr>
        <w:pStyle w:val="ListBullet"/>
      </w:pPr>
      <w:r>
        <w:t>목적: EMIR 3.0 조치의 이행을 위한 시간을 제공하여 영국 CCP에 대한 의존도를 줄인다</w:t>
      </w:r>
    </w:p>
    <w:p>
      <w:pPr>
        <w:pStyle w:val="ListBullet"/>
      </w:pPr>
      <w:r>
        <w:t>핵심 정책 긴장: EU 기업들이 유로 IRS 청산에서 LCH Ltd에 크게 의존하고 있으나, EU 정책은 청산을 EU CCP(Eurex, LCH SA)로 본국 귀환시키는 것을 목표로 한다</w:t>
      </w:r>
    </w:p>
    <w:p>
      <w:pPr>
        <w:pStyle w:val="Heading3"/>
      </w:pPr>
      <w:r>
        <w:t>5.4 EMIR 3.0 활성계좌 요건 (Active Account Requirement)</w:t>
      </w:r>
    </w:p>
    <w:p>
      <w:pPr>
        <w:pStyle w:val="ListBullet"/>
      </w:pPr>
      <w:r>
        <w:t>상당한 시스템적 중요성을 지닌 파생상품에 대해 청산의무가 있는 EU 거래상대방은 다음을 해야 한다:</w:t>
      </w:r>
    </w:p>
    <w:p>
      <w:pPr>
        <w:pStyle w:val="ListBullet"/>
      </w:pPr>
      <w:r>
        <w:t>EU 인가 CCP에서 활성 계좌를 개설하고 유지한다</w:t>
      </w:r>
    </w:p>
    <w:p>
      <w:pPr>
        <w:pStyle w:val="ListBullet"/>
      </w:pPr>
      <w:r>
        <w:t>관련 파생상품의 대표적 비율을 이 계좌를 통해 청산한다</w:t>
      </w:r>
    </w:p>
    <w:p>
      <w:pPr>
        <w:pStyle w:val="ListBullet"/>
      </w:pPr>
      <w:r>
        <w:t>계좌가 운영적으로 기능적임을 보장한다 (스트레스 테스트 참여 포함)</w:t>
      </w:r>
    </w:p>
    <w:p>
      <w:pPr>
        <w:pStyle w:val="ListBullet"/>
      </w:pPr>
      <w:r>
        <w:t>주요 적용 대상: 유로화 표시 IRS, 단기금리파생상품, 특정 CDS 유형</w:t>
      </w:r>
    </w:p>
    <w:p>
      <w:pPr>
        <w:pStyle w:val="ListBullet"/>
      </w:pPr>
      <w:r>
        <w:t>2025년 6월부터 보고를 통한 단계적 이행</w:t>
      </w:r>
    </w:p>
    <w:p>
      <w:pPr>
        <w:pStyle w:val="ListBullet"/>
      </w:pPr>
      <w:r>
        <w:t>ESMA가 운영 조건, 대표성, 보고에 관한 상세 RTS를 개발 중이다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보고 요건 (Reporting Requirements)</w:t>
      </w:r>
    </w:p>
    <w:p>
      <w:pPr>
        <w:pStyle w:val="Heading3"/>
      </w:pPr>
      <w:r>
        <w:t>6.1 EMIR 거래보고 (Trade Reporting, 제9조)</w:t>
      </w:r>
    </w:p>
    <w:p>
      <w:pPr>
        <w:pStyle w:val="ListBullet"/>
      </w:pPr>
      <w:r>
        <w:t>범위: 모든 파생상품 계약(OTC 및 장내거래)을 EU 등록 거래저장소(TR)에 보고해야 한다</w:t>
      </w:r>
    </w:p>
    <w:p>
      <w:pPr>
        <w:pStyle w:val="ListBullet"/>
      </w:pPr>
      <w:r>
        <w:t>보고 주체:</w:t>
      </w:r>
    </w:p>
    <w:p>
      <w:pPr>
        <w:pStyle w:val="ListBullet"/>
      </w:pPr>
      <w:r>
        <w:t>양 거래상대방이 모두 보고해야 한다 (양면 보고)</w:t>
      </w:r>
    </w:p>
    <w:p>
      <w:pPr>
        <w:pStyle w:val="ListBullet"/>
      </w:pPr>
      <w:r>
        <w:t>EMIR Refit에 따라: FC가 NFC- 거래상대방을 대신하여 보고할 책임이 있다</w:t>
      </w:r>
    </w:p>
    <w:p>
      <w:pPr>
        <w:pStyle w:val="ListBullet"/>
      </w:pPr>
      <w:r>
        <w:t>보고는 거래상대방, CCP 또는 제3자 서비스 제공자에게 위임할 수 있다</w:t>
      </w:r>
    </w:p>
    <w:p>
      <w:pPr>
        <w:pStyle w:val="ListBullet"/>
      </w:pPr>
      <w:r>
        <w:t>기한: 체결, 수정 또는 종료 후 T+1 (영업일 1일 이내)에 보고한다</w:t>
      </w:r>
    </w:p>
    <w:p>
      <w:pPr>
        <w:pStyle w:val="ListBullet"/>
      </w:pPr>
      <w:r>
        <w:t>내용: 거래상대방 데이터, 계약 데이터, 평가 데이터, 담보 데이터</w:t>
      </w:r>
    </w:p>
    <w:p>
      <w:pPr>
        <w:pStyle w:val="Heading3"/>
      </w:pPr>
      <w:r>
        <w:t>6.2 주요 식별자 (Key Identifiers)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식별자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목적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표준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**LEI** (법인식별기호, Legal Entity Identifier)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거래상대방 식별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ISO 17442 (GLEIF 시스템)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**UTI** (고유거래식별자, Unique Transaction Identifier)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각 거래의 고유 식별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CPMI-IOSCO / ISO 23897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**UPI** (고유상품식별자, Unique Product Identifier)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ISIN으로 식별되지 않는 OTC 파생상품의 상품 분류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CPMI-IOSCO / ANNA DSB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**ISIN**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규제시장, MTF, OTF, SI에서 거래되는 파생상품 식별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ISO 6166</w:t>
            </w:r>
          </w:p>
        </w:tc>
      </w:tr>
    </w:tbl>
    <w:p/>
    <w:p>
      <w:pPr>
        <w:pStyle w:val="Heading3"/>
      </w:pPr>
      <w:r>
        <w:t>6.3 EMIR Refit 보고 변경 (2024년 4월 29일부터 적용)</w:t>
      </w:r>
    </w:p>
    <w:p>
      <w:pPr>
        <w:pStyle w:val="ListBullet"/>
      </w:pPr>
      <w:r>
        <w:t>CPMI-IOSCO 글로벌 데이터 표준(CDE — 핵심 데이터 요소)과 정합</w:t>
      </w:r>
    </w:p>
    <w:p>
      <w:pPr>
        <w:pStyle w:val="ListBullet"/>
      </w:pPr>
      <w:r>
        <w:t>보고 필드 확대 (약 129개에서 약 203개로)</w:t>
      </w:r>
    </w:p>
    <w:p>
      <w:pPr>
        <w:pStyle w:val="ListBullet"/>
      </w:pPr>
      <w:r>
        <w:t>ISO 20022 기반 XML 보고 형식</w:t>
      </w:r>
    </w:p>
    <w:p>
      <w:pPr>
        <w:pStyle w:val="ListBullet"/>
      </w:pPr>
      <w:r>
        <w:t>강화된 데이터 품질 요건: TR 수준의 검증 규칙, 조정 프로세스</w:t>
      </w:r>
    </w:p>
    <w:p>
      <w:pPr>
        <w:pStyle w:val="ListBullet"/>
      </w:pPr>
      <w:r>
        <w:t>생애주기 이벤트 보고 표준화</w:t>
      </w:r>
    </w:p>
    <w:p>
      <w:pPr>
        <w:pStyle w:val="ListBullet"/>
      </w:pPr>
      <w:r>
        <w:t>거래상대방 간 매칭(pairing and matching) 요건</w:t>
      </w:r>
    </w:p>
    <w:p>
      <w:pPr>
        <w:pStyle w:val="ListBullet"/>
      </w:pPr>
      <w:r>
        <w:t>ESMA가 2023년 10월에 EMIR Refit 보고에 관한 지침을 발표하였다</w:t>
      </w:r>
    </w:p>
    <w:p>
      <w:pPr>
        <w:pStyle w:val="Heading3"/>
      </w:pPr>
      <w:r>
        <w:t>6.4 거래저장소 (Trade Repositories)</w:t>
      </w:r>
    </w:p>
    <w:p>
      <w:pPr>
        <w:pStyle w:val="ListBullet"/>
      </w:pPr>
      <w:r>
        <w:t>ESMA에 등록해야 한다 (또는 제3국 TR인 경우 인정을 받아야 한다)</w:t>
      </w:r>
    </w:p>
    <w:p>
      <w:pPr>
        <w:pStyle w:val="ListBullet"/>
      </w:pPr>
      <w:r>
        <w:t>책임: 데이터 수집, 검증, 조정, 안전한 저장, 기관에 대한 접근 제공</w:t>
      </w:r>
    </w:p>
    <w:p>
      <w:pPr>
        <w:pStyle w:val="ListBullet"/>
      </w:pPr>
      <w:r>
        <w:t>EU 등록 TR 포함: DTCC Derivatives Repository (DDRL), Regis-TR, UnaVista (LSEG), KDPW (폴란드), CME TR</w:t>
      </w:r>
    </w:p>
    <w:p>
      <w:pPr>
        <w:pStyle w:val="ListBullet"/>
      </w:pPr>
      <w:r>
        <w:t>TR은 관련 기관(NCA, ESMA, ECB, ESRB)에 데이터 접근을 제공해야 한다</w:t>
      </w:r>
    </w:p>
    <w:p>
      <w:pPr>
        <w:pStyle w:val="Heading3"/>
      </w:pPr>
      <w:r>
        <w:t>6.5 EMIR 3.0 보고의무 (Reporting Obligations)</w:t>
      </w:r>
    </w:p>
    <w:p>
      <w:pPr>
        <w:pStyle w:val="ListBullet"/>
      </w:pPr>
      <w:r>
        <w:t>AAR 준수에 관한 새로운 보고를 ESMA에 제출한다 (2025년 6월 25일부터)</w:t>
      </w:r>
    </w:p>
    <w:p>
      <w:pPr>
        <w:pStyle w:val="ListBullet"/>
      </w:pPr>
      <w:r>
        <w:t>ESMA는 향후 EMIR 3 보고의무에 관한 공개 성명을 발표하였다 (2025년 12월)</w:t>
      </w:r>
    </w:p>
    <w:p>
      <w:pPr>
        <w:pStyle w:val="ListBullet"/>
      </w:pPr>
      <w:r>
        <w:t>EU vs. 제3국 CCP에서의 청산 거래량에 관한 강화된 보고</w:t>
      </w:r>
    </w:p>
    <w:p>
      <w:pPr>
        <w:pStyle w:val="Heading3"/>
      </w:pPr>
      <w:r>
        <w:t>6.6 MiFID II 포지션 보고 (Position Reporting)</w:t>
      </w:r>
    </w:p>
    <w:p>
      <w:pPr>
        <w:pStyle w:val="ListBullet"/>
      </w:pPr>
      <w:r>
        <w:t>회원의 거래소에 대한 일일 포지션 보고</w:t>
      </w:r>
    </w:p>
    <w:p>
      <w:pPr>
        <w:pStyle w:val="ListBullet"/>
      </w:pPr>
      <w:r>
        <w:t>거래소가 발표하는 주간 종합 거래자약정(CoT) 보고서</w:t>
      </w:r>
    </w:p>
    <w:p>
      <w:pPr>
        <w:pStyle w:val="ListBullet"/>
      </w:pPr>
      <w:r>
        <w:t>NCA 및 ESMA와의 포지션 데이터 공유</w:t>
      </w:r>
    </w:p>
    <w:p>
      <w:pPr>
        <w:pStyle w:val="Heading3"/>
      </w:pPr>
      <w:r>
        <w:t>6.7 MiFIR 거래보고 (Transaction Reporting, 제26조)</w:t>
      </w:r>
    </w:p>
    <w:p>
      <w:pPr>
        <w:pStyle w:val="ListBullet"/>
      </w:pPr>
      <w:r>
        <w:t>투자회사가 파생상품 거래를 NCA에 보고한다</w:t>
      </w:r>
    </w:p>
    <w:p>
      <w:pPr>
        <w:pStyle w:val="ListBullet"/>
      </w:pPr>
      <w:r>
        <w:t>고객, 의사결정자 및 체결에 관한 상세 정보를 포함한다</w:t>
      </w:r>
    </w:p>
    <w:p>
      <w:pPr>
        <w:pStyle w:val="ListBullet"/>
      </w:pPr>
      <w:r>
        <w:t>NCA 간 및 ESMA와의 데이터 공유를 통한 교차 국경 감시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국경간 프레임워크 (Cross-Border Framework)</w:t>
      </w:r>
    </w:p>
    <w:p>
      <w:pPr>
        <w:pStyle w:val="Heading3"/>
      </w:pPr>
      <w:r>
        <w:t>7.1 제3국 CCP 인정 (Third-Country CCP Recognition)</w:t>
      </w:r>
    </w:p>
    <w:p>
      <w:pPr>
        <w:pStyle w:val="ListBullet"/>
      </w:pPr>
      <w:r>
        <w:t>ESMA 인정 절차에는 다음이 필요하다:</w:t>
      </w:r>
    </w:p>
    <w:p>
      <w:pPr>
        <w:pStyle w:val="ListNumber"/>
      </w:pPr>
      <w:r>
        <w:t>제3국 CCP 규제 프레임워크에 대한 위원회 동등성 결정</w:t>
      </w:r>
    </w:p>
    <w:p>
      <w:pPr>
        <w:pStyle w:val="ListNumber"/>
      </w:pPr>
      <w:r>
        <w:t>ESMA와 제3국 기관 간 협력 약정(MoU)</w:t>
      </w:r>
    </w:p>
    <w:p>
      <w:pPr>
        <w:pStyle w:val="ListNumber"/>
      </w:pPr>
      <w:r>
        <w:t>제3국 CCP의 신청</w:t>
      </w:r>
    </w:p>
    <w:p>
      <w:pPr>
        <w:pStyle w:val="ListNumber"/>
      </w:pPr>
      <w:r>
        <w:t>ESMA의 계층 평가 (Tier 1 또는 Tier 2)</w:t>
      </w:r>
    </w:p>
    <w:p>
      <w:pPr>
        <w:pStyle w:val="ListBullet"/>
      </w:pPr>
      <w:r>
        <w:t>인정된 제3국 CCP는 ESMA 등록부에 기재된다 (정기적으로 갱신)</w:t>
      </w:r>
    </w:p>
    <w:p>
      <w:pPr>
        <w:pStyle w:val="Heading3"/>
      </w:pPr>
      <w:r>
        <w:t>7.2 동등성 결정 (Equivalence Decisions)</w:t>
      </w:r>
    </w:p>
    <w:p>
      <w:pPr>
        <w:pStyle w:val="ListBullet"/>
      </w:pPr>
      <w:r>
        <w:t>위원회는 다수 관할권의 CCP 프레임워크에 대해 동등성 결정을 채택하였다:</w:t>
      </w:r>
    </w:p>
    <w:p>
      <w:pPr>
        <w:pStyle w:val="ListBullet"/>
      </w:pPr>
      <w:r>
        <w:t>완전 동등성: 미국(CFTC 규제), 일본, 홍콩, 싱가포르, 호주, 브라질, 캐나다, 멕시코, 한국, 인도 등</w:t>
      </w:r>
    </w:p>
    <w:p>
      <w:pPr>
        <w:pStyle w:val="ListBullet"/>
      </w:pPr>
      <w:r>
        <w:t>영국: 2028년 6월 30일까지의 기한부 동등성</w:t>
      </w:r>
    </w:p>
    <w:p>
      <w:pPr>
        <w:pStyle w:val="ListBullet"/>
      </w:pPr>
      <w:r>
        <w:t>동등성은 결과 기반 접근법(outcomes-based approach)으로 평가된다 (조문별 규제 대조가 아님)</w:t>
      </w:r>
    </w:p>
    <w:p>
      <w:pPr>
        <w:pStyle w:val="ListBullet"/>
      </w:pPr>
      <w:r>
        <w:t>위원회는 조건이 변경되면 동등성 결정을 철회할 수 있다</w:t>
      </w:r>
    </w:p>
    <w:p>
      <w:pPr>
        <w:pStyle w:val="Heading3"/>
      </w:pPr>
      <w:r>
        <w:t>7.3 제3국 거래소 인정 (Third-Country Trading Venue Recognition)</w:t>
      </w:r>
    </w:p>
    <w:p>
      <w:pPr>
        <w:pStyle w:val="ListBullet"/>
      </w:pPr>
      <w:r>
        <w:t>MiFIR 거래의무에 따라, 동등성 결정은 파생상품이 동등한 것으로 간주된 제3국 거래소에서 거래되는 것을 허용한다</w:t>
      </w:r>
    </w:p>
    <w:p>
      <w:pPr>
        <w:pStyle w:val="ListBullet"/>
      </w:pPr>
      <w:r>
        <w:t>현재까지 거래소에 대해 채택된 동등성 결정은 제한적이다</w:t>
      </w:r>
    </w:p>
    <w:p>
      <w:pPr>
        <w:pStyle w:val="Heading3"/>
      </w:pPr>
      <w:r>
        <w:t>7.4 IOSCO 공조 (IOSCO Coordination)</w:t>
      </w:r>
    </w:p>
    <w:p>
      <w:pPr>
        <w:pStyle w:val="ListBullet"/>
      </w:pPr>
      <w:r>
        <w:t>EU 프레임워크는 IOSCO 금융시장인프라 원칙(PFMIs)과 정합된다</w:t>
      </w:r>
    </w:p>
    <w:p>
      <w:pPr>
        <w:pStyle w:val="ListBullet"/>
      </w:pPr>
      <w:r>
        <w:t>CPMI-IOSCO 데이터 조화 표준(UTI, UPI, CDE)이 EMIR Refit에 채택되었다</w:t>
      </w:r>
    </w:p>
    <w:p>
      <w:pPr>
        <w:pStyle w:val="ListBullet"/>
      </w:pPr>
      <w:r>
        <w:t>국경간 CCP 감독 및 회복/정리에 관한 IOSCO 공조</w:t>
      </w:r>
    </w:p>
    <w:p>
      <w:pPr>
        <w:pStyle w:val="Heading3"/>
      </w:pPr>
      <w:r>
        <w:t>7.5 브렉시트 이후 영국-EU 파생상품 환경 (Post-Brexit UK-EU Derivatives Landscape)</w:t>
      </w:r>
    </w:p>
    <w:p>
      <w:pPr>
        <w:pStyle w:val="ListBullet"/>
      </w:pPr>
      <w:r>
        <w:t>EU 거래소에 대한 영국 동등성: 영국(FCA)이 거래의무 목적으로 EU 규제시장에 동등성을 부여하였다</w:t>
      </w:r>
    </w:p>
    <w:p>
      <w:pPr>
        <w:pStyle w:val="ListBullet"/>
      </w:pPr>
      <w:r>
        <w:t>영국 CCP에 대한 EU 동등성: 2028년 6월 30일까지의 기한부</w:t>
      </w:r>
    </w:p>
    <w:p>
      <w:pPr>
        <w:pStyle w:val="ListBullet"/>
      </w:pPr>
      <w:r>
        <w:t>규제 분화 리스크:</w:t>
      </w:r>
    </w:p>
    <w:p>
      <w:pPr>
        <w:pStyle w:val="ListBullet"/>
      </w:pPr>
      <w:r>
        <w:t>영국은 독립적인 파생상품 규제를 발전시켰다 (UK EMIR, UK MiFIR)</w:t>
      </w:r>
    </w:p>
    <w:p>
      <w:pPr>
        <w:pStyle w:val="ListBullet"/>
      </w:pPr>
      <w:r>
        <w:t>청산의무 범위, 보고 형식, CCP 요건에서의 차이가 나타나고 있다</w:t>
      </w:r>
    </w:p>
    <w:p>
      <w:pPr>
        <w:pStyle w:val="ListBullet"/>
      </w:pPr>
      <w:r>
        <w:t>영국은 EU 규정을 국내법으로 전환한 후 영국 고유의 개정을 추가하였다</w:t>
      </w:r>
    </w:p>
    <w:p>
      <w:pPr>
        <w:pStyle w:val="ListBullet"/>
      </w:pPr>
      <w:r>
        <w:t>시장 영향: 일부 파생상품 시장에서의 유동성 분열; 국경간 참여자에 대한 이중 보고의무</w:t>
      </w:r>
    </w:p>
    <w:p>
      <w:pPr>
        <w:pStyle w:val="ListBullet"/>
      </w:pPr>
      <w:r>
        <w:t>양해각서: CCP 감독, TR 데이터 공유 및 시장감시를 위한 ESMA-FCA 협력 약정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최근 동향 (2023-2026) (Recent Developments)</w:t>
      </w:r>
    </w:p>
    <w:p>
      <w:pPr>
        <w:pStyle w:val="Heading3"/>
      </w:pPr>
      <w:r>
        <w:t>8.1 EMIR 3.0 이행 일정 (Implementation Timeline)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주요 일정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2022년 12월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위원회의 EMIR 개정(EMIR 3.0) 입법 제안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11월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유럽의회 및 이사회 채택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12월 4일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관보 게재 (Regulation 2024/2987)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12월 24일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6월 25일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AAR 보고의무 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6월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ESMA의 AAR 최종 보고서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10월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ESMA의 참여 요건 RTS 초안 의견수렴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12월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ESMA의 향후 EMIR 3 보고의무 공개 성명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2월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ESMA의 청산 기준 RTS 최종 보고서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2026-2027년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전체 AAR 운영 요건 적용 예상</w:t>
            </w:r>
          </w:p>
        </w:tc>
      </w:tr>
    </w:tbl>
    <w:p/>
    <w:p>
      <w:pPr>
        <w:pStyle w:val="Heading3"/>
      </w:pPr>
      <w:r>
        <w:t>8.2 활성계좌 요건 논의 (Active Account Requirement Debates)</w:t>
      </w:r>
    </w:p>
    <w:p>
      <w:pPr>
        <w:pStyle w:val="ListBullet"/>
      </w:pPr>
      <w:r>
        <w:t>AAR의 범위 및 조정에 관한 상당한 업계 논의</w:t>
      </w:r>
    </w:p>
    <w:p>
      <w:pPr>
        <w:pStyle w:val="ListBullet"/>
      </w:pPr>
      <w:r>
        <w:t>시장 분열 및 EU 참여자에 대한 비용 증가 우려</w:t>
      </w:r>
    </w:p>
    <w:p>
      <w:pPr>
        <w:pStyle w:val="ListBullet"/>
      </w:pPr>
      <w:r>
        <w:t>LCH Ltd (런던)가 유로화 표시 IRS 청산에서 지배적이다 (역사적으로 시장 점유율 90% 이상)</w:t>
      </w:r>
    </w:p>
    <w:p>
      <w:pPr>
        <w:pStyle w:val="ListBullet"/>
      </w:pPr>
      <w:r>
        <w:t>EU CCP(특히 Eurex)가 청산 거래량을 유치하기 위해 수용력 및 인센티브 프로그램에 투자하고 있다</w:t>
      </w:r>
    </w:p>
    <w:p>
      <w:pPr>
        <w:pStyle w:val="ListBullet"/>
      </w:pPr>
      <w:r>
        <w:t>대표성 기준이 적절한 수준으로 설정되었는지에 관한 지속적 논의</w:t>
      </w:r>
    </w:p>
    <w:p>
      <w:pPr>
        <w:pStyle w:val="ListBullet"/>
      </w:pPr>
      <w:r>
        <w:t>EU 최종사용자의 청산 유동성 및 가격에 대한 잠재적 영향</w:t>
      </w:r>
    </w:p>
    <w:p>
      <w:pPr>
        <w:pStyle w:val="Heading3"/>
      </w:pPr>
      <w:r>
        <w:t>8.3 통합시세정보제공자 (Consolidated Tape Provider, CTP)</w:t>
      </w:r>
    </w:p>
    <w:p>
      <w:pPr>
        <w:pStyle w:val="ListBullet"/>
      </w:pPr>
      <w:r>
        <w:t>MiFIR 개정이 자산유형별 CTP 프레임워크를 수립한다</w:t>
      </w:r>
    </w:p>
    <w:p>
      <w:pPr>
        <w:pStyle w:val="ListBullet"/>
      </w:pPr>
      <w:r>
        <w:t>OTC 파생상품 CTP: ESMA가 2026년 1월 5일에 선정 절차를 개시하였다</w:t>
      </w:r>
    </w:p>
    <w:p>
      <w:pPr>
        <w:pStyle w:val="ListBullet"/>
      </w:pPr>
      <w:r>
        <w:t>제출 기한: 2026년 2월 11일</w:t>
      </w:r>
    </w:p>
    <w:p>
      <w:pPr>
        <w:pStyle w:val="ListBullet"/>
      </w:pPr>
      <w:r>
        <w:t>ESMA가 CTP를 선정, 인가, 감독한다</w:t>
      </w:r>
    </w:p>
    <w:p>
      <w:pPr>
        <w:pStyle w:val="ListBullet"/>
      </w:pPr>
      <w:r>
        <w:t>CTP는 OTC 파생상품에 대한 사후거래 데이터를 통합하여 가격 투명성을 강화할 것으로 기대된다</w:t>
      </w:r>
    </w:p>
    <w:p>
      <w:pPr>
        <w:pStyle w:val="ListBullet"/>
      </w:pPr>
      <w:r>
        <w:t>데이터 기여자와 CTP 간의 수익 공유 모델</w:t>
      </w:r>
    </w:p>
    <w:p>
      <w:pPr>
        <w:pStyle w:val="Heading3"/>
      </w:pPr>
      <w:r>
        <w:t>8.4 ESG 파생상품 규제 (ESG Derivatives Regulation)</w:t>
      </w:r>
    </w:p>
    <w:p>
      <w:pPr>
        <w:pStyle w:val="ListBullet"/>
      </w:pPr>
      <w:r>
        <w:t>ESG 연계 파생상품 시장의 성장 (지속가능성 연계 스왑, 탄소 파생상품, 녹색채권 선물)</w:t>
      </w:r>
    </w:p>
    <w:p>
      <w:pPr>
        <w:pStyle w:val="ListBullet"/>
      </w:pPr>
      <w:r>
        <w:t>EU ETS 배출허용량 파생상품이 MiFID II 포지션한도 체제의 적용을 받는다</w:t>
      </w:r>
    </w:p>
    <w:p>
      <w:pPr>
        <w:pStyle w:val="ListBullet"/>
      </w:pPr>
      <w:r>
        <w:t>EU 택소노미 규정 및 SFDR: 파생상품 포트폴리오에 대한 ESG 관련 공시에 대한 관심 증가</w:t>
      </w:r>
    </w:p>
    <w:p>
      <w:pPr>
        <w:pStyle w:val="ListBullet"/>
      </w:pPr>
      <w:r>
        <w:t>ESG 등급 규정: 적용일 2026년 7월 2일; ESMA가 지원 기술표준을 개발 중이다</w:t>
      </w:r>
    </w:p>
    <w:p>
      <w:pPr>
        <w:pStyle w:val="ListBullet"/>
      </w:pPr>
      <w:r>
        <w:t>탄소국경조정메커니즘(CBAM)이 새로운 파생상품 상품을 창출할 수 있다</w:t>
      </w:r>
    </w:p>
    <w:p>
      <w:pPr>
        <w:pStyle w:val="ListBullet"/>
      </w:pPr>
      <w:r>
        <w:t>ESMA가 파생상품 시장에서의 ESG 관련 그린워싱 리스크를 모니터링하고 있다</w:t>
      </w:r>
    </w:p>
    <w:p>
      <w:pPr>
        <w:pStyle w:val="Heading3"/>
      </w:pPr>
      <w:r>
        <w:t>8.5 디지털/암호자산 파생상품 (Digital / Crypto Derivatives)</w:t>
      </w:r>
    </w:p>
    <w:p>
      <w:pPr>
        <w:pStyle w:val="ListBullet"/>
      </w:pPr>
      <w:r>
        <w:t>MiCA (2024년 12월 전면 적용): 암호자산 프레임워크; MiFID II에 따라 금융상품으로 분류되는 암호자산은 MiFID II/EMIR의 적용을 받는다</w:t>
      </w:r>
    </w:p>
    <w:p>
      <w:pPr>
        <w:pStyle w:val="ListBullet"/>
      </w:pPr>
      <w:r>
        <w:t>암호자산 파생상품은 기초자산이 MiFID II에 따라 해당되는 경우 전통적 파생상품과 동일한 청산, 보고 및 투명성 요건을 적용받는다</w:t>
      </w:r>
    </w:p>
    <w:p>
      <w:pPr>
        <w:pStyle w:val="ListBullet"/>
      </w:pPr>
      <w:r>
        <w:t>DLT 파일럿 체제 (Regulation 2022/858): 파생상품을 포함한 DLT 기반 금융상품의 거래 및 결제를 위한 샌드박스 (제한적 범위)</w:t>
      </w:r>
    </w:p>
    <w:p>
      <w:pPr>
        <w:pStyle w:val="ListBullet"/>
      </w:pPr>
      <w:r>
        <w:t>DAC8: 2026년 1월 1일부터 암호자산 거래에 대한 세무 투명성</w:t>
      </w:r>
    </w:p>
    <w:p>
      <w:pPr>
        <w:pStyle w:val="ListBullet"/>
      </w:pPr>
      <w:r>
        <w:t>ESMA가 일관된 NCA 해석을 보장하기 위해 암호자산의 금융상품 분류에 관한 지침을 발행하였다</w:t>
      </w:r>
    </w:p>
    <w:p>
      <w:pPr>
        <w:pStyle w:val="Heading3"/>
      </w:pPr>
      <w:r>
        <w:t>8.6 CCP 회복 및 정리 (CCP Recovery and Resolution)</w:t>
      </w:r>
    </w:p>
    <w:p>
      <w:pPr>
        <w:pStyle w:val="ListBullet"/>
      </w:pPr>
      <w:r>
        <w:t>CCPRRR — CCP 회복 및 정리 규정 (EU) 2021/23:</w:t>
      </w:r>
    </w:p>
    <w:p>
      <w:pPr>
        <w:pStyle w:val="ListBullet"/>
      </w:pPr>
      <w:r>
        <w:t>EU CCP에 대한 회복 계획, 정리 계획 및 정리기관</w:t>
      </w:r>
    </w:p>
    <w:p>
      <w:pPr>
        <w:pStyle w:val="ListBullet"/>
      </w:pPr>
      <w:r>
        <w:t>정리 수단: 포지션 배분, 강제 계약 종료, 지분/부채 감액</w:t>
      </w:r>
    </w:p>
    <w:p>
      <w:pPr>
        <w:pStyle w:val="ListBullet"/>
      </w:pPr>
      <w:r>
        <w:t>청산회원의 정리기금 출연</w:t>
      </w:r>
    </w:p>
    <w:p>
      <w:pPr>
        <w:pStyle w:val="ListBullet"/>
      </w:pPr>
      <w:r>
        <w:t>CCP 스트레스 테스트 및 정리 준비에 관한 ESMA의 지속적 작업</w:t>
      </w:r>
    </w:p>
    <w:p>
      <w:pPr>
        <w:pStyle w:val="Heading3"/>
      </w:pPr>
      <w:r>
        <w:t>8.7 ESMA 2026 업무 프로그램 (주요 파생상품 항목)</w:t>
      </w:r>
    </w:p>
    <w:p>
      <w:pPr>
        <w:pStyle w:val="ListBullet"/>
      </w:pPr>
      <w:r>
        <w:t>Tier 2 CCP에 대한 지속적 감독 (리스크 모델 모니터링, 스트레스 테스트, 유동성 및 운영리스크)</w:t>
      </w:r>
    </w:p>
    <w:p>
      <w:pPr>
        <w:pStyle w:val="ListBullet"/>
      </w:pPr>
      <w:r>
        <w:t>EMIR 3.0 RTS 개발 및 이행</w:t>
      </w:r>
    </w:p>
    <w:p>
      <w:pPr>
        <w:pStyle w:val="ListBullet"/>
      </w:pPr>
      <w:r>
        <w:t>MiFIR 개정 기술표준 확정</w:t>
      </w:r>
    </w:p>
    <w:p>
      <w:pPr>
        <w:pStyle w:val="ListBullet"/>
      </w:pPr>
      <w:r>
        <w:t>CTP 선정 및 인가 절차</w:t>
      </w:r>
    </w:p>
    <w:p>
      <w:pPr>
        <w:pStyle w:val="ListBullet"/>
      </w:pPr>
      <w:r>
        <w:t>금융거래 보고의 간소화 (2025년 6월 의견수렴 개시)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한국과의 비교 (Comparison with Korea)</w:t>
      </w:r>
    </w:p>
    <w:p>
      <w:pPr>
        <w:pStyle w:val="Heading3"/>
      </w:pPr>
      <w:r>
        <w:t>9.1 규제 구조 (Regulatory Architecture)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**주요 규제기관**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ESMA (조율) + NCA (각국)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 (금융위원회) + FSS (금융감독원)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**거래소 운영자**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복수 (Eurex, Euronext, ICE, Nasdaq Nordic 등)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(한국거래소) — 단일 통합 거래소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**CCP 모델**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복수 인가 CCP (Eurex Clearing, LCH SA 등)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 — 장내 및 OTC 파생상품 단일 CCP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**법적 프레임워크**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EMIR, MiFID II/MiFIR (EU 규정/지침)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자본시장과 금융투자업에 관한 법률 (자본시장법, FSCMA, 2013년 3월 개정)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**감독 방식**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다층적 (ESMA + 27개 NCA + ECB)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중앙집중형 (FSC/FSS)</w:t>
            </w:r>
          </w:p>
        </w:tc>
      </w:tr>
    </w:tbl>
    <w:p/>
    <w:p>
      <w:pPr>
        <w:pStyle w:val="Heading3"/>
      </w:pPr>
      <w:r>
        <w:t>9.2 포지션한도 접근방식 (Position Limit Approaches)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**법적 근거**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MiFID II 제57조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자본시장법 + KRX 규정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**범위**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 및 배출권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상장 파생상품 (주식, 지수, 상품)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**설정 기관**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NCA (ESMA 조율)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(FSC/FSS 감독 하)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**방법론**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인도가능공급량 및 미결제약정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미결제약정 및 명목가치 기반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**헤지 면제**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NCA 부여 면제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부여 면제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**투기 한도**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계약별 한도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계좌별 및 상품별 한도</w:t>
            </w:r>
          </w:p>
        </w:tc>
      </w:tr>
    </w:tbl>
    <w:p/>
    <w:p>
      <w:pPr>
        <w:pStyle w:val="Heading3"/>
      </w:pPr>
      <w:r>
        <w:t>9.3 청산의무 비교 (Clearing Mandates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**OTC 청산의무**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표준화 IRS 및 CDS (2016-2019년 단계적 도입)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IRS, CRS (2014년 도입)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**CCP**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복수 EU CCP + 인정된 제3국 CCP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 (단일)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**거래상대방 범위**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FC, NFC+ (청산 기준 초과)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금융기관 (은행, 증권회사)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**청산 기준**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있음 (자산유형별 명목금액 기준)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있음 (거래량 기반)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**G20 정합**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완전 (EMIR이 G20 피츠버그 공약을 이행)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완전 (자본시장법 개정이 G20 공약을 이행)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**거래보고**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양면 보고, TR에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TR(한국 거래저장소)에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**리스크 경감(비청산)**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양자간 증거금, 확인, 조정, 압축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양자간 증거금, 유사한 리스크 경감 요건</w:t>
            </w:r>
          </w:p>
        </w:tc>
      </w:tr>
    </w:tbl>
    <w:p/>
    <w:p>
      <w:pPr>
        <w:pStyle w:val="Heading3"/>
      </w:pPr>
      <w:r>
        <w:t>9.4 주요 구조적 차이 (Key Structural Differences)</w:t>
      </w:r>
    </w:p>
    <w:p>
      <w:pPr>
        <w:pStyle w:val="ListBullet"/>
      </w:pPr>
      <w:r>
        <w:t>시장 구조: EU는 분산된 다중 거래소, 다중 CCP 환경을 가지고 있는 반면, 한국은 KRX 하의 중앙집중형 단일 거래소 모델이다</w:t>
      </w:r>
    </w:p>
    <w:p>
      <w:pPr>
        <w:pStyle w:val="ListBullet"/>
      </w:pPr>
      <w:r>
        <w:t>규제 복잡성: EU의 다층적 프레임워크(EU 수준 규정 + 국내법 전환 + NCA 이행)에 비해 한국의 FSC/FSS-KRX 구조는 간소화되어 있다</w:t>
      </w:r>
    </w:p>
    <w:p>
      <w:pPr>
        <w:pStyle w:val="ListBullet"/>
      </w:pPr>
      <w:r>
        <w:t>국경간 차원: EU 프레임워크는 제3국 CCP 인정 및 동등성에 크게 초점을 맞추고 있으나 (브렉시트 및 글로벌 상호연결로 인해), 한국의 프레임워크는 주로 국내에 초점을 맞추고 IOSCO/FSB를 통한 국제 공조를 활용한다</w:t>
      </w:r>
    </w:p>
    <w:p>
      <w:pPr>
        <w:pStyle w:val="ListBullet"/>
      </w:pPr>
      <w:r>
        <w:t>활성계좌 개념: EU의 EMIR 3.0 AAR에 직접적으로 대응하는 한국의 규정은 없다 (KRX CCP가 국내 독점 청산 제공자)</w:t>
      </w:r>
    </w:p>
    <w:p>
      <w:pPr>
        <w:pStyle w:val="ListBullet"/>
      </w:pPr>
      <w:r>
        <w:t>보고 표준: 양 관할권 모두 CPMI-IOSCO 글로벌 데이터 표준(UTI, UPI, LEI)과 정합되어 있다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참고문헌 (References)</w:t>
      </w:r>
    </w:p>
    <w:p>
      <w:pPr>
        <w:pStyle w:val="Heading3"/>
      </w:pPr>
      <w:r>
        <w:t>주요 법률 (Primary Legislation, EUR-Lex)</w:t>
      </w:r>
    </w:p>
    <w:p>
      <w:pPr>
        <w:pStyle w:val="ListBullet"/>
      </w:pPr>
      <w:r>
        <w:t>[EMIR — Regulation (EU) No 648/2012](https://eur-lex.europa.eu/eli/reg/2012/648/oj/eng)</w:t>
      </w:r>
    </w:p>
    <w:p>
      <w:pPr>
        <w:pStyle w:val="ListBullet"/>
      </w:pPr>
      <w:r>
        <w:t>[EMIR 3.0 — Regulation (EU) 2024/2987](https://eur-lex.europa.eu/eli/reg/2024/2987/oj/eng)</w:t>
      </w:r>
    </w:p>
    <w:p>
      <w:pPr>
        <w:pStyle w:val="ListBullet"/>
      </w:pPr>
      <w:r>
        <w:t>[MiFIR Review — Regulation (EU) 2024/791](https://eur-lex.europa.eu/eli/reg/2024/791/oj/eng)</w:t>
      </w:r>
    </w:p>
    <w:p>
      <w:pPr>
        <w:pStyle w:val="Heading3"/>
      </w:pPr>
      <w:r>
        <w:t>ESMA</w:t>
      </w:r>
    </w:p>
    <w:p>
      <w:pPr>
        <w:pStyle w:val="ListBullet"/>
      </w:pPr>
      <w:r>
        <w:t>[EMIR Reporting](https://www.esma.europa.eu/data-reporting/emir-reporting)</w:t>
      </w:r>
    </w:p>
    <w:p>
      <w:pPr>
        <w:pStyle w:val="ListBullet"/>
      </w:pPr>
      <w:r>
        <w:t>[Clearing Obligation and Risk Mitigation Techniques under EMIR](https://www.esma.europa.eu/post-trading/clearing-obligation-and-risk-mitigation-techniques-under-emir)</w:t>
      </w:r>
    </w:p>
    <w:p>
      <w:pPr>
        <w:pStyle w:val="ListBullet"/>
      </w:pPr>
      <w:r>
        <w:t>[Third-Country CCPs](https://www.esma.europa.eu/central-counterparties/third-country-ccps)</w:t>
      </w:r>
    </w:p>
    <w:p>
      <w:pPr>
        <w:pStyle w:val="ListBullet"/>
      </w:pPr>
      <w:r>
        <w:t>[Clearing Thresholds](https://www.esma.europa.eu/post-trading/clearing-thresholds)</w:t>
      </w:r>
    </w:p>
    <w:p>
      <w:pPr>
        <w:pStyle w:val="ListBullet"/>
      </w:pPr>
      <w:r>
        <w:t>[Final Report on EMIR 3 Active Account Requirement](https://www.esma.europa.eu/press-news/esma-news/esma-publishes-final-report-active-account-requirement-under-emir-3)</w:t>
      </w:r>
    </w:p>
    <w:p>
      <w:pPr>
        <w:pStyle w:val="ListBullet"/>
      </w:pPr>
      <w:r>
        <w:t>[MiFIR Review Final Report on Derivatives Transparency](https://www.esma.europa.eu/press-news/esma-news/esma-finalises-technical-standards-derivatives-transparency-and-otc)</w:t>
      </w:r>
    </w:p>
    <w:p>
      <w:pPr>
        <w:pStyle w:val="ListBullet"/>
      </w:pPr>
      <w:r>
        <w:t>[Consolidated Tape Providers](https://www.esma.europa.eu/esmas-activities/markets-and-infrastructure/consolidated-tape-providers)</w:t>
      </w:r>
    </w:p>
    <w:p>
      <w:pPr>
        <w:pStyle w:val="ListBullet"/>
      </w:pPr>
      <w:r>
        <w:t>[Commodity Derivatives — Position Limits (MiFID II Article 57)](https://www.esma.europa.eu/publications-and-data/interactive-single-rulebook/mifid-ii/article-57-position-limits-commodity)</w:t>
      </w:r>
    </w:p>
    <w:p>
      <w:pPr>
        <w:pStyle w:val="ListBullet"/>
      </w:pPr>
      <w:r>
        <w:t>[MiCA — Markets in Crypto-Assets Regulation](https://www.esma.europa.eu/esmas-activities/digital-finance-and-innovation/markets-crypto-assets-regulation-mica)</w:t>
      </w:r>
    </w:p>
    <w:p>
      <w:pPr>
        <w:pStyle w:val="ListBullet"/>
      </w:pPr>
      <w:r>
        <w:t>[ESMA 2026 Annual Work Programme](https://www.esma.europa.eu/sites/default/files/2025-10/ESMA22-50751485-1604_Annual_Work_Programme_2026.pdf)</w:t>
      </w:r>
    </w:p>
    <w:p>
      <w:pPr>
        <w:pStyle w:val="Heading3"/>
      </w:pPr>
      <w:r>
        <w:t>유럽위원회 (European Commission)</w:t>
      </w:r>
    </w:p>
    <w:p>
      <w:pPr>
        <w:pStyle w:val="ListBullet"/>
      </w:pPr>
      <w:r>
        <w:t>[Derivatives / EMIR — Finance](https://finance.ec.europa.eu/financial-markets/financial-markets-policy/post-trade-services/derivatives-emir_en)</w:t>
      </w:r>
    </w:p>
    <w:p>
      <w:pPr>
        <w:pStyle w:val="ListBullet"/>
      </w:pPr>
      <w:r>
        <w:t>[UK CCP Equivalence Extension (January 2025)](https://finance.ec.europa.eu/news/commission-extends-time-limited-equivalence-uk-central-counterparties-2025-01-31_en)</w:t>
      </w:r>
    </w:p>
    <w:p>
      <w:pPr>
        <w:pStyle w:val="ListBullet"/>
      </w:pPr>
      <w:r>
        <w:t>[Benchmarks Regulation](https://finance.ec.europa.eu/news/benchmarks-2025-01-30_en)</w:t>
      </w:r>
    </w:p>
    <w:p>
      <w:pPr>
        <w:pStyle w:val="ListBullet"/>
      </w:pPr>
      <w:r>
        <w:t>[Crypto-Assets](https://finance.ec.europa.eu/digital-finance/crypto-assets_en)</w:t>
      </w:r>
    </w:p>
    <w:p>
      <w:pPr>
        <w:pStyle w:val="Heading3"/>
      </w:pPr>
      <w:r>
        <w:t>한국 (Korea)</w:t>
      </w:r>
    </w:p>
    <w:p>
      <w:pPr>
        <w:pStyle w:val="ListBullet"/>
      </w:pPr>
      <w:r>
        <w:t>[KRX OTC Derivatives Clearing](https://global.krx.co.kr/contents/GLB/02/0202/0202030201/GLB0202030201.jsp)</w:t>
      </w:r>
    </w:p>
    <w:p>
      <w:pPr>
        <w:pStyle w:val="ListBullet"/>
      </w:pPr>
      <w:r>
        <w:t>[FSC Press Release on OTC Clearing](https://www.fsc.go.kr/eng/pr010101/22219)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