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CME Globex — CME Group</w:t>
      </w:r>
    </w:p>
    <w:p>
      <w:r>
        <w:rPr>
          <w:i/>
          <w:sz w:val="18"/>
        </w:rPr>
        <w:t>**최종 수정일:** 2026-04-07</w:t>
      </w:r>
    </w:p>
    <w:p>
      <w:r>
        <w:rPr>
          <w:i/>
          <w:sz w:val="18"/>
        </w:rPr>
        <w:t>**시스템 분류:** 매매시스템 (Trading System)</w:t>
      </w:r>
    </w:p>
    <w:p>
      <w:r>
        <w:t>────────────────────────────────────────────────────────────</w:t>
      </w:r>
    </w:p>
    <w:p>
      <w:pPr>
        <w:pStyle w:val="Heading2"/>
      </w:pPr>
      <w:r>
        <w:t>1. 시스템 개요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w:t>
            </w:r>
          </w:p>
        </w:tc>
      </w:tr>
      <w:tr>
        <w:tc>
          <w:tcPr>
            <w:tcW w:type="dxa" w:w="4320"/>
          </w:tcPr>
          <w:p>
            <w:pPr/>
            <w:r>
              <w:rPr>
                <w:sz w:val="18"/>
              </w:rPr>
              <w:t>**시스템명**</w:t>
            </w:r>
          </w:p>
        </w:tc>
        <w:tc>
          <w:tcPr>
            <w:tcW w:type="dxa" w:w="4320"/>
          </w:tcPr>
          <w:p>
            <w:pPr/>
            <w:r>
              <w:rPr>
                <w:sz w:val="18"/>
              </w:rPr>
              <w:t>CME Globex</w:t>
            </w:r>
          </w:p>
        </w:tc>
      </w:tr>
      <w:tr>
        <w:tc>
          <w:tcPr>
            <w:tcW w:type="dxa" w:w="4320"/>
          </w:tcPr>
          <w:p>
            <w:pPr/>
            <w:r>
              <w:rPr>
                <w:sz w:val="18"/>
              </w:rPr>
              <w:t>**운영 주체**</w:t>
            </w:r>
          </w:p>
        </w:tc>
        <w:tc>
          <w:tcPr>
            <w:tcW w:type="dxa" w:w="4320"/>
          </w:tcPr>
          <w:p>
            <w:pPr/>
            <w:r>
              <w:rPr>
                <w:sz w:val="18"/>
              </w:rPr>
              <w:t>CME Group (CME, CBOT, NYMEX, COMEX)</w:t>
            </w:r>
          </w:p>
        </w:tc>
      </w:tr>
      <w:tr>
        <w:tc>
          <w:tcPr>
            <w:tcW w:type="dxa" w:w="4320"/>
          </w:tcPr>
          <w:p>
            <w:pPr/>
            <w:r>
              <w:rPr>
                <w:sz w:val="18"/>
              </w:rPr>
              <w:t>**목적**</w:t>
            </w:r>
          </w:p>
        </w:tc>
        <w:tc>
          <w:tcPr>
            <w:tcW w:type="dxa" w:w="4320"/>
          </w:tcPr>
          <w:p>
            <w:pPr/>
            <w:r>
              <w:rPr>
                <w:sz w:val="18"/>
              </w:rPr>
              <w:t>선물 및 선물옵션의 전자 매매</w:t>
            </w:r>
          </w:p>
        </w:tc>
      </w:tr>
      <w:tr>
        <w:tc>
          <w:tcPr>
            <w:tcW w:type="dxa" w:w="4320"/>
          </w:tcPr>
          <w:p>
            <w:pPr/>
            <w:r>
              <w:rPr>
                <w:sz w:val="18"/>
              </w:rPr>
              <w:t>**출시일**</w:t>
            </w:r>
          </w:p>
        </w:tc>
        <w:tc>
          <w:tcPr>
            <w:tcW w:type="dxa" w:w="4320"/>
          </w:tcPr>
          <w:p>
            <w:pPr/>
            <w:r>
              <w:rPr>
                <w:sz w:val="18"/>
              </w:rPr>
              <w:t>1992년 6월 25일</w:t>
            </w:r>
          </w:p>
        </w:tc>
      </w:tr>
      <w:tr>
        <w:tc>
          <w:tcPr>
            <w:tcW w:type="dxa" w:w="4320"/>
          </w:tcPr>
          <w:p>
            <w:pPr/>
            <w:r>
              <w:rPr>
                <w:sz w:val="18"/>
              </w:rPr>
              <w:t>**현재 플랫폼**</w:t>
            </w:r>
          </w:p>
        </w:tc>
        <w:tc>
          <w:tcPr>
            <w:tcW w:type="dxa" w:w="4320"/>
          </w:tcPr>
          <w:p>
            <w:pPr/>
            <w:r>
              <w:rPr>
                <w:sz w:val="18"/>
              </w:rPr>
              <w:t>Globex (NSC 기반, 독자 발전); 2028년까지 Google Cloud 이전 계획</w:t>
            </w:r>
          </w:p>
        </w:tc>
      </w:tr>
      <w:tr>
        <w:tc>
          <w:tcPr>
            <w:tcW w:type="dxa" w:w="4320"/>
          </w:tcPr>
          <w:p>
            <w:pPr/>
            <w:r>
              <w:rPr>
                <w:sz w:val="18"/>
              </w:rPr>
              <w:t>**벤더 / 자체개발**</w:t>
            </w:r>
          </w:p>
        </w:tc>
        <w:tc>
          <w:tcPr>
            <w:tcW w:type="dxa" w:w="4320"/>
          </w:tcPr>
          <w:p>
            <w:pPr/>
            <w:r>
              <w:rPr>
                <w:sz w:val="18"/>
              </w:rPr>
              <w:t>최초 Reuters (1992); 이후 Paris Bourse/MATIF의 NSC (1998); 이후 자체 발전</w:t>
            </w:r>
          </w:p>
        </w:tc>
      </w:tr>
      <w:tr>
        <w:tc>
          <w:tcPr>
            <w:tcW w:type="dxa" w:w="4320"/>
          </w:tcPr>
          <w:p>
            <w:pPr/>
            <w:r>
              <w:rPr>
                <w:sz w:val="18"/>
              </w:rPr>
              <w:t>**거래시간**</w:t>
            </w:r>
          </w:p>
        </w:tc>
        <w:tc>
          <w:tcPr>
            <w:tcW w:type="dxa" w:w="4320"/>
          </w:tcPr>
          <w:p>
            <w:pPr/>
            <w:r>
              <w:rPr>
                <w:sz w:val="18"/>
              </w:rPr>
              <w:t>거의 24시간, 주 6일 (일요일 저녁~금요일 오후, 미국 중부시간 기준)</w:t>
            </w:r>
          </w:p>
        </w:tc>
      </w:tr>
      <w:tr>
        <w:tc>
          <w:tcPr>
            <w:tcW w:type="dxa" w:w="4320"/>
          </w:tcPr>
          <w:p>
            <w:pPr/>
            <w:r>
              <w:rPr>
                <w:sz w:val="18"/>
              </w:rPr>
              <w:t>**상품**</w:t>
            </w:r>
          </w:p>
        </w:tc>
        <w:tc>
          <w:tcPr>
            <w:tcW w:type="dxa" w:w="4320"/>
          </w:tcPr>
          <w:p>
            <w:pPr/>
            <w:r>
              <w:rPr>
                <w:sz w:val="18"/>
              </w:rPr>
              <w:t>금리, 주가지수, 외환, 에너지, 금속, 농산물 등 전 자산군의 선물, 선물옵션, 스프레드, 조합주문</w:t>
            </w:r>
          </w:p>
        </w:tc>
      </w:tr>
    </w:tbl>
    <w:p/>
    <w:p>
      <w:pPr>
        <w:pStyle w:val="Heading3"/>
      </w:pPr>
      <w:r>
        <w:t>시스템 발전 과정 (System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연도</w:t>
            </w:r>
          </w:p>
        </w:tc>
        <w:tc>
          <w:tcPr>
            <w:tcW w:type="dxa" w:w="2880"/>
          </w:tcPr>
          <w:p>
            <w:pPr/>
            <w:r>
              <w:rPr>
                <w:b/>
                <w:sz w:val="18"/>
              </w:rPr>
              <w:t>주요 사건</w:t>
            </w:r>
          </w:p>
        </w:tc>
        <w:tc>
          <w:tcPr>
            <w:tcW w:type="dxa" w:w="2880"/>
          </w:tcPr>
          <w:p>
            <w:pPr/>
            <w:r>
              <w:rPr>
                <w:b/>
                <w:sz w:val="18"/>
              </w:rPr>
              <w:t>기술 / 비고</w:t>
            </w:r>
          </w:p>
        </w:tc>
      </w:tr>
      <w:tr>
        <w:tc>
          <w:tcPr>
            <w:tcW w:type="dxa" w:w="2880"/>
          </w:tcPr>
          <w:p>
            <w:pPr/>
            <w:r>
              <w:rPr>
                <w:sz w:val="18"/>
              </w:rPr>
              <w:t>1987</w:t>
            </w:r>
          </w:p>
        </w:tc>
        <w:tc>
          <w:tcPr>
            <w:tcW w:type="dxa" w:w="2880"/>
          </w:tcPr>
          <w:p>
            <w:pPr/>
            <w:r>
              <w:rPr>
                <w:sz w:val="18"/>
              </w:rPr>
              <w:t>개념 수립 및 개발 착수</w:t>
            </w:r>
          </w:p>
        </w:tc>
        <w:tc>
          <w:tcPr>
            <w:tcW w:type="dxa" w:w="2880"/>
          </w:tcPr>
          <w:p>
            <w:pPr/>
            <w:r>
              <w:rPr>
                <w:sz w:val="18"/>
              </w:rPr>
              <w:t>CME 의장 Leo Melamed과 경제학자 William Brodsky가 전자거래를 주도</w:t>
            </w:r>
          </w:p>
        </w:tc>
      </w:tr>
      <w:tr>
        <w:tc>
          <w:tcPr>
            <w:tcW w:type="dxa" w:w="2880"/>
          </w:tcPr>
          <w:p>
            <w:pPr/>
            <w:r>
              <w:rPr>
                <w:sz w:val="18"/>
              </w:rPr>
              <w:t>1992</w:t>
            </w:r>
          </w:p>
        </w:tc>
        <w:tc>
          <w:tcPr>
            <w:tcW w:type="dxa" w:w="2880"/>
          </w:tcPr>
          <w:p>
            <w:pPr/>
            <w:r>
              <w:rPr>
                <w:sz w:val="18"/>
              </w:rPr>
              <w:t>Globex 1.0 출시 (6월 25일)</w:t>
            </w:r>
          </w:p>
        </w:tc>
        <w:tc>
          <w:tcPr>
            <w:tcW w:type="dxa" w:w="2880"/>
          </w:tcPr>
          <w:p>
            <w:pPr/>
            <w:r>
              <w:rPr>
                <w:sz w:val="18"/>
              </w:rPr>
              <w:t>Reuters 기술 및 네트워크; 초기에는 국채 및 외환 상품</w:t>
            </w:r>
          </w:p>
        </w:tc>
      </w:tr>
      <w:tr>
        <w:tc>
          <w:tcPr>
            <w:tcW w:type="dxa" w:w="2880"/>
          </w:tcPr>
          <w:p>
            <w:pPr/>
            <w:r>
              <w:rPr>
                <w:sz w:val="18"/>
              </w:rPr>
              <w:t>1997</w:t>
            </w:r>
          </w:p>
        </w:tc>
        <w:tc>
          <w:tcPr>
            <w:tcW w:type="dxa" w:w="2880"/>
          </w:tcPr>
          <w:p>
            <w:pPr/>
            <w:r>
              <w:rPr>
                <w:sz w:val="18"/>
              </w:rPr>
              <w:t>E-mini S&amp;P 500 선물 출시</w:t>
            </w:r>
          </w:p>
        </w:tc>
        <w:tc>
          <w:tcPr>
            <w:tcW w:type="dxa" w:w="2880"/>
          </w:tcPr>
          <w:p>
            <w:pPr/>
            <w:r>
              <w:rPr>
                <w:sz w:val="18"/>
              </w:rPr>
              <w:t>Globex 전용으로 설계된 최초의 상품</w:t>
            </w:r>
          </w:p>
        </w:tc>
      </w:tr>
      <w:tr>
        <w:tc>
          <w:tcPr>
            <w:tcW w:type="dxa" w:w="2880"/>
          </w:tcPr>
          <w:p>
            <w:pPr/>
            <w:r>
              <w:rPr>
                <w:sz w:val="18"/>
              </w:rPr>
              <w:t>1998</w:t>
            </w:r>
          </w:p>
        </w:tc>
        <w:tc>
          <w:tcPr>
            <w:tcW w:type="dxa" w:w="2880"/>
          </w:tcPr>
          <w:p>
            <w:pPr/>
            <w:r>
              <w:rPr>
                <w:sz w:val="18"/>
              </w:rPr>
              <w:t>Globex 2.0 (2세대)</w:t>
            </w:r>
          </w:p>
        </w:tc>
        <w:tc>
          <w:tcPr>
            <w:tcW w:type="dxa" w:w="2880"/>
          </w:tcPr>
          <w:p>
            <w:pPr/>
            <w:r>
              <w:rPr>
                <w:sz w:val="18"/>
              </w:rPr>
              <w:t>Paris Bourse/MATIF의 수정된 NSC (Nouveau Systeme de Cotation) 매매체결엔진으로 이전</w:t>
            </w:r>
          </w:p>
        </w:tc>
      </w:tr>
      <w:tr>
        <w:tc>
          <w:tcPr>
            <w:tcW w:type="dxa" w:w="2880"/>
          </w:tcPr>
          <w:p>
            <w:pPr/>
            <w:r>
              <w:rPr>
                <w:sz w:val="18"/>
              </w:rPr>
              <w:t>2000</w:t>
            </w:r>
          </w:p>
        </w:tc>
        <w:tc>
          <w:tcPr>
            <w:tcW w:type="dxa" w:w="2880"/>
          </w:tcPr>
          <w:p>
            <w:pPr/>
            <w:r>
              <w:rPr>
                <w:sz w:val="18"/>
              </w:rPr>
              <w:t>오픈 액세스 규칙 도입</w:t>
            </w:r>
          </w:p>
        </w:tc>
        <w:tc>
          <w:tcPr>
            <w:tcW w:type="dxa" w:w="2880"/>
          </w:tcPr>
          <w:p>
            <w:pPr/>
            <w:r>
              <w:rPr>
                <w:sz w:val="18"/>
              </w:rPr>
              <w:t>의무적 브로커 중개 없이 고객의 직접 접속 허용</w:t>
            </w:r>
          </w:p>
        </w:tc>
      </w:tr>
      <w:tr>
        <w:tc>
          <w:tcPr>
            <w:tcW w:type="dxa" w:w="2880"/>
          </w:tcPr>
          <w:p>
            <w:pPr/>
            <w:r>
              <w:rPr>
                <w:sz w:val="18"/>
              </w:rPr>
              <w:t>2002</w:t>
            </w:r>
          </w:p>
        </w:tc>
        <w:tc>
          <w:tcPr>
            <w:tcW w:type="dxa" w:w="2880"/>
          </w:tcPr>
          <w:p>
            <w:pPr/>
            <w:r>
              <w:rPr>
                <w:sz w:val="18"/>
              </w:rPr>
              <w:t>일평균 거래량 100만 계약 돌파</w:t>
            </w:r>
          </w:p>
        </w:tc>
        <w:tc>
          <w:tcPr>
            <w:tcW w:type="dxa" w:w="2880"/>
          </w:tcPr>
          <w:p>
            <w:pPr/>
            <w:r>
              <w:rPr>
                <w:sz w:val="18"/>
              </w:rPr>
              <w:t>일일 전자거래 거래량이 최초로 이 기준을 초과</w:t>
            </w:r>
          </w:p>
        </w:tc>
      </w:tr>
      <w:tr>
        <w:tc>
          <w:tcPr>
            <w:tcW w:type="dxa" w:w="2880"/>
          </w:tcPr>
          <w:p>
            <w:pPr/>
            <w:r>
              <w:rPr>
                <w:sz w:val="18"/>
              </w:rPr>
              <w:t>2004</w:t>
            </w:r>
          </w:p>
        </w:tc>
        <w:tc>
          <w:tcPr>
            <w:tcW w:type="dxa" w:w="2880"/>
          </w:tcPr>
          <w:p>
            <w:pPr/>
            <w:r>
              <w:rPr>
                <w:sz w:val="18"/>
              </w:rPr>
              <w:t>Globex에서 10억 번째 계약 체결</w:t>
            </w:r>
          </w:p>
        </w:tc>
        <w:tc>
          <w:tcPr>
            <w:tcW w:type="dxa" w:w="2880"/>
          </w:tcPr>
          <w:p>
            <w:pPr/>
            <w:r>
              <w:rPr>
                <w:sz w:val="18"/>
              </w:rPr>
              <w:t>전자거래 거래량이 최초로 장내거래(pit) 거래량을 초과</w:t>
            </w:r>
          </w:p>
        </w:tc>
      </w:tr>
      <w:tr>
        <w:tc>
          <w:tcPr>
            <w:tcW w:type="dxa" w:w="2880"/>
          </w:tcPr>
          <w:p>
            <w:pPr/>
            <w:r>
              <w:rPr>
                <w:sz w:val="18"/>
              </w:rPr>
              <w:t>2006</w:t>
            </w:r>
          </w:p>
        </w:tc>
        <w:tc>
          <w:tcPr>
            <w:tcW w:type="dxa" w:w="2880"/>
          </w:tcPr>
          <w:p>
            <w:pPr/>
            <w:r>
              <w:rPr>
                <w:sz w:val="18"/>
              </w:rPr>
              <w:t>CME-CBOT 합병 합의</w:t>
            </w:r>
          </w:p>
        </w:tc>
        <w:tc>
          <w:tcPr>
            <w:tcW w:type="dxa" w:w="2880"/>
          </w:tcPr>
          <w:p>
            <w:pPr/>
            <w:r>
              <w:rPr>
                <w:sz w:val="18"/>
              </w:rPr>
              <w:t>CBOT 상품이 Globex 플랫폼으로 이전 시작</w:t>
            </w:r>
          </w:p>
        </w:tc>
      </w:tr>
      <w:tr>
        <w:tc>
          <w:tcPr>
            <w:tcW w:type="dxa" w:w="2880"/>
          </w:tcPr>
          <w:p>
            <w:pPr/>
            <w:r>
              <w:rPr>
                <w:sz w:val="18"/>
              </w:rPr>
              <w:t>2007</w:t>
            </w:r>
          </w:p>
        </w:tc>
        <w:tc>
          <w:tcPr>
            <w:tcW w:type="dxa" w:w="2880"/>
          </w:tcPr>
          <w:p>
            <w:pPr/>
            <w:r>
              <w:rPr>
                <w:sz w:val="18"/>
              </w:rPr>
              <w:t>CME Group 출범 (CME + CBOT)</w:t>
            </w:r>
          </w:p>
        </w:tc>
        <w:tc>
          <w:tcPr>
            <w:tcW w:type="dxa" w:w="2880"/>
          </w:tcPr>
          <w:p>
            <w:pPr/>
            <w:r>
              <w:rPr>
                <w:sz w:val="18"/>
              </w:rPr>
              <w:t>Globex 연간 거래량 10억 계약 초과; 2008년 NYMEX 추가</w:t>
            </w:r>
          </w:p>
        </w:tc>
      </w:tr>
      <w:tr>
        <w:tc>
          <w:tcPr>
            <w:tcW w:type="dxa" w:w="2880"/>
          </w:tcPr>
          <w:p>
            <w:pPr/>
            <w:r>
              <w:rPr>
                <w:sz w:val="18"/>
              </w:rPr>
              <w:t>2012</w:t>
            </w:r>
          </w:p>
        </w:tc>
        <w:tc>
          <w:tcPr>
            <w:tcW w:type="dxa" w:w="2880"/>
          </w:tcPr>
          <w:p>
            <w:pPr/>
            <w:r>
              <w:rPr>
                <w:sz w:val="18"/>
              </w:rPr>
              <w:t>20주년</w:t>
            </w:r>
          </w:p>
        </w:tc>
        <w:tc>
          <w:tcPr>
            <w:tcW w:type="dxa" w:w="2880"/>
          </w:tcPr>
          <w:p>
            <w:pPr/>
            <w:r>
              <w:rPr>
                <w:sz w:val="18"/>
              </w:rPr>
              <w:t>CME Group 거래량의 84%가 Globex에서 전자적으로 거래</w:t>
            </w:r>
          </w:p>
        </w:tc>
      </w:tr>
      <w:tr>
        <w:tc>
          <w:tcPr>
            <w:tcW w:type="dxa" w:w="2880"/>
          </w:tcPr>
          <w:p>
            <w:pPr/>
            <w:r>
              <w:rPr>
                <w:sz w:val="18"/>
              </w:rPr>
              <w:t>2012</w:t>
            </w:r>
          </w:p>
        </w:tc>
        <w:tc>
          <w:tcPr>
            <w:tcW w:type="dxa" w:w="2880"/>
          </w:tcPr>
          <w:p>
            <w:pPr/>
            <w:r>
              <w:rPr>
                <w:sz w:val="18"/>
              </w:rPr>
              <w:t>대규모 성능 개선 릴리스</w:t>
            </w:r>
          </w:p>
        </w:tc>
        <w:tc>
          <w:tcPr>
            <w:tcW w:type="dxa" w:w="2880"/>
          </w:tcPr>
          <w:p>
            <w:pPr/>
            <w:r>
              <w:rPr>
                <w:sz w:val="18"/>
              </w:rPr>
              <w:t>주문 입력 및 시장데이터 모두에서 99번째 백분위수 지연시간 98% 감소</w:t>
            </w:r>
          </w:p>
        </w:tc>
      </w:tr>
      <w:tr>
        <w:tc>
          <w:tcPr>
            <w:tcW w:type="dxa" w:w="2880"/>
          </w:tcPr>
          <w:p>
            <w:pPr/>
            <w:r>
              <w:rPr>
                <w:sz w:val="18"/>
              </w:rPr>
              <w:t>2014</w:t>
            </w:r>
          </w:p>
        </w:tc>
        <w:tc>
          <w:tcPr>
            <w:tcW w:type="dxa" w:w="2880"/>
          </w:tcPr>
          <w:p>
            <w:pPr/>
            <w:r>
              <w:rPr>
                <w:sz w:val="18"/>
              </w:rPr>
              <w:t>iLink 2 프로토콜 배포</w:t>
            </w:r>
          </w:p>
        </w:tc>
        <w:tc>
          <w:tcPr>
            <w:tcW w:type="dxa" w:w="2880"/>
          </w:tcPr>
          <w:p>
            <w:pPr/>
            <w:r>
              <w:rPr>
                <w:sz w:val="18"/>
              </w:rPr>
              <w:t>Market Segment Gateway (MSGW)에서의 바이너리 주문 입력 프로토콜</w:t>
            </w:r>
          </w:p>
        </w:tc>
      </w:tr>
      <w:tr>
        <w:tc>
          <w:tcPr>
            <w:tcW w:type="dxa" w:w="2880"/>
          </w:tcPr>
          <w:p>
            <w:pPr/>
            <w:r>
              <w:rPr>
                <w:sz w:val="18"/>
              </w:rPr>
              <w:t>2019</w:t>
            </w:r>
          </w:p>
        </w:tc>
        <w:tc>
          <w:tcPr>
            <w:tcW w:type="dxa" w:w="2880"/>
          </w:tcPr>
          <w:p>
            <w:pPr/>
            <w:r>
              <w:rPr>
                <w:sz w:val="18"/>
              </w:rPr>
              <w:t>MDP 3.0 완전 배포</w:t>
            </w:r>
          </w:p>
        </w:tc>
        <w:tc>
          <w:tcPr>
            <w:tcW w:type="dxa" w:w="2880"/>
          </w:tcPr>
          <w:p>
            <w:pPr/>
            <w:r>
              <w:rPr>
                <w:sz w:val="18"/>
              </w:rPr>
              <w:t>SBE 인코딩 시장데이터가 레거시 FAST 피드를 대체</w:t>
            </w:r>
          </w:p>
        </w:tc>
      </w:tr>
      <w:tr>
        <w:tc>
          <w:tcPr>
            <w:tcW w:type="dxa" w:w="2880"/>
          </w:tcPr>
          <w:p>
            <w:pPr/>
            <w:r>
              <w:rPr>
                <w:sz w:val="18"/>
              </w:rPr>
              <w:t>2021</w:t>
            </w:r>
          </w:p>
        </w:tc>
        <w:tc>
          <w:tcPr>
            <w:tcW w:type="dxa" w:w="2880"/>
          </w:tcPr>
          <w:p>
            <w:pPr/>
            <w:r>
              <w:rPr>
                <w:sz w:val="18"/>
              </w:rPr>
              <w:t>MSGW에서 iLink 3 출시</w:t>
            </w:r>
          </w:p>
        </w:tc>
        <w:tc>
          <w:tcPr>
            <w:tcW w:type="dxa" w:w="2880"/>
          </w:tcPr>
          <w:p>
            <w:pPr/>
            <w:r>
              <w:rPr>
                <w:sz w:val="18"/>
              </w:rPr>
              <w:t>FIX SBE 인코딩과 FIXP 세션 레이어</w:t>
            </w:r>
          </w:p>
        </w:tc>
      </w:tr>
      <w:tr>
        <w:tc>
          <w:tcPr>
            <w:tcW w:type="dxa" w:w="2880"/>
          </w:tcPr>
          <w:p>
            <w:pPr/>
            <w:r>
              <w:rPr>
                <w:sz w:val="18"/>
              </w:rPr>
              <w:t>2024</w:t>
            </w:r>
          </w:p>
        </w:tc>
        <w:tc>
          <w:tcPr>
            <w:tcW w:type="dxa" w:w="2880"/>
          </w:tcPr>
          <w:p>
            <w:pPr/>
            <w:r>
              <w:rPr>
                <w:sz w:val="18"/>
              </w:rPr>
              <w:t>CGW에서 iLink 3 가동 (1월 28일)</w:t>
            </w:r>
          </w:p>
        </w:tc>
        <w:tc>
          <w:tcPr>
            <w:tcW w:type="dxa" w:w="2880"/>
          </w:tcPr>
          <w:p>
            <w:pPr/>
            <w:r>
              <w:rPr>
                <w:sz w:val="18"/>
              </w:rPr>
              <w:t>Convenience Gateway의 iLink 3 이전; iLink 2 서비스 종료</w:t>
            </w:r>
          </w:p>
        </w:tc>
      </w:tr>
      <w:tr>
        <w:tc>
          <w:tcPr>
            <w:tcW w:type="dxa" w:w="2880"/>
          </w:tcPr>
          <w:p>
            <w:pPr/>
            <w:r>
              <w:rPr>
                <w:sz w:val="18"/>
              </w:rPr>
              <w:t>2025</w:t>
            </w:r>
          </w:p>
        </w:tc>
        <w:tc>
          <w:tcPr>
            <w:tcW w:type="dxa" w:w="2880"/>
          </w:tcPr>
          <w:p>
            <w:pPr/>
            <w:r>
              <w:rPr>
                <w:sz w:val="18"/>
              </w:rPr>
              <w:t>DR 기능 강화; Google Cloud 준비</w:t>
            </w:r>
          </w:p>
        </w:tc>
        <w:tc>
          <w:tcPr>
            <w:tcW w:type="dxa" w:w="2880"/>
          </w:tcPr>
          <w:p>
            <w:pPr/>
            <w:r>
              <w:rPr>
                <w:sz w:val="18"/>
              </w:rPr>
              <w:t>DR에서 GTC/GTD 주문 지속성; MDP 3.0 스키마 버전 13</w:t>
            </w:r>
          </w:p>
        </w:tc>
      </w:tr>
      <w:tr>
        <w:tc>
          <w:tcPr>
            <w:tcW w:type="dxa" w:w="2880"/>
          </w:tcPr>
          <w:p>
            <w:pPr/>
            <w:r>
              <w:rPr>
                <w:sz w:val="18"/>
              </w:rPr>
              <w:t>2026</w:t>
            </w:r>
          </w:p>
        </w:tc>
        <w:tc>
          <w:tcPr>
            <w:tcW w:type="dxa" w:w="2880"/>
          </w:tcPr>
          <w:p>
            <w:pPr/>
            <w:r>
              <w:rPr>
                <w:sz w:val="18"/>
              </w:rPr>
              <w:t>Google Cloud Sandbox (연중)</w:t>
            </w:r>
          </w:p>
        </w:tc>
        <w:tc>
          <w:tcPr>
            <w:tcW w:type="dxa" w:w="2880"/>
          </w:tcPr>
          <w:p>
            <w:pPr/>
            <w:r>
              <w:rPr>
                <w:sz w:val="18"/>
              </w:rPr>
              <w:t>Dallas 지역 프라이빗 Google Cloud에서 Sandbox 환경 구축</w:t>
            </w:r>
          </w:p>
        </w:tc>
      </w:tr>
      <w:tr>
        <w:tc>
          <w:tcPr>
            <w:tcW w:type="dxa" w:w="2880"/>
          </w:tcPr>
          <w:p>
            <w:pPr/>
            <w:r>
              <w:rPr>
                <w:sz w:val="18"/>
              </w:rPr>
              <w:t>2028</w:t>
            </w:r>
          </w:p>
        </w:tc>
        <w:tc>
          <w:tcPr>
            <w:tcW w:type="dxa" w:w="2880"/>
          </w:tcPr>
          <w:p>
            <w:pPr/>
            <w:r>
              <w:rPr>
                <w:sz w:val="18"/>
              </w:rPr>
              <w:t>완전한 Google Cloud 이전 (계획)</w:t>
            </w:r>
          </w:p>
        </w:tc>
        <w:tc>
          <w:tcPr>
            <w:tcW w:type="dxa" w:w="2880"/>
          </w:tcPr>
          <w:p>
            <w:pPr/>
            <w:r>
              <w:rPr>
                <w:sz w:val="18"/>
              </w:rPr>
              <w:t>Aurora, IL 소재 프라이빗 Google Cloud Chicago 지역으로 운영 시장 이전</w:t>
            </w:r>
          </w:p>
        </w:tc>
      </w:tr>
    </w:tbl>
    <w:p/>
    <w:p>
      <w:r>
        <w:t>────────────────────────────────────────────────────────────</w:t>
      </w:r>
    </w:p>
    <w:p>
      <w:pPr>
        <w:pStyle w:val="Heading2"/>
      </w:pPr>
      <w:r>
        <w:t>2. 아키텍처 (Architecture)</w:t>
      </w:r>
    </w:p>
    <w:p>
      <w:pPr>
        <w:pStyle w:val="Heading3"/>
      </w:pPr>
      <w:r>
        <w:t>2.1 상위 수준 설계 (High-Level Design)</w:t>
      </w:r>
    </w:p>
    <w:p>
      <w:r>
        <w:t>CME Globex는 상품이 마켓 세그먼트(market segment)별로 구성되고, 각 마켓 세그먼트가 전용 매매체결엔진 인스턴스에 의해 처리되는 분산형 다중 엔진 아키텍처(distributed, multi-engine architecture)를 채택하고 있다. 이 아키텍처는 주문 입력, 매매체결, 시장데이터 배포, 리스크 관리 계층을 분리한다.</w:t>
      </w:r>
    </w:p>
    <w:p>
      <w:pPr/>
      <w:r>
        <w:rPr>
          <w:rFonts w:ascii="Consolas" w:hAnsi="Consolas"/>
          <w:color w:val="333333"/>
          <w:sz w:val="16"/>
        </w:rPr>
        <w:t xml:space="preserve">                        ┌─────────────────────────────┐</w:t>
        <w:br/>
        <w:t xml:space="preserve">                        │    CME Globex Platform       │</w:t>
        <w:br/>
        <w:t xml:space="preserve">                        │                              │</w:t>
        <w:br/>
        <w:t xml:space="preserve">  ┌──────────┐          │  ┌────────────────────────┐  │</w:t>
        <w:br/>
        <w:t xml:space="preserve">  │ Trading  │──iLink──►│  │  Gateway Layer          │  │</w:t>
        <w:br/>
        <w:t xml:space="preserve">  │ Firms    │  3/FIX   │  │  (MSGW / CGW)          │  │</w:t>
        <w:br/>
        <w:t xml:space="preserve">  │          │◄─────────│  └──────┬─────────────────┘  │</w:t>
        <w:br/>
        <w:t xml:space="preserve">  └──────────┘          │         │                     │</w:t>
        <w:br/>
        <w:t xml:space="preserve">                        │  ┌──────▼─────────────────┐  │</w:t>
        <w:br/>
        <w:t xml:space="preserve">                        │  │  Matching Engines       │  │</w:t>
        <w:br/>
        <w:t xml:space="preserve">                        │  │  (per market segment)   │  │</w:t>
        <w:br/>
        <w:t xml:space="preserve">                        │  └──────┬─────────────────┘  │</w:t>
        <w:br/>
        <w:t xml:space="preserve">                        │         │                     │</w:t>
        <w:br/>
        <w:t xml:space="preserve">                        │  ┌──────▼─────────────────┐  │</w:t>
        <w:br/>
        <w:t xml:space="preserve">  ┌──────────┐          │  │  Market Data Publisher  │  │</w:t>
        <w:br/>
        <w:t xml:space="preserve">  │ Market   │◄─MDP────│  │  (MDP 3.0 Gateway)     │  │</w:t>
        <w:br/>
        <w:t xml:space="preserve">  │ Data     │  3.0     │  └────────────────────────┘  │</w:t>
        <w:br/>
        <w:t xml:space="preserve">  │ Consumers│          │                              │</w:t>
        <w:br/>
        <w:t xml:space="preserve">  └──────────┘          │  ┌────────────────────────┐  │</w:t>
        <w:br/>
        <w:t xml:space="preserve">                        │  │  Risk / Credit Controls │  │</w:t>
        <w:br/>
        <w:t xml:space="preserve">  ┌──────────┐          │  │  (GC2 / ICC)           │  │</w:t>
        <w:br/>
        <w:t xml:space="preserve">  │ Risk     │◄─────────│  └────────────────────────┘  │</w:t>
        <w:br/>
        <w:t xml:space="preserve">  │ Admin    │  GUI/API │                              │</w:t>
        <w:br/>
        <w:t xml:space="preserve">  └──────────┘          │  ┌────────────────────────┐  │</w:t>
        <w:br/>
        <w:t xml:space="preserve">                        │  │  Surveillance / Audit   │  │</w:t>
        <w:br/>
        <w:t xml:space="preserve">  ┌──────────┐          │  └────────────────────────┘  │</w:t>
        <w:br/>
        <w:t xml:space="preserve">  │ Drop     │◄─FIX────│                              │</w:t>
        <w:br/>
        <w:t xml:space="preserve">  │ Copy     │  4.2     └─────────────────────────────┘</w:t>
        <w:br/>
        <w:t xml:space="preserve">  └──────────┘</w:t>
      </w:r>
    </w:p>
    <w:p>
      <w:r>
        <w:t>핵심 설계 원칙:</w:t>
      </w:r>
    </w:p>
    <w:p>
      <w:pPr>
        <w:pStyle w:val="ListBullet"/>
      </w:pPr>
      <w:r>
        <w:t>마켓 세그먼트 격리: 각 매매체결엔진이 정의된 상품 그룹을 처리하여 독립적인 확장 및 유지보수가 가능하다</w:t>
      </w:r>
    </w:p>
    <w:p>
      <w:pPr>
        <w:pStyle w:val="ListBullet"/>
      </w:pPr>
      <w:r>
        <w:t>게이트웨이 추상화: Market Segment Gateway (MSGW)는 특정 마켓 세그먼트에 연결되고, Convenience Gateway (CGW)는 모든 세그먼트에 대한 투명한 라우팅을 제공한다</w:t>
      </w:r>
    </w:p>
    <w:p>
      <w:pPr>
        <w:pStyle w:val="ListBullet"/>
      </w:pPr>
      <w:r>
        <w:t>내재가격(Implied pricing) 통합: 매매체결엔진이 관련 스프레드와 아웃라이트 간의 내재가격을 엔진 내부에서 실시간으로 계산한다</w:t>
      </w:r>
    </w:p>
    <w:p>
      <w:pPr>
        <w:pStyle w:val="ListBullet"/>
      </w:pPr>
      <w:r>
        <w:t>결정론적 처리: 가격-시간 우선순위의 공정성을 보장하기 위해 종목별 단일 스레드 매칭을 수행한다</w:t>
      </w:r>
    </w:p>
    <w:p>
      <w:pPr>
        <w:pStyle w:val="Heading3"/>
      </w:pPr>
      <w:r>
        <w:t>2.2 핵심 구성요소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구성요소</w:t>
            </w:r>
          </w:p>
        </w:tc>
        <w:tc>
          <w:tcPr>
            <w:tcW w:type="dxa" w:w="2880"/>
          </w:tcPr>
          <w:p>
            <w:pPr/>
            <w:r>
              <w:rPr>
                <w:b/>
                <w:sz w:val="18"/>
              </w:rPr>
              <w:t>명칭 / 버전</w:t>
            </w:r>
          </w:p>
        </w:tc>
        <w:tc>
          <w:tcPr>
            <w:tcW w:type="dxa" w:w="2880"/>
          </w:tcPr>
          <w:p>
            <w:pPr/>
            <w:r>
              <w:rPr>
                <w:b/>
                <w:sz w:val="18"/>
              </w:rPr>
              <w:t>설명</w:t>
            </w:r>
          </w:p>
        </w:tc>
      </w:tr>
      <w:tr>
        <w:tc>
          <w:tcPr>
            <w:tcW w:type="dxa" w:w="2880"/>
          </w:tcPr>
          <w:p>
            <w:pPr/>
            <w:r>
              <w:rPr>
                <w:sz w:val="18"/>
              </w:rPr>
              <w:t>**매매체결엔진**</w:t>
            </w:r>
          </w:p>
        </w:tc>
        <w:tc>
          <w:tcPr>
            <w:tcW w:type="dxa" w:w="2880"/>
          </w:tcPr>
          <w:p>
            <w:pPr/>
            <w:r>
              <w:rPr>
                <w:sz w:val="18"/>
              </w:rPr>
              <w:t>Globex ME (NSC 기반, 독자 개발)</w:t>
            </w:r>
          </w:p>
        </w:tc>
        <w:tc>
          <w:tcPr>
            <w:tcW w:type="dxa" w:w="2880"/>
          </w:tcPr>
          <w:p>
            <w:pPr/>
            <w:r>
              <w:rPr>
                <w:sz w:val="18"/>
              </w:rPr>
              <w:t>마켓 세그먼트별 엔진; 다중 매칭 알고리즘(FIFO, pro-rata, 하이브리드) 지원; 내재가격 엔진 통합</w:t>
            </w:r>
          </w:p>
        </w:tc>
      </w:tr>
      <w:tr>
        <w:tc>
          <w:tcPr>
            <w:tcW w:type="dxa" w:w="2880"/>
          </w:tcPr>
          <w:p>
            <w:pPr/>
            <w:r>
              <w:rPr>
                <w:sz w:val="18"/>
              </w:rPr>
              <w:t>**주문 게이트웨이**</w:t>
            </w:r>
          </w:p>
        </w:tc>
        <w:tc>
          <w:tcPr>
            <w:tcW w:type="dxa" w:w="2880"/>
          </w:tcPr>
          <w:p>
            <w:pPr/>
            <w:r>
              <w:rPr>
                <w:sz w:val="18"/>
              </w:rPr>
              <w:t>iLink 3 (MSGW &amp; CGW)</w:t>
            </w:r>
          </w:p>
        </w:tc>
        <w:tc>
          <w:tcPr>
            <w:tcW w:type="dxa" w:w="2880"/>
          </w:tcPr>
          <w:p>
            <w:pPr/>
            <w:r>
              <w:rPr>
                <w:sz w:val="18"/>
              </w:rPr>
              <w:t>FIX SBE 인코딩과 FIXP 세션 레이어를 사용하는 바이너리 주문 입력; 서브밀리초 지연시간</w:t>
            </w:r>
          </w:p>
        </w:tc>
      </w:tr>
      <w:tr>
        <w:tc>
          <w:tcPr>
            <w:tcW w:type="dxa" w:w="2880"/>
          </w:tcPr>
          <w:p>
            <w:pPr/>
            <w:r>
              <w:rPr>
                <w:sz w:val="18"/>
              </w:rPr>
              <w:t>**시장데이터 퍼블리셔**</w:t>
            </w:r>
          </w:p>
        </w:tc>
        <w:tc>
          <w:tcPr>
            <w:tcW w:type="dxa" w:w="2880"/>
          </w:tcPr>
          <w:p>
            <w:pPr/>
            <w:r>
              <w:rPr>
                <w:sz w:val="18"/>
              </w:rPr>
              <w:t>MDP 3.0</w:t>
            </w:r>
          </w:p>
        </w:tc>
        <w:tc>
          <w:tcPr>
            <w:tcW w:type="dxa" w:w="2880"/>
          </w:tcPr>
          <w:p>
            <w:pPr/>
            <w:r>
              <w:rPr>
                <w:sz w:val="18"/>
              </w:rPr>
              <w:t>SBE 인코딩 시장데이터; UDP multicast 배포 및 TCP 스냅샷 복구; MBP 및 MBO 피드 지원</w:t>
            </w:r>
          </w:p>
        </w:tc>
      </w:tr>
      <w:tr>
        <w:tc>
          <w:tcPr>
            <w:tcW w:type="dxa" w:w="2880"/>
          </w:tcPr>
          <w:p>
            <w:pPr/>
            <w:r>
              <w:rPr>
                <w:sz w:val="18"/>
              </w:rPr>
              <w:t>**리스크 엔진**</w:t>
            </w:r>
          </w:p>
        </w:tc>
        <w:tc>
          <w:tcPr>
            <w:tcW w:type="dxa" w:w="2880"/>
          </w:tcPr>
          <w:p>
            <w:pPr/>
            <w:r>
              <w:rPr>
                <w:sz w:val="18"/>
              </w:rPr>
              <w:t>Globex Credit Controls (GC2)</w:t>
            </w:r>
          </w:p>
        </w:tc>
        <w:tc>
          <w:tcPr>
            <w:tcW w:type="dxa" w:w="2880"/>
          </w:tcPr>
          <w:p>
            <w:pPr/>
            <w:r>
              <w:rPr>
                <w:sz w:val="18"/>
              </w:rPr>
              <w:t>청산회원별 사전체결 익스포저 한도; 실시간 주문 차단, 취소 및 이메일 알림</w:t>
            </w:r>
          </w:p>
        </w:tc>
      </w:tr>
      <w:tr>
        <w:tc>
          <w:tcPr>
            <w:tcW w:type="dxa" w:w="2880"/>
          </w:tcPr>
          <w:p>
            <w:pPr/>
            <w:r>
              <w:rPr>
                <w:sz w:val="18"/>
              </w:rPr>
              <w:t>**세분화된 리스크**</w:t>
            </w:r>
          </w:p>
        </w:tc>
        <w:tc>
          <w:tcPr>
            <w:tcW w:type="dxa" w:w="2880"/>
          </w:tcPr>
          <w:p>
            <w:pPr/>
            <w:r>
              <w:rPr>
                <w:sz w:val="18"/>
              </w:rPr>
              <w:t>Inline Credit Controls (ICC)</w:t>
            </w:r>
          </w:p>
        </w:tc>
        <w:tc>
          <w:tcPr>
            <w:tcW w:type="dxa" w:w="2880"/>
          </w:tcPr>
          <w:p>
            <w:pPr/>
            <w:r>
              <w:rPr>
                <w:sz w:val="18"/>
              </w:rPr>
              <w:t>상품별, 계좌별 일일 포지션 한도; Account Management Service (AMS)를 통해 관리</w:t>
            </w:r>
          </w:p>
        </w:tc>
      </w:tr>
      <w:tr>
        <w:tc>
          <w:tcPr>
            <w:tcW w:type="dxa" w:w="2880"/>
          </w:tcPr>
          <w:p>
            <w:pPr/>
            <w:r>
              <w:rPr>
                <w:sz w:val="18"/>
              </w:rPr>
              <w:t>**Drop Copy**</w:t>
            </w:r>
          </w:p>
        </w:tc>
        <w:tc>
          <w:tcPr>
            <w:tcW w:type="dxa" w:w="2880"/>
          </w:tcPr>
          <w:p>
            <w:pPr/>
            <w:r>
              <w:rPr>
                <w:sz w:val="18"/>
              </w:rPr>
              <w:t>Drop Copy 4.0</w:t>
            </w:r>
          </w:p>
        </w:tc>
        <w:tc>
          <w:tcPr>
            <w:tcW w:type="dxa" w:w="2880"/>
          </w:tcPr>
          <w:p>
            <w:pPr/>
            <w:r>
              <w:rPr>
                <w:sz w:val="18"/>
              </w:rPr>
              <w:t>FIX 4.2 기반의 읽기 전용 체결 보고서 피드; 리스크 관리를 위한 실시간 매매 모니터링</w:t>
            </w:r>
          </w:p>
        </w:tc>
      </w:tr>
      <w:tr>
        <w:tc>
          <w:tcPr>
            <w:tcW w:type="dxa" w:w="2880"/>
          </w:tcPr>
          <w:p>
            <w:pPr/>
            <w:r>
              <w:rPr>
                <w:sz w:val="18"/>
              </w:rPr>
              <w:t>**감시**</w:t>
            </w:r>
          </w:p>
        </w:tc>
        <w:tc>
          <w:tcPr>
            <w:tcW w:type="dxa" w:w="2880"/>
          </w:tcPr>
          <w:p>
            <w:pPr/>
            <w:r>
              <w:rPr>
                <w:sz w:val="18"/>
              </w:rPr>
              <w:t>CME Group Market Regulation</w:t>
            </w:r>
          </w:p>
        </w:tc>
        <w:tc>
          <w:tcPr>
            <w:tcW w:type="dxa" w:w="2880"/>
          </w:tcPr>
          <w:p>
            <w:pPr/>
            <w:r>
              <w:rPr>
                <w:sz w:val="18"/>
              </w:rPr>
              <w:t>매매 데이터와 통합된 자동 감시; 사후 분석 및 실시간 모니터링</w:t>
            </w:r>
          </w:p>
        </w:tc>
      </w:tr>
      <w:tr>
        <w:tc>
          <w:tcPr>
            <w:tcW w:type="dxa" w:w="2880"/>
          </w:tcPr>
          <w:p>
            <w:pPr/>
            <w:r>
              <w:rPr>
                <w:sz w:val="18"/>
              </w:rPr>
              <w:t>**주문 입력 API**</w:t>
            </w:r>
          </w:p>
        </w:tc>
        <w:tc>
          <w:tcPr>
            <w:tcW w:type="dxa" w:w="2880"/>
          </w:tcPr>
          <w:p>
            <w:pPr/>
            <w:r>
              <w:rPr>
                <w:sz w:val="18"/>
              </w:rPr>
              <w:t>OE API (REST / WebSocket)</w:t>
            </w:r>
          </w:p>
        </w:tc>
        <w:tc>
          <w:tcPr>
            <w:tcW w:type="dxa" w:w="2880"/>
          </w:tcPr>
          <w:p>
            <w:pPr/>
            <w:r>
              <w:rPr>
                <w:sz w:val="18"/>
              </w:rPr>
              <w:t>지연시간 비민감 프로그래매틱 접근을 위한 HTTPS RESTful 및 WSS 연결; JSON 메시징</w:t>
            </w:r>
          </w:p>
        </w:tc>
      </w:tr>
    </w:tbl>
    <w:p/>
    <w:p>
      <w:pPr>
        <w:pStyle w:val="Heading3"/>
      </w:pPr>
      <w:r>
        <w:t>2.3 기술 스택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계층</w:t>
            </w:r>
          </w:p>
        </w:tc>
        <w:tc>
          <w:tcPr>
            <w:tcW w:type="dxa" w:w="4320"/>
          </w:tcPr>
          <w:p>
            <w:pPr/>
            <w:r>
              <w:rPr>
                <w:b/>
                <w:sz w:val="18"/>
              </w:rPr>
              <w:t>기술</w:t>
            </w:r>
          </w:p>
        </w:tc>
      </w:tr>
      <w:tr>
        <w:tc>
          <w:tcPr>
            <w:tcW w:type="dxa" w:w="4320"/>
          </w:tcPr>
          <w:p>
            <w:pPr/>
            <w:r>
              <w:rPr>
                <w:sz w:val="18"/>
              </w:rPr>
              <w:t>**매매체결엔진 기원**</w:t>
            </w:r>
          </w:p>
        </w:tc>
        <w:tc>
          <w:tcPr>
            <w:tcW w:type="dxa" w:w="4320"/>
          </w:tcPr>
          <w:p>
            <w:pPr/>
            <w:r>
              <w:rPr>
                <w:sz w:val="18"/>
              </w:rPr>
              <w:t>Paris Bourse / MATIF의 NSC (Nouveau Systeme de Cotation), 대폭 수정 및 자체 발전</w:t>
            </w:r>
          </w:p>
        </w:tc>
      </w:tr>
      <w:tr>
        <w:tc>
          <w:tcPr>
            <w:tcW w:type="dxa" w:w="4320"/>
          </w:tcPr>
          <w:p>
            <w:pPr/>
            <w:r>
              <w:rPr>
                <w:sz w:val="18"/>
              </w:rPr>
              <w:t>**프로그래밍 언어**</w:t>
            </w:r>
          </w:p>
        </w:tc>
        <w:tc>
          <w:tcPr>
            <w:tcW w:type="dxa" w:w="4320"/>
          </w:tcPr>
          <w:p>
            <w:pPr/>
            <w:r>
              <w:rPr>
                <w:sz w:val="18"/>
              </w:rPr>
              <w:t>C/C++ (핵심 매매체결엔진, 게이트웨이); Java (부수 시스템, API)</w:t>
            </w:r>
          </w:p>
        </w:tc>
      </w:tr>
      <w:tr>
        <w:tc>
          <w:tcPr>
            <w:tcW w:type="dxa" w:w="4320"/>
          </w:tcPr>
          <w:p>
            <w:pPr/>
            <w:r>
              <w:rPr>
                <w:sz w:val="18"/>
              </w:rPr>
              <w:t>**운영체제**</w:t>
            </w:r>
          </w:p>
        </w:tc>
        <w:tc>
          <w:tcPr>
            <w:tcW w:type="dxa" w:w="4320"/>
          </w:tcPr>
          <w:p>
            <w:pPr/>
            <w:r>
              <w:rPr>
                <w:sz w:val="18"/>
              </w:rPr>
              <w:t>Linux (운영 매매체결엔진 및 게이트웨이)</w:t>
            </w:r>
          </w:p>
        </w:tc>
      </w:tr>
      <w:tr>
        <w:tc>
          <w:tcPr>
            <w:tcW w:type="dxa" w:w="4320"/>
          </w:tcPr>
          <w:p>
            <w:pPr/>
            <w:r>
              <w:rPr>
                <w:sz w:val="18"/>
              </w:rPr>
              <w:t>**하드웨어**</w:t>
            </w:r>
          </w:p>
        </w:tc>
        <w:tc>
          <w:tcPr>
            <w:tcW w:type="dxa" w:w="4320"/>
          </w:tcPr>
          <w:p>
            <w:pPr/>
            <w:r>
              <w:rPr>
                <w:sz w:val="18"/>
              </w:rPr>
              <w:t>범용 x86 서버 인프라 (현재); Google Cloud 전용 하드웨어로 전환 중 (2026-2028)</w:t>
            </w:r>
          </w:p>
        </w:tc>
      </w:tr>
      <w:tr>
        <w:tc>
          <w:tcPr>
            <w:tcW w:type="dxa" w:w="4320"/>
          </w:tcPr>
          <w:p>
            <w:pPr/>
            <w:r>
              <w:rPr>
                <w:sz w:val="18"/>
              </w:rPr>
              <w:t>**네트워크**</w:t>
            </w:r>
          </w:p>
        </w:tc>
        <w:tc>
          <w:tcPr>
            <w:tcW w:type="dxa" w:w="4320"/>
          </w:tcPr>
          <w:p>
            <w:pPr/>
            <w:r>
              <w:rPr>
                <w:sz w:val="18"/>
              </w:rPr>
              <w:t>Aurora 데이터센터 내 전용 저지연 네트워크 패브릭; 10/40 GbE 인터커넥트; 시장데이터용 UDP multicast</w:t>
            </w:r>
          </w:p>
        </w:tc>
      </w:tr>
      <w:tr>
        <w:tc>
          <w:tcPr>
            <w:tcW w:type="dxa" w:w="4320"/>
          </w:tcPr>
          <w:p>
            <w:pPr/>
            <w:r>
              <w:rPr>
                <w:sz w:val="18"/>
              </w:rPr>
              <w:t>**메시지 인코딩**</w:t>
            </w:r>
          </w:p>
        </w:tc>
        <w:tc>
          <w:tcPr>
            <w:tcW w:type="dxa" w:w="4320"/>
          </w:tcPr>
          <w:p>
            <w:pPr/>
            <w:r>
              <w:rPr>
                <w:sz w:val="18"/>
              </w:rPr>
              <w:t>iLink 3 및 MDP 3.0용 FIX Simple Binary Encoding (SBE); Drop Copy용 FIX 4.2; OE API용 JSON</w:t>
            </w:r>
          </w:p>
        </w:tc>
      </w:tr>
      <w:tr>
        <w:tc>
          <w:tcPr>
            <w:tcW w:type="dxa" w:w="4320"/>
          </w:tcPr>
          <w:p>
            <w:pPr/>
            <w:r>
              <w:rPr>
                <w:sz w:val="18"/>
              </w:rPr>
              <w:t>**세션 프로토콜**</w:t>
            </w:r>
          </w:p>
        </w:tc>
        <w:tc>
          <w:tcPr>
            <w:tcW w:type="dxa" w:w="4320"/>
          </w:tcPr>
          <w:p>
            <w:pPr/>
            <w:r>
              <w:rPr>
                <w:sz w:val="18"/>
              </w:rPr>
              <w:t>iLink 3용 FIXP (FIX Performance)</w:t>
            </w:r>
          </w:p>
        </w:tc>
      </w:tr>
      <w:tr>
        <w:tc>
          <w:tcPr>
            <w:tcW w:type="dxa" w:w="4320"/>
          </w:tcPr>
          <w:p>
            <w:pPr/>
            <w:r>
              <w:rPr>
                <w:sz w:val="18"/>
              </w:rPr>
              <w:t>**메시징 전송**</w:t>
            </w:r>
          </w:p>
        </w:tc>
        <w:tc>
          <w:tcPr>
            <w:tcW w:type="dxa" w:w="4320"/>
          </w:tcPr>
          <w:p>
            <w:pPr/>
            <w:r>
              <w:rPr>
                <w:sz w:val="18"/>
              </w:rPr>
              <w:t>UDP multicast (시장데이터); TCP (주문 입력, 복구, Drop Copy)</w:t>
            </w:r>
          </w:p>
        </w:tc>
      </w:tr>
      <w:tr>
        <w:tc>
          <w:tcPr>
            <w:tcW w:type="dxa" w:w="4320"/>
          </w:tcPr>
          <w:p>
            <w:pPr/>
            <w:r>
              <w:rPr>
                <w:sz w:val="18"/>
              </w:rPr>
              <w:t>**기준정보**</w:t>
            </w:r>
          </w:p>
        </w:tc>
        <w:tc>
          <w:tcPr>
            <w:tcW w:type="dxa" w:w="4320"/>
          </w:tcPr>
          <w:p>
            <w:pPr/>
            <w:r>
              <w:rPr>
                <w:sz w:val="18"/>
              </w:rPr>
              <w:t>SFTP (sftpng.cmegroup.com)를 통해 배포되는 SBE 스키마 파일; XML 종목 정의</w:t>
            </w:r>
          </w:p>
        </w:tc>
      </w:tr>
      <w:tr>
        <w:tc>
          <w:tcPr>
            <w:tcW w:type="dxa" w:w="4320"/>
          </w:tcPr>
          <w:p>
            <w:pPr/>
            <w:r>
              <w:rPr>
                <w:sz w:val="18"/>
              </w:rPr>
              <w:t>**클라우드 (향후)**</w:t>
            </w:r>
          </w:p>
        </w:tc>
        <w:tc>
          <w:tcPr>
            <w:tcW w:type="dxa" w:w="4320"/>
          </w:tcPr>
          <w:p>
            <w:pPr/>
            <w:r>
              <w:rPr>
                <w:sz w:val="18"/>
              </w:rPr>
              <w:t>Google Cloud 프라이빗 리전 (Aurora, IL 운영; Dallas, TX DR)</w:t>
            </w:r>
          </w:p>
        </w:tc>
      </w:tr>
    </w:tbl>
    <w:p/>
    <w:p>
      <w:r>
        <w:t>────────────────────────────────────────────────────────────</w:t>
      </w:r>
    </w:p>
    <w:p>
      <w:pPr>
        <w:pStyle w:val="Heading2"/>
      </w:pPr>
      <w:r>
        <w:t>3. 성능 사양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지표</w:t>
            </w:r>
          </w:p>
        </w:tc>
        <w:tc>
          <w:tcPr>
            <w:tcW w:type="dxa" w:w="2880"/>
          </w:tcPr>
          <w:p>
            <w:pPr/>
            <w:r>
              <w:rPr>
                <w:b/>
                <w:sz w:val="18"/>
              </w:rPr>
              <w:t>수치</w:t>
            </w:r>
          </w:p>
        </w:tc>
        <w:tc>
          <w:tcPr>
            <w:tcW w:type="dxa" w:w="2880"/>
          </w:tcPr>
          <w:p>
            <w:pPr/>
            <w:r>
              <w:rPr>
                <w:b/>
                <w:sz w:val="18"/>
              </w:rPr>
              <w:t>비고</w:t>
            </w:r>
          </w:p>
        </w:tc>
      </w:tr>
      <w:tr>
        <w:tc>
          <w:tcPr>
            <w:tcW w:type="dxa" w:w="2880"/>
          </w:tcPr>
          <w:p>
            <w:pPr/>
            <w:r>
              <w:rPr>
                <w:sz w:val="18"/>
              </w:rPr>
              <w:t>**인바운드 주문 입력 지연시간 (중앙값)**</w:t>
            </w:r>
          </w:p>
        </w:tc>
        <w:tc>
          <w:tcPr>
            <w:tcW w:type="dxa" w:w="2880"/>
          </w:tcPr>
          <w:p>
            <w:pPr/>
            <w:r>
              <w:rPr>
                <w:sz w:val="18"/>
              </w:rPr>
              <w:t>~5 마이크로초 (매매체결엔진)</w:t>
            </w:r>
          </w:p>
        </w:tc>
        <w:tc>
          <w:tcPr>
            <w:tcW w:type="dxa" w:w="2880"/>
          </w:tcPr>
          <w:p>
            <w:pPr/>
            <w:r>
              <w:rPr>
                <w:sz w:val="18"/>
              </w:rPr>
              <w:t>라우터에서 매매체결엔진까지; 2012년 성능 개선 릴리스 이후</w:t>
            </w:r>
          </w:p>
        </w:tc>
      </w:tr>
      <w:tr>
        <w:tc>
          <w:tcPr>
            <w:tcW w:type="dxa" w:w="2880"/>
          </w:tcPr>
          <w:p>
            <w:pPr/>
            <w:r>
              <w:rPr>
                <w:sz w:val="18"/>
              </w:rPr>
              <w:t>**인바운드 주문 입력 지연시간 (99번째 백분위수)**</w:t>
            </w:r>
          </w:p>
        </w:tc>
        <w:tc>
          <w:tcPr>
            <w:tcW w:type="dxa" w:w="2880"/>
          </w:tcPr>
          <w:p>
            <w:pPr/>
            <w:r>
              <w:rPr>
                <w:sz w:val="18"/>
              </w:rPr>
              <w:t>~50 마이크로초</w:t>
            </w:r>
          </w:p>
        </w:tc>
        <w:tc>
          <w:tcPr>
            <w:tcW w:type="dxa" w:w="2880"/>
          </w:tcPr>
          <w:p>
            <w:pPr/>
            <w:r>
              <w:rPr>
                <w:sz w:val="18"/>
              </w:rPr>
              <w:t>2012년 이전 수준 대비 크게 감소</w:t>
            </w:r>
          </w:p>
        </w:tc>
      </w:tr>
      <w:tr>
        <w:tc>
          <w:tcPr>
            <w:tcW w:type="dxa" w:w="2880"/>
          </w:tcPr>
          <w:p>
            <w:pPr/>
            <w:r>
              <w:rPr>
                <w:sz w:val="18"/>
              </w:rPr>
              <w:t>**아웃바운드 시장데이터 지연시간**</w:t>
            </w:r>
          </w:p>
        </w:tc>
        <w:tc>
          <w:tcPr>
            <w:tcW w:type="dxa" w:w="2880"/>
          </w:tcPr>
          <w:p>
            <w:pPr/>
            <w:r>
              <w:rPr>
                <w:sz w:val="18"/>
              </w:rPr>
              <w:t>한 자릿수 마이크로초 초반 (엔진 출구~MDP 게이트웨이 출구)</w:t>
            </w:r>
          </w:p>
        </w:tc>
        <w:tc>
          <w:tcPr>
            <w:tcW w:type="dxa" w:w="2880"/>
          </w:tcPr>
          <w:p>
            <w:pPr/>
            <w:r>
              <w:rPr>
                <w:sz w:val="18"/>
              </w:rPr>
              <w:t>SBE 인코딩이 직렬화 오버헤드를 감소시킴</w:t>
            </w:r>
          </w:p>
        </w:tc>
      </w:tr>
      <w:tr>
        <w:tc>
          <w:tcPr>
            <w:tcW w:type="dxa" w:w="2880"/>
          </w:tcPr>
          <w:p>
            <w:pPr/>
            <w:r>
              <w:rPr>
                <w:sz w:val="18"/>
              </w:rPr>
              <w:t>**지연시간 변동성 (주문 입력)**</w:t>
            </w:r>
          </w:p>
        </w:tc>
        <w:tc>
          <w:tcPr>
            <w:tcW w:type="dxa" w:w="2880"/>
          </w:tcPr>
          <w:p>
            <w:pPr/>
            <w:r>
              <w:rPr>
                <w:sz w:val="18"/>
              </w:rPr>
              <w:t>~39 마이크로초 (중앙값~95번째 백분위수 스프레드)</w:t>
            </w:r>
          </w:p>
        </w:tc>
        <w:tc>
          <w:tcPr>
            <w:tcW w:type="dxa" w:w="2880"/>
          </w:tcPr>
          <w:p>
            <w:pPr/>
            <w:r>
              <w:rPr>
                <w:sz w:val="18"/>
              </w:rPr>
              <w:t>라우터에서 iLink 게이트웨이를 거쳐 매매체결엔진까지 측정</w:t>
            </w:r>
          </w:p>
        </w:tc>
      </w:tr>
      <w:tr>
        <w:tc>
          <w:tcPr>
            <w:tcW w:type="dxa" w:w="2880"/>
          </w:tcPr>
          <w:p>
            <w:pPr/>
            <w:r>
              <w:rPr>
                <w:sz w:val="18"/>
              </w:rPr>
              <w:t>**지연시간 변동성 (시장데이터)**</w:t>
            </w:r>
          </w:p>
        </w:tc>
        <w:tc>
          <w:tcPr>
            <w:tcW w:type="dxa" w:w="2880"/>
          </w:tcPr>
          <w:p>
            <w:pPr/>
            <w:r>
              <w:rPr>
                <w:sz w:val="18"/>
              </w:rPr>
              <w:t>~58 마이크로초 (중앙값~95번째 백분위수 스프레드)</w:t>
            </w:r>
          </w:p>
        </w:tc>
        <w:tc>
          <w:tcPr>
            <w:tcW w:type="dxa" w:w="2880"/>
          </w:tcPr>
          <w:p>
            <w:pPr/>
            <w:r>
              <w:rPr>
                <w:sz w:val="18"/>
              </w:rPr>
              <w:t>매매체결엔진 출구에서 MDP 게이트웨이 출구까지</w:t>
            </w:r>
          </w:p>
        </w:tc>
      </w:tr>
      <w:tr>
        <w:tc>
          <w:tcPr>
            <w:tcW w:type="dxa" w:w="2880"/>
          </w:tcPr>
          <w:p>
            <w:pPr/>
            <w:r>
              <w:rPr>
                <w:sz w:val="18"/>
              </w:rPr>
              <w:t>**메시징 제어**</w:t>
            </w:r>
          </w:p>
        </w:tc>
        <w:tc>
          <w:tcPr>
            <w:tcW w:type="dxa" w:w="2880"/>
          </w:tcPr>
          <w:p>
            <w:pPr/>
            <w:r>
              <w:rPr>
                <w:sz w:val="18"/>
              </w:rPr>
              <w:t>세션별 TPS 한도</w:t>
            </w:r>
          </w:p>
        </w:tc>
        <w:tc>
          <w:tcPr>
            <w:tcW w:type="dxa" w:w="2880"/>
          </w:tcPr>
          <w:p>
            <w:pPr/>
            <w:r>
              <w:rPr>
                <w:sz w:val="18"/>
              </w:rPr>
              <w:t>iLink 세션 수준에서 적용; 상품별 속도 제한</w:t>
            </w:r>
          </w:p>
        </w:tc>
      </w:tr>
      <w:tr>
        <w:tc>
          <w:tcPr>
            <w:tcW w:type="dxa" w:w="2880"/>
          </w:tcPr>
          <w:p>
            <w:pPr/>
            <w:r>
              <w:rPr>
                <w:sz w:val="18"/>
              </w:rPr>
              <w:t>**일일 거래량 용량**</w:t>
            </w:r>
          </w:p>
        </w:tc>
        <w:tc>
          <w:tcPr>
            <w:tcW w:type="dxa" w:w="2880"/>
          </w:tcPr>
          <w:p>
            <w:pPr/>
            <w:r>
              <w:rPr>
                <w:sz w:val="18"/>
              </w:rPr>
              <w:t>6,000만+ 계약/일 (실증)</w:t>
            </w:r>
          </w:p>
        </w:tc>
        <w:tc>
          <w:tcPr>
            <w:tcW w:type="dxa" w:w="2880"/>
          </w:tcPr>
          <w:p>
            <w:pPr/>
            <w:r>
              <w:rPr>
                <w:sz w:val="18"/>
              </w:rPr>
              <w:t>최대 거래량이 정기적으로 3,000만 계약/일을 초과</w:t>
            </w:r>
          </w:p>
        </w:tc>
      </w:tr>
      <w:tr>
        <w:tc>
          <w:tcPr>
            <w:tcW w:type="dxa" w:w="2880"/>
          </w:tcPr>
          <w:p>
            <w:pPr/>
            <w:r>
              <w:rPr>
                <w:sz w:val="18"/>
              </w:rPr>
              <w:t>**가동률**</w:t>
            </w:r>
          </w:p>
        </w:tc>
        <w:tc>
          <w:tcPr>
            <w:tcW w:type="dxa" w:w="2880"/>
          </w:tcPr>
          <w:p>
            <w:pPr/>
            <w:r>
              <w:rPr>
                <w:sz w:val="18"/>
              </w:rPr>
              <w:t>99.99%+ (목표)</w:t>
            </w:r>
          </w:p>
        </w:tc>
        <w:tc>
          <w:tcPr>
            <w:tcW w:type="dxa" w:w="2880"/>
          </w:tcPr>
          <w:p>
            <w:pPr/>
            <w:r>
              <w:rPr>
                <w:sz w:val="18"/>
              </w:rPr>
              <w:t>2개 데이터센터 모델 (Aurora + NYDC)</w:t>
            </w:r>
          </w:p>
        </w:tc>
      </w:tr>
      <w:tr>
        <w:tc>
          <w:tcPr>
            <w:tcW w:type="dxa" w:w="2880"/>
          </w:tcPr>
          <w:p>
            <w:pPr/>
            <w:r>
              <w:rPr>
                <w:sz w:val="18"/>
              </w:rPr>
              <w:t>**타임스탬프 정밀도**</w:t>
            </w:r>
          </w:p>
        </w:tc>
        <w:tc>
          <w:tcPr>
            <w:tcW w:type="dxa" w:w="2880"/>
          </w:tcPr>
          <w:p>
            <w:pPr/>
            <w:r>
              <w:rPr>
                <w:sz w:val="18"/>
              </w:rPr>
              <w:t>나노초</w:t>
            </w:r>
          </w:p>
        </w:tc>
        <w:tc>
          <w:tcPr>
            <w:tcW w:type="dxa" w:w="2880"/>
          </w:tcPr>
          <w:p>
            <w:pPr/>
            <w:r>
              <w:rPr>
                <w:sz w:val="18"/>
              </w:rPr>
              <w:t>매매체결엔진 이벤트 수준에서 적용</w:t>
            </w:r>
          </w:p>
        </w:tc>
      </w:tr>
    </w:tbl>
    <w:p/>
    <w:p>
      <w:pPr>
        <w:pStyle w:val="Heading3"/>
      </w:pPr>
      <w:r>
        <w:t>성능 이력 (Performance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연도</w:t>
            </w:r>
          </w:p>
        </w:tc>
        <w:tc>
          <w:tcPr>
            <w:tcW w:type="dxa" w:w="2880"/>
          </w:tcPr>
          <w:p>
            <w:pPr/>
            <w:r>
              <w:rPr>
                <w:b/>
                <w:sz w:val="18"/>
              </w:rPr>
              <w:t>주요 사건</w:t>
            </w:r>
          </w:p>
        </w:tc>
        <w:tc>
          <w:tcPr>
            <w:tcW w:type="dxa" w:w="2880"/>
          </w:tcPr>
          <w:p>
            <w:pPr/>
            <w:r>
              <w:rPr>
                <w:b/>
                <w:sz w:val="18"/>
              </w:rPr>
              <w:t>상세</w:t>
            </w:r>
          </w:p>
        </w:tc>
      </w:tr>
      <w:tr>
        <w:tc>
          <w:tcPr>
            <w:tcW w:type="dxa" w:w="2880"/>
          </w:tcPr>
          <w:p>
            <w:pPr/>
            <w:r>
              <w:rPr>
                <w:sz w:val="18"/>
              </w:rPr>
              <w:t>1992</w:t>
            </w:r>
          </w:p>
        </w:tc>
        <w:tc>
          <w:tcPr>
            <w:tcW w:type="dxa" w:w="2880"/>
          </w:tcPr>
          <w:p>
            <w:pPr/>
            <w:r>
              <w:rPr>
                <w:sz w:val="18"/>
              </w:rPr>
              <w:t>출시</w:t>
            </w:r>
          </w:p>
        </w:tc>
        <w:tc>
          <w:tcPr>
            <w:tcW w:type="dxa" w:w="2880"/>
          </w:tcPr>
          <w:p>
            <w:pPr/>
            <w:r>
              <w:rPr>
                <w:sz w:val="18"/>
              </w:rPr>
              <w:t>초 단위 지연시간; 제한적 상품 범위</w:t>
            </w:r>
          </w:p>
        </w:tc>
      </w:tr>
      <w:tr>
        <w:tc>
          <w:tcPr>
            <w:tcW w:type="dxa" w:w="2880"/>
          </w:tcPr>
          <w:p>
            <w:pPr/>
            <w:r>
              <w:rPr>
                <w:sz w:val="18"/>
              </w:rPr>
              <w:t>2004</w:t>
            </w:r>
          </w:p>
        </w:tc>
        <w:tc>
          <w:tcPr>
            <w:tcW w:type="dxa" w:w="2880"/>
          </w:tcPr>
          <w:p>
            <w:pPr/>
            <w:r>
              <w:rPr>
                <w:sz w:val="18"/>
              </w:rPr>
              <w:t>전자거래 거래량 우위</w:t>
            </w:r>
          </w:p>
        </w:tc>
        <w:tc>
          <w:tcPr>
            <w:tcW w:type="dxa" w:w="2880"/>
          </w:tcPr>
          <w:p>
            <w:pPr/>
            <w:r>
              <w:rPr>
                <w:sz w:val="18"/>
              </w:rPr>
              <w:t>Globex 전자거래 거래량이 공개호가(open outcry) 장내거래(pit) 거래량을 초과</w:t>
            </w:r>
          </w:p>
        </w:tc>
      </w:tr>
      <w:tr>
        <w:tc>
          <w:tcPr>
            <w:tcW w:type="dxa" w:w="2880"/>
          </w:tcPr>
          <w:p>
            <w:pPr/>
            <w:r>
              <w:rPr>
                <w:sz w:val="18"/>
              </w:rPr>
              <w:t>2007</w:t>
            </w:r>
          </w:p>
        </w:tc>
        <w:tc>
          <w:tcPr>
            <w:tcW w:type="dxa" w:w="2880"/>
          </w:tcPr>
          <w:p>
            <w:pPr/>
            <w:r>
              <w:rPr>
                <w:sz w:val="18"/>
              </w:rPr>
              <w:t>연간 거래량 &gt; 10억</w:t>
            </w:r>
          </w:p>
        </w:tc>
        <w:tc>
          <w:tcPr>
            <w:tcW w:type="dxa" w:w="2880"/>
          </w:tcPr>
          <w:p>
            <w:pPr/>
            <w:r>
              <w:rPr>
                <w:sz w:val="18"/>
              </w:rPr>
              <w:t>CME-CBOT 합병 및 상품 확대로 인한 성장</w:t>
            </w:r>
          </w:p>
        </w:tc>
      </w:tr>
      <w:tr>
        <w:tc>
          <w:tcPr>
            <w:tcW w:type="dxa" w:w="2880"/>
          </w:tcPr>
          <w:p>
            <w:pPr/>
            <w:r>
              <w:rPr>
                <w:sz w:val="18"/>
              </w:rPr>
              <w:t>2012</w:t>
            </w:r>
          </w:p>
        </w:tc>
        <w:tc>
          <w:tcPr>
            <w:tcW w:type="dxa" w:w="2880"/>
          </w:tcPr>
          <w:p>
            <w:pPr/>
            <w:r>
              <w:rPr>
                <w:sz w:val="18"/>
              </w:rPr>
              <w:t>p99에서 98% 지연시간 감소</w:t>
            </w:r>
          </w:p>
        </w:tc>
        <w:tc>
          <w:tcPr>
            <w:tcW w:type="dxa" w:w="2880"/>
          </w:tcPr>
          <w:p>
            <w:pPr/>
            <w:r>
              <w:rPr>
                <w:sz w:val="18"/>
              </w:rPr>
              <w:t>대규모 플랫폼 성능 개선 릴리스; 주문 입력 및 시장데이터 경로 모두 최적화</w:t>
            </w:r>
          </w:p>
        </w:tc>
      </w:tr>
      <w:tr>
        <w:tc>
          <w:tcPr>
            <w:tcW w:type="dxa" w:w="2880"/>
          </w:tcPr>
          <w:p>
            <w:pPr/>
            <w:r>
              <w:rPr>
                <w:sz w:val="18"/>
              </w:rPr>
              <w:t>2014</w:t>
            </w:r>
          </w:p>
        </w:tc>
        <w:tc>
          <w:tcPr>
            <w:tcW w:type="dxa" w:w="2880"/>
          </w:tcPr>
          <w:p>
            <w:pPr/>
            <w:r>
              <w:rPr>
                <w:sz w:val="18"/>
              </w:rPr>
              <w:t>서브밀리초 매칭</w:t>
            </w:r>
          </w:p>
        </w:tc>
        <w:tc>
          <w:tcPr>
            <w:tcW w:type="dxa" w:w="2880"/>
          </w:tcPr>
          <w:p>
            <w:pPr/>
            <w:r>
              <w:rPr>
                <w:sz w:val="18"/>
              </w:rPr>
              <w:t>지속적인 하드웨어 및 소프트웨어 최적화</w:t>
            </w:r>
          </w:p>
        </w:tc>
      </w:tr>
      <w:tr>
        <w:tc>
          <w:tcPr>
            <w:tcW w:type="dxa" w:w="2880"/>
          </w:tcPr>
          <w:p>
            <w:pPr/>
            <w:r>
              <w:rPr>
                <w:sz w:val="18"/>
              </w:rPr>
              <w:t>2019</w:t>
            </w:r>
          </w:p>
        </w:tc>
        <w:tc>
          <w:tcPr>
            <w:tcW w:type="dxa" w:w="2880"/>
          </w:tcPr>
          <w:p>
            <w:pPr/>
            <w:r>
              <w:rPr>
                <w:sz w:val="18"/>
              </w:rPr>
              <w:t>MDP 3.0 전면 도입</w:t>
            </w:r>
          </w:p>
        </w:tc>
        <w:tc>
          <w:tcPr>
            <w:tcW w:type="dxa" w:w="2880"/>
          </w:tcPr>
          <w:p>
            <w:pPr/>
            <w:r>
              <w:rPr>
                <w:sz w:val="18"/>
              </w:rPr>
              <w:t>SBE 인코딩이 FAST를 대체; 소비자 측 CPU 오버헤드 감소</w:t>
            </w:r>
          </w:p>
        </w:tc>
      </w:tr>
      <w:tr>
        <w:tc>
          <w:tcPr>
            <w:tcW w:type="dxa" w:w="2880"/>
          </w:tcPr>
          <w:p>
            <w:pPr/>
            <w:r>
              <w:rPr>
                <w:sz w:val="18"/>
              </w:rPr>
              <w:t>2024</w:t>
            </w:r>
          </w:p>
        </w:tc>
        <w:tc>
          <w:tcPr>
            <w:tcW w:type="dxa" w:w="2880"/>
          </w:tcPr>
          <w:p>
            <w:pPr/>
            <w:r>
              <w:rPr>
                <w:sz w:val="18"/>
              </w:rPr>
              <w:t>사상 최대 일일 거래량 기록</w:t>
            </w:r>
          </w:p>
        </w:tc>
        <w:tc>
          <w:tcPr>
            <w:tcW w:type="dxa" w:w="2880"/>
          </w:tcPr>
          <w:p>
            <w:pPr/>
            <w:r>
              <w:rPr>
                <w:sz w:val="18"/>
              </w:rPr>
              <w:t>5,000만 계약을 초과하는 다수의 거래일; 전 자산군에 걸친 일평균 거래량 성장</w:t>
            </w:r>
          </w:p>
        </w:tc>
      </w:tr>
      <w:tr>
        <w:tc>
          <w:tcPr>
            <w:tcW w:type="dxa" w:w="2880"/>
          </w:tcPr>
          <w:p>
            <w:pPr/>
            <w:r>
              <w:rPr>
                <w:sz w:val="18"/>
              </w:rPr>
              <w:t>2025</w:t>
            </w:r>
          </w:p>
        </w:tc>
        <w:tc>
          <w:tcPr>
            <w:tcW w:type="dxa" w:w="2880"/>
          </w:tcPr>
          <w:p>
            <w:pPr/>
            <w:r>
              <w:rPr>
                <w:sz w:val="18"/>
              </w:rPr>
              <w:t>스키마 v13 배포</w:t>
            </w:r>
          </w:p>
        </w:tc>
        <w:tc>
          <w:tcPr>
            <w:tcW w:type="dxa" w:w="2880"/>
          </w:tcPr>
          <w:p>
            <w:pPr/>
            <w:r>
              <w:rPr>
                <w:sz w:val="18"/>
              </w:rPr>
              <w:t>FX Spot+ 및 신규 상품군을 위한 향상된 메시지 유형</w:t>
            </w:r>
          </w:p>
        </w:tc>
      </w:tr>
    </w:tbl>
    <w:p/>
    <w:p>
      <w:r>
        <w:t>────────────────────────────────────────────────────────────</w:t>
      </w:r>
    </w:p>
    <w:p>
      <w:pPr>
        <w:pStyle w:val="Heading2"/>
      </w:pPr>
      <w:r>
        <w:t>4. 인터페이스 및 프로토콜 (Interfaces &amp; Protocols)</w:t>
      </w:r>
    </w:p>
    <w:p>
      <w:pPr>
        <w:pStyle w:val="Heading3"/>
      </w:pPr>
      <w:r>
        <w:t>4.1 주문 입력 (Order Entry)</w:t>
      </w:r>
    </w:p>
    <w:p>
      <w:pPr>
        <w:pStyle w:val="Heading4"/>
      </w:pPr>
      <w:r>
        <w:t>iLink 3 (주요 -- 저지연)</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w:t>
            </w:r>
          </w:p>
        </w:tc>
      </w:tr>
      <w:tr>
        <w:tc>
          <w:tcPr>
            <w:tcW w:type="dxa" w:w="4320"/>
          </w:tcPr>
          <w:p>
            <w:pPr/>
            <w:r>
              <w:rPr>
                <w:sz w:val="18"/>
              </w:rPr>
              <w:t>**인코딩**</w:t>
            </w:r>
          </w:p>
        </w:tc>
        <w:tc>
          <w:tcPr>
            <w:tcW w:type="dxa" w:w="4320"/>
          </w:tcPr>
          <w:p>
            <w:pPr/>
            <w:r>
              <w:rPr>
                <w:sz w:val="18"/>
              </w:rPr>
              <w:t>FIX Simple Binary Encoding (SBE) v1.0 RC4</w:t>
            </w:r>
          </w:p>
        </w:tc>
      </w:tr>
      <w:tr>
        <w:tc>
          <w:tcPr>
            <w:tcW w:type="dxa" w:w="4320"/>
          </w:tcPr>
          <w:p>
            <w:pPr/>
            <w:r>
              <w:rPr>
                <w:sz w:val="18"/>
              </w:rPr>
              <w:t>**세션 레이어**</w:t>
            </w:r>
          </w:p>
        </w:tc>
        <w:tc>
          <w:tcPr>
            <w:tcW w:type="dxa" w:w="4320"/>
          </w:tcPr>
          <w:p>
            <w:pPr/>
            <w:r>
              <w:rPr>
                <w:sz w:val="18"/>
              </w:rPr>
              <w:t>FIXP (FIX Performance)</w:t>
            </w:r>
          </w:p>
        </w:tc>
      </w:tr>
      <w:tr>
        <w:tc>
          <w:tcPr>
            <w:tcW w:type="dxa" w:w="4320"/>
          </w:tcPr>
          <w:p>
            <w:pPr/>
            <w:r>
              <w:rPr>
                <w:sz w:val="18"/>
              </w:rPr>
              <w:t>**전송**</w:t>
            </w:r>
          </w:p>
        </w:tc>
        <w:tc>
          <w:tcPr>
            <w:tcW w:type="dxa" w:w="4320"/>
          </w:tcPr>
          <w:p>
            <w:pPr/>
            <w:r>
              <w:rPr>
                <w:sz w:val="18"/>
              </w:rPr>
              <w:t>TCP</w:t>
            </w:r>
          </w:p>
        </w:tc>
      </w:tr>
      <w:tr>
        <w:tc>
          <w:tcPr>
            <w:tcW w:type="dxa" w:w="4320"/>
          </w:tcPr>
          <w:p>
            <w:pPr/>
            <w:r>
              <w:rPr>
                <w:sz w:val="18"/>
              </w:rPr>
              <w:t>**게이트웨이 유형**</w:t>
            </w:r>
          </w:p>
        </w:tc>
        <w:tc>
          <w:tcPr>
            <w:tcW w:type="dxa" w:w="4320"/>
          </w:tcPr>
          <w:p>
            <w:pPr/>
            <w:r>
              <w:rPr>
                <w:sz w:val="18"/>
              </w:rPr>
              <w:t>Market Segment Gateway (MSGW) -- 특정 마켓 세그먼트 전용; Convenience Gateway (CGW) -- 모든 마켓 세그먼트로 라우팅</w:t>
            </w:r>
          </w:p>
        </w:tc>
      </w:tr>
      <w:tr>
        <w:tc>
          <w:tcPr>
            <w:tcW w:type="dxa" w:w="4320"/>
          </w:tcPr>
          <w:p>
            <w:pPr/>
            <w:r>
              <w:rPr>
                <w:sz w:val="18"/>
              </w:rPr>
              <w:t>**스키마 버전**</w:t>
            </w:r>
          </w:p>
        </w:tc>
        <w:tc>
          <w:tcPr>
            <w:tcW w:type="dxa" w:w="4320"/>
          </w:tcPr>
          <w:p>
            <w:pPr/>
            <w:r>
              <w:rPr>
                <w:sz w:val="18"/>
              </w:rPr>
              <w:t>v9 (현재 운영); MDP 확장용 v13</w:t>
            </w:r>
          </w:p>
        </w:tc>
      </w:tr>
      <w:tr>
        <w:tc>
          <w:tcPr>
            <w:tcW w:type="dxa" w:w="4320"/>
          </w:tcPr>
          <w:p>
            <w:pPr/>
            <w:r>
              <w:rPr>
                <w:sz w:val="18"/>
              </w:rPr>
              <w:t>**기능**</w:t>
            </w:r>
          </w:p>
        </w:tc>
        <w:tc>
          <w:tcPr>
            <w:tcW w:type="dxa" w:w="4320"/>
          </w:tcPr>
          <w:p>
            <w:pPr/>
            <w:r>
              <w:rPr>
                <w:sz w:val="18"/>
              </w:rPr>
              <w:t>New Order Single, Cancel, Cancel/Replace, Mass Quote, Order Status, Execution Reports</w:t>
            </w:r>
          </w:p>
        </w:tc>
      </w:tr>
      <w:tr>
        <w:tc>
          <w:tcPr>
            <w:tcW w:type="dxa" w:w="4320"/>
          </w:tcPr>
          <w:p>
            <w:pPr/>
            <w:r>
              <w:rPr>
                <w:sz w:val="18"/>
              </w:rPr>
              <w:t>**프레이밍**</w:t>
            </w:r>
          </w:p>
        </w:tc>
        <w:tc>
          <w:tcPr>
            <w:tcW w:type="dxa" w:w="4320"/>
          </w:tcPr>
          <w:p>
            <w:pPr/>
            <w:r>
              <w:rPr>
                <w:sz w:val="18"/>
              </w:rPr>
              <w:t>Simple Open Framing Header (SOFH) -- 메시지 길이 및 인코딩 식별자 제공</w:t>
            </w:r>
          </w:p>
        </w:tc>
      </w:tr>
    </w:tbl>
    <w:p/>
    <w:p>
      <w:pPr>
        <w:pStyle w:val="Heading4"/>
      </w:pPr>
      <w:r>
        <w:t>OE API (대안 -- 지연시간 비민감)</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w:t>
            </w:r>
          </w:p>
        </w:tc>
      </w:tr>
      <w:tr>
        <w:tc>
          <w:tcPr>
            <w:tcW w:type="dxa" w:w="4320"/>
          </w:tcPr>
          <w:p>
            <w:pPr/>
            <w:r>
              <w:rPr>
                <w:sz w:val="18"/>
              </w:rPr>
              <w:t>**REST API**</w:t>
            </w:r>
          </w:p>
        </w:tc>
        <w:tc>
          <w:tcPr>
            <w:tcW w:type="dxa" w:w="4320"/>
          </w:tcPr>
          <w:p>
            <w:pPr/>
            <w:r>
              <w:rPr>
                <w:sz w:val="18"/>
              </w:rPr>
              <w:t>HTTPS; JSON 메시징; 요청-응답 패턴</w:t>
            </w:r>
          </w:p>
        </w:tc>
      </w:tr>
      <w:tr>
        <w:tc>
          <w:tcPr>
            <w:tcW w:type="dxa" w:w="4320"/>
          </w:tcPr>
          <w:p>
            <w:pPr/>
            <w:r>
              <w:rPr>
                <w:sz w:val="18"/>
              </w:rPr>
              <w:t>**WebSocket API**</w:t>
            </w:r>
          </w:p>
        </w:tc>
        <w:tc>
          <w:tcPr>
            <w:tcW w:type="dxa" w:w="4320"/>
          </w:tcPr>
          <w:p>
            <w:pPr/>
            <w:r>
              <w:rPr>
                <w:sz w:val="18"/>
              </w:rPr>
              <w:t>WSS; JSON 메시징; 양방향 스트리밍</w:t>
            </w:r>
          </w:p>
        </w:tc>
      </w:tr>
      <w:tr>
        <w:tc>
          <w:tcPr>
            <w:tcW w:type="dxa" w:w="4320"/>
          </w:tcPr>
          <w:p>
            <w:pPr/>
            <w:r>
              <w:rPr>
                <w:sz w:val="18"/>
              </w:rPr>
              <w:t>**사용 사례**</w:t>
            </w:r>
          </w:p>
        </w:tc>
        <w:tc>
          <w:tcPr>
            <w:tcW w:type="dxa" w:w="4320"/>
          </w:tcPr>
          <w:p>
            <w:pPr/>
            <w:r>
              <w:rPr>
                <w:sz w:val="18"/>
              </w:rPr>
              <w:t>지연시간 민감도가 낮은 전략을 위한 프로그래매틱 거래</w:t>
            </w:r>
          </w:p>
        </w:tc>
      </w:tr>
      <w:tr>
        <w:tc>
          <w:tcPr>
            <w:tcW w:type="dxa" w:w="4320"/>
          </w:tcPr>
          <w:p>
            <w:pPr/>
            <w:r>
              <w:rPr>
                <w:sz w:val="18"/>
              </w:rPr>
              <w:t>**리스크 제어**</w:t>
            </w:r>
          </w:p>
        </w:tc>
        <w:tc>
          <w:tcPr>
            <w:tcW w:type="dxa" w:w="4320"/>
          </w:tcPr>
          <w:p>
            <w:pPr/>
            <w:r>
              <w:rPr>
                <w:sz w:val="18"/>
              </w:rPr>
              <w:t>GC2 및 ICC 제어 전체 적용</w:t>
            </w:r>
          </w:p>
        </w:tc>
      </w:tr>
    </w:tbl>
    <w:p/>
    <w:p>
      <w:pPr>
        <w:pStyle w:val="Heading4"/>
      </w:pPr>
      <w:r>
        <w:t>레거시 / 마이그레이션 참고사항</w:t>
      </w:r>
    </w:p>
    <w:p>
      <w:pPr>
        <w:pStyle w:val="ListBullet"/>
      </w:pPr>
      <w:r>
        <w:t>iLink 2 (FIX 기반)는 폐지되었으며, 모든 MSGW 및 CGW 세션은 현재 iLink 3를 사용한다</w:t>
      </w:r>
    </w:p>
    <w:p>
      <w:pPr>
        <w:pStyle w:val="ListBullet"/>
      </w:pPr>
      <w:r>
        <w:t>마이그레이션 기간 동안 스키마 버전 공존을 허용하기 위해 Template Extension이 지원되었다</w:t>
      </w:r>
    </w:p>
    <w:p>
      <w:pPr>
        <w:pStyle w:val="Heading3"/>
      </w:pPr>
      <w:r>
        <w:t>4.2 시장데이터 -- MDP 3.0 (Market Data -- MDP 3.0)</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w:t>
            </w:r>
          </w:p>
        </w:tc>
      </w:tr>
      <w:tr>
        <w:tc>
          <w:tcPr>
            <w:tcW w:type="dxa" w:w="4320"/>
          </w:tcPr>
          <w:p>
            <w:pPr/>
            <w:r>
              <w:rPr>
                <w:sz w:val="18"/>
              </w:rPr>
              <w:t>**인코딩**</w:t>
            </w:r>
          </w:p>
        </w:tc>
        <w:tc>
          <w:tcPr>
            <w:tcW w:type="dxa" w:w="4320"/>
          </w:tcPr>
          <w:p>
            <w:pPr/>
            <w:r>
              <w:rPr>
                <w:sz w:val="18"/>
              </w:rPr>
              <w:t>FIX Simple Binary Encoding (SBE)</w:t>
            </w:r>
          </w:p>
        </w:tc>
      </w:tr>
      <w:tr>
        <w:tc>
          <w:tcPr>
            <w:tcW w:type="dxa" w:w="4320"/>
          </w:tcPr>
          <w:p>
            <w:pPr/>
            <w:r>
              <w:rPr>
                <w:sz w:val="18"/>
              </w:rPr>
              <w:t>**스키마 사양**</w:t>
            </w:r>
          </w:p>
        </w:tc>
        <w:tc>
          <w:tcPr>
            <w:tcW w:type="dxa" w:w="4320"/>
          </w:tcPr>
          <w:p>
            <w:pPr/>
            <w:r>
              <w:rPr>
                <w:sz w:val="18"/>
              </w:rPr>
              <w:t>FIX 5.0 SP2 메시지 사양</w:t>
            </w:r>
          </w:p>
        </w:tc>
      </w:tr>
      <w:tr>
        <w:tc>
          <w:tcPr>
            <w:tcW w:type="dxa" w:w="4320"/>
          </w:tcPr>
          <w:p>
            <w:pPr/>
            <w:r>
              <w:rPr>
                <w:sz w:val="18"/>
              </w:rPr>
              <w:t>**전송**</w:t>
            </w:r>
          </w:p>
        </w:tc>
        <w:tc>
          <w:tcPr>
            <w:tcW w:type="dxa" w:w="4320"/>
          </w:tcPr>
          <w:p>
            <w:pPr/>
            <w:r>
              <w:rPr>
                <w:sz w:val="18"/>
              </w:rPr>
              <w:t>UDP multicast (실시간 증분); TCP (스냅샷 복구)</w:t>
            </w:r>
          </w:p>
        </w:tc>
      </w:tr>
      <w:tr>
        <w:tc>
          <w:tcPr>
            <w:tcW w:type="dxa" w:w="4320"/>
          </w:tcPr>
          <w:p>
            <w:pPr/>
            <w:r>
              <w:rPr>
                <w:sz w:val="18"/>
              </w:rPr>
              <w:t>**피드 유형**</w:t>
            </w:r>
          </w:p>
        </w:tc>
        <w:tc>
          <w:tcPr>
            <w:tcW w:type="dxa" w:w="4320"/>
          </w:tcPr>
          <w:p>
            <w:pPr/>
            <w:r>
              <w:rPr>
                <w:sz w:val="18"/>
              </w:rPr>
              <w:t>Market By Price (MBP) -- 가격 수준별 집계 호가잔량; Market By Order (MBO) -- 개별 주문장 세분화</w:t>
            </w:r>
          </w:p>
        </w:tc>
      </w:tr>
      <w:tr>
        <w:tc>
          <w:tcPr>
            <w:tcW w:type="dxa" w:w="4320"/>
          </w:tcPr>
          <w:p>
            <w:pPr/>
            <w:r>
              <w:rPr>
                <w:sz w:val="18"/>
              </w:rPr>
              <w:t>**데이터 내용**</w:t>
            </w:r>
          </w:p>
        </w:tc>
        <w:tc>
          <w:tcPr>
            <w:tcW w:type="dxa" w:w="4320"/>
          </w:tcPr>
          <w:p>
            <w:pPr/>
            <w:r>
              <w:rPr>
                <w:sz w:val="18"/>
              </w:rPr>
              <w:t>매수, 매도, 체결, 통계 데이터; 이벤트 기반 전달</w:t>
            </w:r>
          </w:p>
        </w:tc>
      </w:tr>
      <w:tr>
        <w:tc>
          <w:tcPr>
            <w:tcW w:type="dxa" w:w="4320"/>
          </w:tcPr>
          <w:p>
            <w:pPr/>
            <w:r>
              <w:rPr>
                <w:sz w:val="18"/>
              </w:rPr>
              <w:t>**채널 구조**</w:t>
            </w:r>
          </w:p>
        </w:tc>
        <w:tc>
          <w:tcPr>
            <w:tcW w:type="dxa" w:w="4320"/>
          </w:tcPr>
          <w:p>
            <w:pPr/>
            <w:r>
              <w:rPr>
                <w:sz w:val="18"/>
              </w:rPr>
              <w:t>상품이 multicast 채널 그룹으로 조직됨 (예: 2026년 신규 주가지수 상품용 Channel ID 324)</w:t>
            </w:r>
          </w:p>
        </w:tc>
      </w:tr>
      <w:tr>
        <w:tc>
          <w:tcPr>
            <w:tcW w:type="dxa" w:w="4320"/>
          </w:tcPr>
          <w:p>
            <w:pPr/>
            <w:r>
              <w:rPr>
                <w:sz w:val="18"/>
              </w:rPr>
              <w:t>**FAST 대비 장점**</w:t>
            </w:r>
          </w:p>
        </w:tc>
        <w:tc>
          <w:tcPr>
            <w:tcW w:type="dxa" w:w="4320"/>
          </w:tcPr>
          <w:p>
            <w:pPr/>
            <w:r>
              <w:rPr>
                <w:sz w:val="18"/>
              </w:rPr>
              <w:t>더 낮은 지연시간 배포; 더 적은 CPU 부하; 나노초 타임스탬프 정밀도; 향상된 시장 상태 세분화</w:t>
            </w:r>
          </w:p>
        </w:tc>
      </w:tr>
      <w:tr>
        <w:tc>
          <w:tcPr>
            <w:tcW w:type="dxa" w:w="4320"/>
          </w:tcPr>
          <w:p>
            <w:pPr/>
            <w:r>
              <w:rPr>
                <w:sz w:val="18"/>
              </w:rPr>
              <w:t>**복구**</w:t>
            </w:r>
          </w:p>
        </w:tc>
        <w:tc>
          <w:tcPr>
            <w:tcW w:type="dxa" w:w="4320"/>
          </w:tcPr>
          <w:p>
            <w:pPr/>
            <w:r>
              <w:rPr>
                <w:sz w:val="18"/>
              </w:rPr>
              <w:t>호가장 상태 복구를 위한 TCP 기반 스냅샷 피드; 채널상 종목 재생</w:t>
            </w:r>
          </w:p>
        </w:tc>
      </w:tr>
    </w:tbl>
    <w:p/>
    <w:p>
      <w:pPr>
        <w:pStyle w:val="Heading3"/>
      </w:pPr>
      <w:r>
        <w:t>4.3 Drop Copy / 매매 보고 (Drop Copy / Trade Reporting)</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w:t>
            </w:r>
          </w:p>
        </w:tc>
      </w:tr>
      <w:tr>
        <w:tc>
          <w:tcPr>
            <w:tcW w:type="dxa" w:w="4320"/>
          </w:tcPr>
          <w:p>
            <w:pPr/>
            <w:r>
              <w:rPr>
                <w:sz w:val="18"/>
              </w:rPr>
              <w:t>**프로토콜**</w:t>
            </w:r>
          </w:p>
        </w:tc>
        <w:tc>
          <w:tcPr>
            <w:tcW w:type="dxa" w:w="4320"/>
          </w:tcPr>
          <w:p>
            <w:pPr/>
            <w:r>
              <w:rPr>
                <w:sz w:val="18"/>
              </w:rPr>
              <w:t>FIX 4.2</w:t>
            </w:r>
          </w:p>
        </w:tc>
      </w:tr>
      <w:tr>
        <w:tc>
          <w:tcPr>
            <w:tcW w:type="dxa" w:w="4320"/>
          </w:tcPr>
          <w:p>
            <w:pPr/>
            <w:r>
              <w:rPr>
                <w:sz w:val="18"/>
              </w:rPr>
              <w:t>**버전**</w:t>
            </w:r>
          </w:p>
        </w:tc>
        <w:tc>
          <w:tcPr>
            <w:tcW w:type="dxa" w:w="4320"/>
          </w:tcPr>
          <w:p>
            <w:pPr/>
            <w:r>
              <w:rPr>
                <w:sz w:val="18"/>
              </w:rPr>
              <w:t>Drop Copy 4.0</w:t>
            </w:r>
          </w:p>
        </w:tc>
      </w:tr>
      <w:tr>
        <w:tc>
          <w:tcPr>
            <w:tcW w:type="dxa" w:w="4320"/>
          </w:tcPr>
          <w:p>
            <w:pPr/>
            <w:r>
              <w:rPr>
                <w:sz w:val="18"/>
              </w:rPr>
              <w:t>**기능**</w:t>
            </w:r>
          </w:p>
        </w:tc>
        <w:tc>
          <w:tcPr>
            <w:tcW w:type="dxa" w:w="4320"/>
          </w:tcPr>
          <w:p>
            <w:pPr/>
            <w:r>
              <w:rPr>
                <w:sz w:val="18"/>
              </w:rPr>
              <w:t>체결 보고서, 확인 응답, 하트비트, 매매 취소 메시지의 읽기 전용 실시간 복사본</w:t>
            </w:r>
          </w:p>
        </w:tc>
      </w:tr>
      <w:tr>
        <w:tc>
          <w:tcPr>
            <w:tcW w:type="dxa" w:w="4320"/>
          </w:tcPr>
          <w:p>
            <w:pPr/>
            <w:r>
              <w:rPr>
                <w:sz w:val="18"/>
              </w:rPr>
              <w:t>**전달**</w:t>
            </w:r>
          </w:p>
        </w:tc>
        <w:tc>
          <w:tcPr>
            <w:tcW w:type="dxa" w:w="4320"/>
          </w:tcPr>
          <w:p>
            <w:pPr/>
            <w:r>
              <w:rPr>
                <w:sz w:val="18"/>
              </w:rPr>
              <w:t>iLink 체결 보고서의 ASCII 인코딩 복사본이 FIX non-FIX 메시지 유형(35=n) 내 XML로 캡슐화되어 전달</w:t>
            </w:r>
          </w:p>
        </w:tc>
      </w:tr>
      <w:tr>
        <w:tc>
          <w:tcPr>
            <w:tcW w:type="dxa" w:w="4320"/>
          </w:tcPr>
          <w:p>
            <w:pPr/>
            <w:r>
              <w:rPr>
                <w:sz w:val="18"/>
              </w:rPr>
              <w:t>**사용 사례**</w:t>
            </w:r>
          </w:p>
        </w:tc>
        <w:tc>
          <w:tcPr>
            <w:tcW w:type="dxa" w:w="4320"/>
          </w:tcPr>
          <w:p>
            <w:pPr/>
            <w:r>
              <w:rPr>
                <w:sz w:val="18"/>
              </w:rPr>
              <w:t>리스크 모니터링, 컴플라이언스, 백오피스 대사</w:t>
            </w:r>
          </w:p>
        </w:tc>
      </w:tr>
      <w:tr>
        <w:tc>
          <w:tcPr>
            <w:tcW w:type="dxa" w:w="4320"/>
          </w:tcPr>
          <w:p>
            <w:pPr/>
            <w:r>
              <w:rPr>
                <w:sz w:val="18"/>
              </w:rPr>
              <w:t>**범위**</w:t>
            </w:r>
          </w:p>
        </w:tc>
        <w:tc>
          <w:tcPr>
            <w:tcW w:type="dxa" w:w="4320"/>
          </w:tcPr>
          <w:p>
            <w:pPr/>
            <w:r>
              <w:rPr>
                <w:sz w:val="18"/>
              </w:rPr>
              <w:t>Drop Copy 연결당 하나 이상의 소스 iLink 세션을 커버</w:t>
            </w:r>
          </w:p>
        </w:tc>
      </w:tr>
    </w:tbl>
    <w:p/>
    <w:p>
      <w:pPr>
        <w:pStyle w:val="Heading3"/>
      </w:pPr>
      <w:r>
        <w:t>4.4 기준정보 (Reference Data)</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w:t>
            </w:r>
          </w:p>
        </w:tc>
      </w:tr>
      <w:tr>
        <w:tc>
          <w:tcPr>
            <w:tcW w:type="dxa" w:w="4320"/>
          </w:tcPr>
          <w:p>
            <w:pPr/>
            <w:r>
              <w:rPr>
                <w:sz w:val="18"/>
              </w:rPr>
              <w:t>**종목 정의**</w:t>
            </w:r>
          </w:p>
        </w:tc>
        <w:tc>
          <w:tcPr>
            <w:tcW w:type="dxa" w:w="4320"/>
          </w:tcPr>
          <w:p>
            <w:pPr/>
            <w:r>
              <w:rPr>
                <w:sz w:val="18"/>
              </w:rPr>
              <w:t>세션 시작 시 MDP 3.0 채널을 통해 배포; 계약 사양, 호가 단위, 거래시간 포함</w:t>
            </w:r>
          </w:p>
        </w:tc>
      </w:tr>
      <w:tr>
        <w:tc>
          <w:tcPr>
            <w:tcW w:type="dxa" w:w="4320"/>
          </w:tcPr>
          <w:p>
            <w:pPr/>
            <w:r>
              <w:rPr>
                <w:sz w:val="18"/>
              </w:rPr>
              <w:t>**스키마 파일**</w:t>
            </w:r>
          </w:p>
        </w:tc>
        <w:tc>
          <w:tcPr>
            <w:tcW w:type="dxa" w:w="4320"/>
          </w:tcPr>
          <w:p>
            <w:pPr/>
            <w:r>
              <w:rPr>
                <w:sz w:val="18"/>
              </w:rPr>
              <w:t>모든 환경에 대한 SBE 스키마 XML 파일이 SFTP (sftpng.cmegroup.com)를 통해 제공</w:t>
            </w:r>
          </w:p>
        </w:tc>
      </w:tr>
      <w:tr>
        <w:tc>
          <w:tcPr>
            <w:tcW w:type="dxa" w:w="4320"/>
          </w:tcPr>
          <w:p>
            <w:pPr/>
            <w:r>
              <w:rPr>
                <w:sz w:val="18"/>
              </w:rPr>
              <w:t>**보안 정의**</w:t>
            </w:r>
          </w:p>
        </w:tc>
        <w:tc>
          <w:tcPr>
            <w:tcW w:type="dxa" w:w="4320"/>
          </w:tcPr>
          <w:p>
            <w:pPr/>
            <w:r>
              <w:rPr>
                <w:sz w:val="18"/>
              </w:rPr>
              <w:t>MDP 3.0 SecurityDefinition 메시지 (SBE에서 Tag 35=d에 해당)</w:t>
            </w:r>
          </w:p>
        </w:tc>
      </w:tr>
      <w:tr>
        <w:tc>
          <w:tcPr>
            <w:tcW w:type="dxa" w:w="4320"/>
          </w:tcPr>
          <w:p>
            <w:pPr/>
            <w:r>
              <w:rPr>
                <w:sz w:val="18"/>
              </w:rPr>
              <w:t>**업데이트**</w:t>
            </w:r>
          </w:p>
        </w:tc>
        <w:tc>
          <w:tcPr>
            <w:tcW w:type="dxa" w:w="4320"/>
          </w:tcPr>
          <w:p>
            <w:pPr/>
            <w:r>
              <w:rPr>
                <w:sz w:val="18"/>
              </w:rPr>
              <w:t>MDP 3.0을 통한 장중 종목 추가; 기준정보는 매일 갱신</w:t>
            </w:r>
          </w:p>
        </w:tc>
      </w:tr>
      <w:tr>
        <w:tc>
          <w:tcPr>
            <w:tcW w:type="dxa" w:w="4320"/>
          </w:tcPr>
          <w:p>
            <w:pPr/>
            <w:r>
              <w:rPr>
                <w:sz w:val="18"/>
              </w:rPr>
              <w:t>**형식**</w:t>
            </w:r>
          </w:p>
        </w:tc>
        <w:tc>
          <w:tcPr>
            <w:tcW w:type="dxa" w:w="4320"/>
          </w:tcPr>
          <w:p>
            <w:pPr/>
            <w:r>
              <w:rPr>
                <w:sz w:val="18"/>
              </w:rPr>
              <w:t>SBE 스키마 템플릿, XML 종목 파일, FTP 배포 CSV 파일</w:t>
            </w:r>
          </w:p>
        </w:tc>
      </w:tr>
    </w:tbl>
    <w:p/>
    <w:p>
      <w:r>
        <w:t>────────────────────────────────────────────────────────────</w:t>
      </w:r>
    </w:p>
    <w:p>
      <w:pPr>
        <w:pStyle w:val="Heading2"/>
      </w:pPr>
      <w:r>
        <w:t>5. 복원력 및 업무연속성 (Resilience &amp; Business Continuity)</w:t>
      </w:r>
    </w:p>
    <w:p>
      <w:pPr>
        <w:pStyle w:val="Heading3"/>
      </w:pPr>
      <w:r>
        <w:t>5.1 이중화 (Redundancy)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w:t>
            </w:r>
          </w:p>
        </w:tc>
      </w:tr>
      <w:tr>
        <w:tc>
          <w:tcPr>
            <w:tcW w:type="dxa" w:w="4320"/>
          </w:tcPr>
          <w:p>
            <w:pPr/>
            <w:r>
              <w:rPr>
                <w:sz w:val="18"/>
              </w:rPr>
              <w:t>**주 데이터센터**</w:t>
            </w:r>
          </w:p>
        </w:tc>
        <w:tc>
          <w:tcPr>
            <w:tcW w:type="dxa" w:w="4320"/>
          </w:tcPr>
          <w:p>
            <w:pPr/>
            <w:r>
              <w:rPr>
                <w:sz w:val="18"/>
              </w:rPr>
              <w:t>CyrusOne 시설, Aurora, Illinois (시카고 서쪽 약 50마일)</w:t>
            </w:r>
          </w:p>
        </w:tc>
      </w:tr>
      <w:tr>
        <w:tc>
          <w:tcPr>
            <w:tcW w:type="dxa" w:w="4320"/>
          </w:tcPr>
          <w:p>
            <w:pPr/>
            <w:r>
              <w:rPr>
                <w:sz w:val="18"/>
              </w:rPr>
              <w:t>**DR 데이터센터**</w:t>
            </w:r>
          </w:p>
        </w:tc>
        <w:tc>
          <w:tcPr>
            <w:tcW w:type="dxa" w:w="4320"/>
          </w:tcPr>
          <w:p>
            <w:pPr/>
            <w:r>
              <w:rPr>
                <w:sz w:val="18"/>
              </w:rPr>
              <w:t>New York Data Center (NYDC)</w:t>
            </w:r>
          </w:p>
        </w:tc>
      </w:tr>
      <w:tr>
        <w:tc>
          <w:tcPr>
            <w:tcW w:type="dxa" w:w="4320"/>
          </w:tcPr>
          <w:p>
            <w:pPr/>
            <w:r>
              <w:rPr>
                <w:sz w:val="18"/>
              </w:rPr>
              <w:t>**향후 운영**</w:t>
            </w:r>
          </w:p>
        </w:tc>
        <w:tc>
          <w:tcPr>
            <w:tcW w:type="dxa" w:w="4320"/>
          </w:tcPr>
          <w:p>
            <w:pPr/>
            <w:r>
              <w:rPr>
                <w:sz w:val="18"/>
              </w:rPr>
              <w:t>프라이빗 Google Cloud Chicago 지역 (Aurora, IL 캠퍼스); 2028년 계획</w:t>
            </w:r>
          </w:p>
        </w:tc>
      </w:tr>
      <w:tr>
        <w:tc>
          <w:tcPr>
            <w:tcW w:type="dxa" w:w="4320"/>
          </w:tcPr>
          <w:p>
            <w:pPr/>
            <w:r>
              <w:rPr>
                <w:sz w:val="18"/>
              </w:rPr>
              <w:t>**향후 DR**</w:t>
            </w:r>
          </w:p>
        </w:tc>
        <w:tc>
          <w:tcPr>
            <w:tcW w:type="dxa" w:w="4320"/>
          </w:tcPr>
          <w:p>
            <w:pPr/>
            <w:r>
              <w:rPr>
                <w:sz w:val="18"/>
              </w:rPr>
              <w:t>Google Cloud Dallas, Texas 지역</w:t>
            </w:r>
          </w:p>
        </w:tc>
      </w:tr>
      <w:tr>
        <w:tc>
          <w:tcPr>
            <w:tcW w:type="dxa" w:w="4320"/>
          </w:tcPr>
          <w:p>
            <w:pPr/>
            <w:r>
              <w:rPr>
                <w:sz w:val="18"/>
              </w:rPr>
              <w:t>**모델**</w:t>
            </w:r>
          </w:p>
        </w:tc>
        <w:tc>
          <w:tcPr>
            <w:tcW w:type="dxa" w:w="4320"/>
          </w:tcPr>
          <w:p>
            <w:pPr/>
            <w:r>
              <w:rPr>
                <w:sz w:val="18"/>
              </w:rPr>
              <w:t>모든 CME Group 애플리케이션(iLink, MDP, 청산)에 대한 2개 데이터센터 액티브/스탠바이 모델</w:t>
            </w:r>
          </w:p>
        </w:tc>
      </w:tr>
      <w:tr>
        <w:tc>
          <w:tcPr>
            <w:tcW w:type="dxa" w:w="4320"/>
          </w:tcPr>
          <w:p>
            <w:pPr/>
            <w:r>
              <w:rPr>
                <w:sz w:val="18"/>
              </w:rPr>
              <w:t>**게이트웨이 이중화**</w:t>
            </w:r>
          </w:p>
        </w:tc>
        <w:tc>
          <w:tcPr>
            <w:tcW w:type="dxa" w:w="4320"/>
          </w:tcPr>
          <w:p>
            <w:pPr/>
            <w:r>
              <w:rPr>
                <w:sz w:val="18"/>
              </w:rPr>
              <w:t>마켓 세그먼트별 다수의 MSGW 및 CGW 인스턴스; 자동 페일오버</w:t>
            </w:r>
          </w:p>
        </w:tc>
      </w:tr>
      <w:tr>
        <w:tc>
          <w:tcPr>
            <w:tcW w:type="dxa" w:w="4320"/>
          </w:tcPr>
          <w:p>
            <w:pPr/>
            <w:r>
              <w:rPr>
                <w:sz w:val="18"/>
              </w:rPr>
              <w:t>**네트워크 이중화**</w:t>
            </w:r>
          </w:p>
        </w:tc>
        <w:tc>
          <w:tcPr>
            <w:tcW w:type="dxa" w:w="4320"/>
          </w:tcPr>
          <w:p>
            <w:pPr/>
            <w:r>
              <w:rPr>
                <w:sz w:val="18"/>
              </w:rPr>
              <w:t>이중 경로 네트워크 연결; 다양한 광섬유 경로</w:t>
            </w:r>
          </w:p>
        </w:tc>
      </w:tr>
    </w:tbl>
    <w:p/>
    <w:p>
      <w:r>
        <w:t>데이터센터 소유권 참고: 2016년, CME Group은 15년 리스백 계약 하에 Aurora 데이터센터를 CyrusOne에 1억 3,000만 달러에 매각하였다. CME는 이 시설에서 계속 Globex를 호스팅하고 있다.</w:t>
      </w:r>
    </w:p>
    <w:p>
      <w:pPr>
        <w:pStyle w:val="Heading3"/>
      </w:pPr>
      <w:r>
        <w:t>5.2 재해복구 (Disaster Recovery)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지표</w:t>
            </w:r>
          </w:p>
        </w:tc>
        <w:tc>
          <w:tcPr>
            <w:tcW w:type="dxa" w:w="4320"/>
          </w:tcPr>
          <w:p>
            <w:pPr/>
            <w:r>
              <w:rPr>
                <w:b/>
                <w:sz w:val="18"/>
              </w:rPr>
              <w:t>상세</w:t>
            </w:r>
          </w:p>
        </w:tc>
      </w:tr>
      <w:tr>
        <w:tc>
          <w:tcPr>
            <w:tcW w:type="dxa" w:w="4320"/>
          </w:tcPr>
          <w:p>
            <w:pPr/>
            <w:r>
              <w:rPr>
                <w:sz w:val="18"/>
              </w:rPr>
              <w:t>**RPO (복구 시점 목표)**</w:t>
            </w:r>
          </w:p>
        </w:tc>
        <w:tc>
          <w:tcPr>
            <w:tcW w:type="dxa" w:w="4320"/>
          </w:tcPr>
          <w:p>
            <w:pPr/>
            <w:r>
              <w:rPr>
                <w:sz w:val="18"/>
              </w:rPr>
              <w:t>주문 상태에 대해 거의 제로; GTC/GTD 주문이 DR에서 지속 (2025년 강화)</w:t>
            </w:r>
          </w:p>
        </w:tc>
      </w:tr>
      <w:tr>
        <w:tc>
          <w:tcPr>
            <w:tcW w:type="dxa" w:w="4320"/>
          </w:tcPr>
          <w:p>
            <w:pPr/>
            <w:r>
              <w:rPr>
                <w:sz w:val="18"/>
              </w:rPr>
              <w:t>**RTO (복구 시간 목표)**</w:t>
            </w:r>
          </w:p>
        </w:tc>
        <w:tc>
          <w:tcPr>
            <w:tcW w:type="dxa" w:w="4320"/>
          </w:tcPr>
          <w:p>
            <w:pPr/>
            <w:r>
              <w:rPr>
                <w:sz w:val="18"/>
              </w:rPr>
              <w:t>분 단위 페일오버; 시나리오에 따라 상이 (계획 vs. 비계획)</w:t>
            </w:r>
          </w:p>
        </w:tc>
      </w:tr>
      <w:tr>
        <w:tc>
          <w:tcPr>
            <w:tcW w:type="dxa" w:w="4320"/>
          </w:tcPr>
          <w:p>
            <w:pPr/>
            <w:r>
              <w:rPr>
                <w:sz w:val="18"/>
              </w:rPr>
              <w:t>**DR 테스트**</w:t>
            </w:r>
          </w:p>
        </w:tc>
        <w:tc>
          <w:tcPr>
            <w:tcW w:type="dxa" w:w="4320"/>
          </w:tcPr>
          <w:p>
            <w:pPr/>
            <w:r>
              <w:rPr>
                <w:sz w:val="18"/>
              </w:rPr>
              <w:t>정기 예정 페일오버 훈련; 고객 참여 권장</w:t>
            </w:r>
          </w:p>
        </w:tc>
      </w:tr>
      <w:tr>
        <w:tc>
          <w:tcPr>
            <w:tcW w:type="dxa" w:w="4320"/>
          </w:tcPr>
          <w:p>
            <w:pPr/>
            <w:r>
              <w:rPr>
                <w:sz w:val="18"/>
              </w:rPr>
              <w:t>**주문 지속성**</w:t>
            </w:r>
          </w:p>
        </w:tc>
        <w:tc>
          <w:tcPr>
            <w:tcW w:type="dxa" w:w="4320"/>
          </w:tcPr>
          <w:p>
            <w:pPr/>
            <w:r>
              <w:rPr>
                <w:sz w:val="18"/>
              </w:rPr>
              <w:t>대기 중인 GTC 및 GTD 주문이 이제 DR 전환 시에도 유지됨 (2025년 기능 강화)</w:t>
            </w:r>
          </w:p>
        </w:tc>
      </w:tr>
      <w:tr>
        <w:tc>
          <w:tcPr>
            <w:tcW w:type="dxa" w:w="4320"/>
          </w:tcPr>
          <w:p>
            <w:pPr/>
            <w:r>
              <w:rPr>
                <w:sz w:val="18"/>
              </w:rPr>
              <w:t>**세션 복구**</w:t>
            </w:r>
          </w:p>
        </w:tc>
        <w:tc>
          <w:tcPr>
            <w:tcW w:type="dxa" w:w="4320"/>
          </w:tcPr>
          <w:p>
            <w:pPr/>
            <w:r>
              <w:rPr>
                <w:sz w:val="18"/>
              </w:rPr>
              <w:t>iLink 3 FIXP 세션 레이어가 시퀀스 기반 복구 및 재설정을 지원</w:t>
            </w:r>
          </w:p>
        </w:tc>
      </w:tr>
    </w:tbl>
    <w:p/>
    <w:p>
      <w:r>
        <w:t>주목할 사건 (2024): CyrusOne Aurora 시설의 냉각 시스템 장애로 온도가 화씨 100도를 초과하였다. NYDC로의 페일오버 대신 현장 수리를 계속하기로 결정한 것이 장애를 약 10시간으로 연장시켰으며, 이는 페일오버 의사결정의 복잡성을 부각시켰다.</w:t>
      </w:r>
    </w:p>
    <w:p>
      <w:pPr>
        <w:pStyle w:val="Heading3"/>
      </w:pPr>
      <w:r>
        <w:t>5.3 용량 관리 (Capacity Management)</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상세</w:t>
            </w:r>
          </w:p>
        </w:tc>
      </w:tr>
      <w:tr>
        <w:tc>
          <w:tcPr>
            <w:tcW w:type="dxa" w:w="4320"/>
          </w:tcPr>
          <w:p>
            <w:pPr/>
            <w:r>
              <w:rPr>
                <w:sz w:val="18"/>
              </w:rPr>
              <w:t>**Messaging Efficiency Program (MEP)**</w:t>
            </w:r>
          </w:p>
        </w:tc>
        <w:tc>
          <w:tcPr>
            <w:tcW w:type="dxa" w:w="4320"/>
          </w:tcPr>
          <w:p>
            <w:pPr/>
            <w:r>
              <w:rPr>
                <w:sz w:val="18"/>
              </w:rPr>
              <w:t>메시지 유형, 시간대, 근월/원월, 아웃라이트/스프레드에 기반한 점수 체계</w:t>
            </w:r>
          </w:p>
        </w:tc>
      </w:tr>
      <w:tr>
        <w:tc>
          <w:tcPr>
            <w:tcW w:type="dxa" w:w="4320"/>
          </w:tcPr>
          <w:p>
            <w:pPr/>
            <w:r>
              <w:rPr>
                <w:sz w:val="18"/>
              </w:rPr>
              <w:t>**TPS 한도**</w:t>
            </w:r>
          </w:p>
        </w:tc>
        <w:tc>
          <w:tcPr>
            <w:tcW w:type="dxa" w:w="4320"/>
          </w:tcPr>
          <w:p>
            <w:pPr/>
            <w:r>
              <w:rPr>
                <w:sz w:val="18"/>
              </w:rPr>
              <w:t>iLink 수준에서 적용되는 세션별 초당 거래 건수 제한</w:t>
            </w:r>
          </w:p>
        </w:tc>
      </w:tr>
      <w:tr>
        <w:tc>
          <w:tcPr>
            <w:tcW w:type="dxa" w:w="4320"/>
          </w:tcPr>
          <w:p>
            <w:pPr/>
            <w:r>
              <w:rPr>
                <w:sz w:val="18"/>
              </w:rPr>
              <w:t>**거래량 등급**</w:t>
            </w:r>
          </w:p>
        </w:tc>
        <w:tc>
          <w:tcPr>
            <w:tcW w:type="dxa" w:w="4320"/>
          </w:tcPr>
          <w:p>
            <w:pPr/>
            <w:r>
              <w:rPr>
                <w:sz w:val="18"/>
              </w:rPr>
              <w:t>일일 50,000건 이하의 메시지를 제출하는 회사는 MEP 점수 산정에서 제외</w:t>
            </w:r>
          </w:p>
        </w:tc>
      </w:tr>
      <w:tr>
        <w:tc>
          <w:tcPr>
            <w:tcW w:type="dxa" w:w="4320"/>
          </w:tcPr>
          <w:p>
            <w:pPr/>
            <w:r>
              <w:rPr>
                <w:sz w:val="18"/>
              </w:rPr>
              <w:t>**확장**</w:t>
            </w:r>
          </w:p>
        </w:tc>
        <w:tc>
          <w:tcPr>
            <w:tcW w:type="dxa" w:w="4320"/>
          </w:tcPr>
          <w:p>
            <w:pPr/>
            <w:r>
              <w:rPr>
                <w:sz w:val="18"/>
              </w:rPr>
              <w:t>마켓 세그먼트 격리로 매매체결엔진의 독립적 수평 확장이 가능</w:t>
            </w:r>
          </w:p>
        </w:tc>
      </w:tr>
      <w:tr>
        <w:tc>
          <w:tcPr>
            <w:tcW w:type="dxa" w:w="4320"/>
          </w:tcPr>
          <w:p>
            <w:pPr/>
            <w:r>
              <w:rPr>
                <w:sz w:val="18"/>
              </w:rPr>
              <w:t>**모니터링**</w:t>
            </w:r>
          </w:p>
        </w:tc>
        <w:tc>
          <w:tcPr>
            <w:tcW w:type="dxa" w:w="4320"/>
          </w:tcPr>
          <w:p>
            <w:pPr/>
            <w:r>
              <w:rPr>
                <w:sz w:val="18"/>
              </w:rPr>
              <w:t>실시간 용량 대시보드; 포화 전 선제적 쓰로틀링</w:t>
            </w:r>
          </w:p>
        </w:tc>
      </w:tr>
    </w:tbl>
    <w:p/>
    <w:p>
      <w:r>
        <w:t>────────────────────────────────────────────────────────────</w:t>
      </w:r>
    </w:p>
    <w:p>
      <w:pPr>
        <w:pStyle w:val="Heading2"/>
      </w:pPr>
      <w:r>
        <w:t>6. 주요 기술 특징 (Notable Technical Features)</w:t>
      </w:r>
    </w:p>
    <w:p>
      <w:pPr>
        <w:pStyle w:val="Heading3"/>
      </w:pPr>
      <w:r>
        <w:t>내재가격 엔진 (Implied Pricing Engine)</w:t>
      </w:r>
    </w:p>
    <w:p>
      <w:r>
        <w:t>CME Globex의 매매체결엔진은 관련 스프레드 및 아웃라이트 계약 간의 매수·매도 호가를 통합하여 유동성과 가격 발견을 극대화하기 위해 실시간으로 내재가격(implied prices)을 계산한다.</w:t>
      </w:r>
    </w:p>
    <w:p>
      <w:pPr>
        <w:pStyle w:val="ListBullet"/>
      </w:pPr>
      <w:r>
        <w:t>Implied-in: 아웃라이트 주문이 내재 스프레드 가격을 생성</w:t>
      </w:r>
    </w:p>
    <w:p>
      <w:pPr>
        <w:pStyle w:val="ListBullet"/>
      </w:pPr>
      <w:r>
        <w:t>Implied-out: 스프레드 주문이 내재 아웃라이트 가격을 생성</w:t>
      </w:r>
    </w:p>
    <w:p>
      <w:pPr>
        <w:pStyle w:val="ListBullet"/>
      </w:pPr>
      <w:r>
        <w:t>상품간 내재 스프레드: 관련 상품 간 비율 기반 내재가격 산출 (예: 금리 선물)</w:t>
      </w:r>
    </w:p>
    <w:p>
      <w:pPr>
        <w:pStyle w:val="ListBullet"/>
      </w:pPr>
      <w:r>
        <w:t>제한사항: Self-Match Prevention (SMP)은 내재 유동성이 관여하는 거래에는 적용되지 않는다</w:t>
      </w:r>
    </w:p>
    <w:p>
      <w:pPr>
        <w:pStyle w:val="Heading3"/>
      </w:pPr>
      <w:r>
        <w:t>매칭 알고리즘 (Matching Algorithms)</w:t>
      </w:r>
    </w:p>
    <w:p>
      <w:r>
        <w:t>CME Globex는 상품 그룹별로 구성 가능한 다중 매칭 알고리즘을 지원한다:</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알고리즘</w:t>
            </w:r>
          </w:p>
        </w:tc>
        <w:tc>
          <w:tcPr>
            <w:tcW w:type="dxa" w:w="2880"/>
          </w:tcPr>
          <w:p>
            <w:pPr/>
            <w:r>
              <w:rPr>
                <w:b/>
                <w:sz w:val="18"/>
              </w:rPr>
              <w:t>설명</w:t>
            </w:r>
          </w:p>
        </w:tc>
        <w:tc>
          <w:tcPr>
            <w:tcW w:type="dxa" w:w="2880"/>
          </w:tcPr>
          <w:p>
            <w:pPr/>
            <w:r>
              <w:rPr>
                <w:b/>
                <w:sz w:val="18"/>
              </w:rPr>
              <w:t>적용 상품 예시</w:t>
            </w:r>
          </w:p>
        </w:tc>
      </w:tr>
      <w:tr>
        <w:tc>
          <w:tcPr>
            <w:tcW w:type="dxa" w:w="2880"/>
          </w:tcPr>
          <w:p>
            <w:pPr/>
            <w:r>
              <w:rPr>
                <w:sz w:val="18"/>
              </w:rPr>
              <w:t>**FIFO (가격-시간)**</w:t>
            </w:r>
          </w:p>
        </w:tc>
        <w:tc>
          <w:tcPr>
            <w:tcW w:type="dxa" w:w="2880"/>
          </w:tcPr>
          <w:p>
            <w:pPr/>
            <w:r>
              <w:rPr>
                <w:sz w:val="18"/>
              </w:rPr>
              <w:t>엄격한 가격 우선, 이후 시간 우선; 한 가격 수준에서 최초 주문이 최우선 체결</w:t>
            </w:r>
          </w:p>
        </w:tc>
        <w:tc>
          <w:tcPr>
            <w:tcW w:type="dxa" w:w="2880"/>
          </w:tcPr>
          <w:p>
            <w:pPr/>
            <w:r>
              <w:rPr>
                <w:sz w:val="18"/>
              </w:rPr>
              <w:t>축산물 아웃라이트 선물, Black Sea 밀/옥수수 선물</w:t>
            </w:r>
          </w:p>
        </w:tc>
      </w:tr>
      <w:tr>
        <w:tc>
          <w:tcPr>
            <w:tcW w:type="dxa" w:w="2880"/>
          </w:tcPr>
          <w:p>
            <w:pPr/>
            <w:r>
              <w:rPr>
                <w:sz w:val="18"/>
              </w:rPr>
              <w:t>**Pro-Rata**</w:t>
            </w:r>
          </w:p>
        </w:tc>
        <w:tc>
          <w:tcPr>
            <w:tcW w:type="dxa" w:w="2880"/>
          </w:tcPr>
          <w:p>
            <w:pPr/>
            <w:r>
              <w:rPr>
                <w:sz w:val="18"/>
              </w:rPr>
              <w:t>해당 가격 수준의 대기 주문 수량에 비례하여 체결 배분; 큰 주문이 더 큰 체결량을 수령</w:t>
            </w:r>
          </w:p>
        </w:tc>
        <w:tc>
          <w:tcPr>
            <w:tcW w:type="dxa" w:w="2880"/>
          </w:tcPr>
          <w:p>
            <w:pPr/>
            <w:r>
              <w:rPr>
                <w:sz w:val="18"/>
              </w:rPr>
              <w:t>Eurodollar/SOFR 옵션, 특정 금리 상품</w:t>
            </w:r>
          </w:p>
        </w:tc>
      </w:tr>
      <w:tr>
        <w:tc>
          <w:tcPr>
            <w:tcW w:type="dxa" w:w="2880"/>
          </w:tcPr>
          <w:p>
            <w:pPr/>
            <w:r>
              <w:rPr>
                <w:sz w:val="18"/>
              </w:rPr>
              <w:t>**Split FIFO / Pro-Rata (하이브리드)**</w:t>
            </w:r>
          </w:p>
        </w:tc>
        <w:tc>
          <w:tcPr>
            <w:tcW w:type="dxa" w:w="2880"/>
          </w:tcPr>
          <w:p>
            <w:pPr/>
            <w:r>
              <w:rPr>
                <w:sz w:val="18"/>
              </w:rPr>
              <w:t>구성 가능한 비율 (예: 40% FIFO / 60% Pro-Rata); 시간 우선과 광범위한 참여 간 균형</w:t>
            </w:r>
          </w:p>
        </w:tc>
        <w:tc>
          <w:tcPr>
            <w:tcW w:type="dxa" w:w="2880"/>
          </w:tcPr>
          <w:p>
            <w:pPr/>
            <w:r>
              <w:rPr>
                <w:sz w:val="18"/>
              </w:rPr>
              <w:t>곡물 및 유지작물 선물/스프레드, 축산물 스프레드</w:t>
            </w:r>
          </w:p>
        </w:tc>
      </w:tr>
      <w:tr>
        <w:tc>
          <w:tcPr>
            <w:tcW w:type="dxa" w:w="2880"/>
          </w:tcPr>
          <w:p>
            <w:pPr/>
            <w:r>
              <w:rPr>
                <w:sz w:val="18"/>
              </w:rPr>
              <w:t>**Allocation**</w:t>
            </w:r>
          </w:p>
        </w:tc>
        <w:tc>
          <w:tcPr>
            <w:tcW w:type="dxa" w:w="2880"/>
          </w:tcPr>
          <w:p>
            <w:pPr/>
            <w:r>
              <w:rPr>
                <w:sz w:val="18"/>
              </w:rPr>
              <w:t>특정 상품 유형을 위한 전문 배분 로직</w:t>
            </w:r>
          </w:p>
        </w:tc>
        <w:tc>
          <w:tcPr>
            <w:tcW w:type="dxa" w:w="2880"/>
          </w:tcPr>
          <w:p>
            <w:pPr/>
            <w:r>
              <w:rPr>
                <w:sz w:val="18"/>
              </w:rPr>
              <w:t>일부 OTC 형식 상품</w:t>
            </w:r>
          </w:p>
        </w:tc>
      </w:tr>
      <w:tr>
        <w:tc>
          <w:tcPr>
            <w:tcW w:type="dxa" w:w="2880"/>
          </w:tcPr>
          <w:p>
            <w:pPr/>
            <w:r>
              <w:rPr>
                <w:sz w:val="18"/>
              </w:rPr>
              <w:t>**Top Order + Pro-Rata**</w:t>
            </w:r>
          </w:p>
        </w:tc>
        <w:tc>
          <w:tcPr>
            <w:tcW w:type="dxa" w:w="2880"/>
          </w:tcPr>
          <w:p>
            <w:pPr/>
            <w:r>
              <w:rPr>
                <w:sz w:val="18"/>
              </w:rPr>
              <w:t>최우선 대기 주문이 우선 체결을 받고, 나머지는 pro-rata로 배분</w:t>
            </w:r>
          </w:p>
        </w:tc>
        <w:tc>
          <w:tcPr>
            <w:tcW w:type="dxa" w:w="2880"/>
          </w:tcPr>
          <w:p>
            <w:pPr/>
            <w:r>
              <w:rPr>
                <w:sz w:val="18"/>
              </w:rPr>
              <w:t>일부 금리 선물</w:t>
            </w:r>
          </w:p>
        </w:tc>
      </w:tr>
      <w:tr>
        <w:tc>
          <w:tcPr>
            <w:tcW w:type="dxa" w:w="2880"/>
          </w:tcPr>
          <w:p>
            <w:pPr/>
            <w:r>
              <w:rPr>
                <w:sz w:val="18"/>
              </w:rPr>
              <w:t>**Threshold Pro-Rata**</w:t>
            </w:r>
          </w:p>
        </w:tc>
        <w:tc>
          <w:tcPr>
            <w:tcW w:type="dxa" w:w="2880"/>
          </w:tcPr>
          <w:p>
            <w:pPr/>
            <w:r>
              <w:rPr>
                <w:sz w:val="18"/>
              </w:rPr>
              <w:t>pro-rata 배분이 적용되기 전 최소 체결 수량 기준</w:t>
            </w:r>
          </w:p>
        </w:tc>
        <w:tc>
          <w:tcPr>
            <w:tcW w:type="dxa" w:w="2880"/>
          </w:tcPr>
          <w:p>
            <w:pPr/>
            <w:r>
              <w:rPr>
                <w:sz w:val="18"/>
              </w:rPr>
              <w:t>일부 옵션 상품</w:t>
            </w:r>
          </w:p>
        </w:tc>
      </w:tr>
    </w:tbl>
    <w:p/>
    <w:p>
      <w:pPr>
        <w:pStyle w:val="Heading3"/>
      </w:pPr>
      <w:r>
        <w:t>Market with Protection (MKT w/ Protection)</w:t>
      </w:r>
    </w:p>
    <w:p>
      <w:r>
        <w:t>시장가 주문에는 내장된 가격 보호가 포함되어 있다 — 시장이 설정 가능한 범위를 넘어 움직이면, 미체결 잔량은 해당 범위 경계에서의 지정가 주문으로 전환되어 과도한 슬리피지를 방지한다.</w:t>
      </w:r>
    </w:p>
    <w:p>
      <w:pPr>
        <w:pStyle w:val="Heading3"/>
      </w:pPr>
      <w:r>
        <w:t>자기거래 방지 (Self-Trade Prevention, SMP)</w:t>
      </w:r>
    </w:p>
    <w:p>
      <w:pPr>
        <w:pStyle w:val="ListBullet"/>
      </w:pPr>
      <w:r>
        <w:t>동일 회사/트레이더(SMP ID로 식별)의 반대 주문 간 매칭을 방지</w:t>
      </w:r>
    </w:p>
    <w:p>
      <w:pPr>
        <w:pStyle w:val="ListBullet"/>
      </w:pPr>
      <w:r>
        <w:t>구성 가능한 조치: 대기 주문 취소, 유입 주문 취소, 또는 양쪽 모두 취소</w:t>
      </w:r>
    </w:p>
    <w:p>
      <w:pPr>
        <w:pStyle w:val="ListBullet"/>
      </w:pPr>
      <w:r>
        <w:t>제한사항: SMP는 내재 유동성이 관여하는 자기 매칭을 방지하지 못한다 (예: 스프레드의 내재 다리에 대한 아웃라이트 주문의 매칭)</w:t>
      </w:r>
    </w:p>
    <w:p>
      <w:pPr>
        <w:pStyle w:val="Heading3"/>
      </w:pPr>
      <w:r>
        <w:t>Mass Quote 기능 (Mass Quote Functionality)</w:t>
      </w:r>
    </w:p>
    <w:p>
      <w:pPr>
        <w:pStyle w:val="ListBullet"/>
      </w:pPr>
      <w:r>
        <w:t>마켓 메이커가 여러 종목에 걸쳐 양방향 호가를 동시에 제출하도록 설계</w:t>
      </w:r>
    </w:p>
    <w:p>
      <w:pPr>
        <w:pStyle w:val="ListBullet"/>
      </w:pPr>
      <w:r>
        <w:t>대역폭의 효율적 사용 — 단일 메시지로 다수의 호가 업데이트</w:t>
      </w:r>
    </w:p>
    <w:p>
      <w:pPr>
        <w:pStyle w:val="ListBullet"/>
      </w:pPr>
      <w:r>
        <w:t>Mass quote에 대한 연결 해제 시 취소(cancel-on-disconnect) 보호</w:t>
      </w:r>
    </w:p>
    <w:p>
      <w:pPr>
        <w:pStyle w:val="Heading3"/>
      </w:pPr>
      <w:r>
        <w:t>Globex Credit Controls (GC2)</w:t>
      </w:r>
    </w:p>
    <w:p>
      <w:pPr>
        <w:pStyle w:val="ListBullet"/>
      </w:pPr>
      <w:r>
        <w:t>청산회원 리스크 관리자가 관리하는 사전체결 리스크 제어</w:t>
      </w:r>
    </w:p>
    <w:p>
      <w:pPr>
        <w:pStyle w:val="ListBullet"/>
      </w:pPr>
      <w:r>
        <w:t>거래소별 위탁매매회원별 매수 및 매도 거래/포지션에 대한 익스포저 한도</w:t>
      </w:r>
    </w:p>
    <w:p>
      <w:pPr>
        <w:pStyle w:val="ListBullet"/>
      </w:pPr>
      <w:r>
        <w:t>위반 시 실시간 조치: 이메일 통보, 주문 차단, 주문 취소</w:t>
      </w:r>
    </w:p>
    <w:p>
      <w:pPr>
        <w:pStyle w:val="ListBullet"/>
      </w:pPr>
      <w:r>
        <w:t>위탁매매회원 ID / 거래소 그룹 수준에서 적용</w:t>
      </w:r>
    </w:p>
    <w:p>
      <w:pPr>
        <w:pStyle w:val="Heading3"/>
      </w:pPr>
      <w:r>
        <w:t>Inline Credit Controls (ICC)</w:t>
      </w:r>
    </w:p>
    <w:p>
      <w:pPr>
        <w:pStyle w:val="ListBullet"/>
      </w:pPr>
      <w:r>
        <w:t>상품별, 계좌별 세분화된 일일 포지션 한도</w:t>
      </w:r>
    </w:p>
    <w:p>
      <w:pPr>
        <w:pStyle w:val="ListBullet"/>
      </w:pPr>
      <w:r>
        <w:t>Account Management Service (AMS)를 통해 관리</w:t>
      </w:r>
    </w:p>
    <w:p>
      <w:pPr>
        <w:pStyle w:val="ListBullet"/>
      </w:pPr>
      <w:r>
        <w:t>일말에 포지션을 평탄화(flat)로 재설정</w:t>
      </w:r>
    </w:p>
    <w:p>
      <w:pPr>
        <w:pStyle w:val="ListBullet"/>
      </w:pPr>
      <w:r>
        <w:t>구성 가능한 임계값 알림 (예: 80% 활용도 경고)</w:t>
      </w:r>
    </w:p>
    <w:p>
      <w:pPr>
        <w:pStyle w:val="Heading3"/>
      </w:pPr>
      <w:r>
        <w:t>CME SPAN / SPAN 2</w:t>
      </w:r>
    </w:p>
    <w:p>
      <w:pPr>
        <w:pStyle w:val="ListBullet"/>
      </w:pPr>
      <w:r>
        <w:t>SPAN (Standard Portfolio Analysis of Risk): CME가 개발한 업계 표준 증거금 방법론; 포트폴리오 수준의 증거금 요건을 계산</w:t>
      </w:r>
    </w:p>
    <w:p>
      <w:pPr>
        <w:pStyle w:val="ListBullet"/>
      </w:pPr>
      <w:r>
        <w:t>SPAN 2: 더 세분화된 시나리오와 개선된 모델링을 통합한 차세대 리스크 방법론</w:t>
      </w:r>
    </w:p>
    <w:p>
      <w:pPr>
        <w:pStyle w:val="ListBullet"/>
      </w:pPr>
      <w:r>
        <w:t>사전거래 및 장중 증거금 평가를 위해 GC2와 통합</w:t>
      </w:r>
    </w:p>
    <w:p>
      <w:pPr>
        <w:pStyle w:val="Heading3"/>
      </w:pPr>
      <w:r>
        <w:t>코로케이션 서비스 (Co-location Services)</w:t>
      </w:r>
    </w:p>
    <w:p>
      <w:pPr>
        <w:pStyle w:val="ListBullet"/>
      </w:pPr>
      <w:r>
        <w:t>매매체결엔진에 근접하기 위한 CyrusOne Aurora 시설에서의 코로케이션 이용 가능</w:t>
      </w:r>
    </w:p>
    <w:p>
      <w:pPr>
        <w:pStyle w:val="ListBullet"/>
      </w:pPr>
      <w:r>
        <w:t>모든 코로케이션 참가자에 대한 균등 지연시간 접근</w:t>
      </w:r>
    </w:p>
    <w:p>
      <w:pPr>
        <w:pStyle w:val="ListBullet"/>
      </w:pPr>
      <w:r>
        <w:t>Google Cloud 프라이빗 리전에서의 향후 코로케이션 옵션: 전통적 랙 공간, Google 인프라 서비스, 또는 하이브리드</w:t>
      </w:r>
    </w:p>
    <w:p>
      <w:r>
        <w:t>────────────────────────────────────────────────────────────</w:t>
      </w:r>
    </w:p>
    <w:p>
      <w:pPr>
        <w:pStyle w:val="Heading2"/>
      </w:pPr>
      <w:r>
        <w:t>7. 비교 참고사항 (Comparison Notes)</w:t>
      </w:r>
    </w:p>
    <w:p>
      <w:pPr>
        <w:pStyle w:val="Heading3"/>
      </w:pPr>
      <w:r>
        <w:t>vs. KRX 시스템 (Exture+)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비교 항목</w:t>
            </w:r>
          </w:p>
        </w:tc>
        <w:tc>
          <w:tcPr>
            <w:tcW w:type="dxa" w:w="2880"/>
          </w:tcPr>
          <w:p>
            <w:pPr/>
            <w:r>
              <w:rPr>
                <w:b/>
                <w:sz w:val="18"/>
              </w:rPr>
              <w:t>CME Globex</w:t>
            </w:r>
          </w:p>
        </w:tc>
        <w:tc>
          <w:tcPr>
            <w:tcW w:type="dxa" w:w="2880"/>
          </w:tcPr>
          <w:p>
            <w:pPr/>
            <w:r>
              <w:rPr>
                <w:b/>
                <w:sz w:val="18"/>
              </w:rPr>
              <w:t>KRX Exture+</w:t>
            </w:r>
          </w:p>
        </w:tc>
      </w:tr>
      <w:tr>
        <w:tc>
          <w:tcPr>
            <w:tcW w:type="dxa" w:w="2880"/>
          </w:tcPr>
          <w:p>
            <w:pPr/>
            <w:r>
              <w:rPr>
                <w:sz w:val="18"/>
              </w:rPr>
              <w:t>**매매체결엔진 지연시간**</w:t>
            </w:r>
          </w:p>
        </w:tc>
        <w:tc>
          <w:tcPr>
            <w:tcW w:type="dxa" w:w="2880"/>
          </w:tcPr>
          <w:p>
            <w:pPr/>
            <w:r>
              <w:rPr>
                <w:sz w:val="18"/>
              </w:rPr>
              <w:t>~5 마이크로초 (중앙값, 2012년 이후 최적화)</w:t>
            </w:r>
          </w:p>
        </w:tc>
        <w:tc>
          <w:tcPr>
            <w:tcW w:type="dxa" w:w="2880"/>
          </w:tcPr>
          <w:p>
            <w:pPr/>
            <w:r>
              <w:rPr>
                <w:sz w:val="18"/>
              </w:rPr>
              <w:t>~70 마이크로초 (2014년 출시; 원래 Exture 대비 285배 개선)</w:t>
            </w:r>
          </w:p>
        </w:tc>
      </w:tr>
      <w:tr>
        <w:tc>
          <w:tcPr>
            <w:tcW w:type="dxa" w:w="2880"/>
          </w:tcPr>
          <w:p>
            <w:pPr/>
            <w:r>
              <w:rPr>
                <w:sz w:val="18"/>
              </w:rPr>
              <w:t>**p99 지연시간**</w:t>
            </w:r>
          </w:p>
        </w:tc>
        <w:tc>
          <w:tcPr>
            <w:tcW w:type="dxa" w:w="2880"/>
          </w:tcPr>
          <w:p>
            <w:pPr/>
            <w:r>
              <w:rPr>
                <w:sz w:val="18"/>
              </w:rPr>
              <w:t>~50 마이크로초</w:t>
            </w:r>
          </w:p>
        </w:tc>
        <w:tc>
          <w:tcPr>
            <w:tcW w:type="dxa" w:w="2880"/>
          </w:tcPr>
          <w:p>
            <w:pPr/>
            <w:r>
              <w:rPr>
                <w:sz w:val="18"/>
              </w:rPr>
              <w:t>공개되지 않음</w:t>
            </w:r>
          </w:p>
        </w:tc>
      </w:tr>
      <w:tr>
        <w:tc>
          <w:tcPr>
            <w:tcW w:type="dxa" w:w="2880"/>
          </w:tcPr>
          <w:p>
            <w:pPr/>
            <w:r>
              <w:rPr>
                <w:sz w:val="18"/>
              </w:rPr>
              <w:t>**처리량**</w:t>
            </w:r>
          </w:p>
        </w:tc>
        <w:tc>
          <w:tcPr>
            <w:tcW w:type="dxa" w:w="2880"/>
          </w:tcPr>
          <w:p>
            <w:pPr/>
            <w:r>
              <w:rPr>
                <w:sz w:val="18"/>
              </w:rPr>
              <w:t>6,000만+ 계약/일 실증</w:t>
            </w:r>
          </w:p>
        </w:tc>
        <w:tc>
          <w:tcPr>
            <w:tcW w:type="dxa" w:w="2880"/>
          </w:tcPr>
          <w:p>
            <w:pPr/>
            <w:r>
              <w:rPr>
                <w:sz w:val="18"/>
              </w:rPr>
              <w:t>높은 용량; 구체적 TPS 비공개</w:t>
            </w:r>
          </w:p>
        </w:tc>
      </w:tr>
      <w:tr>
        <w:tc>
          <w:tcPr>
            <w:tcW w:type="dxa" w:w="2880"/>
          </w:tcPr>
          <w:p>
            <w:pPr/>
            <w:r>
              <w:rPr>
                <w:sz w:val="18"/>
              </w:rPr>
              <w:t>**아키텍처**</w:t>
            </w:r>
          </w:p>
        </w:tc>
        <w:tc>
          <w:tcPr>
            <w:tcW w:type="dxa" w:w="2880"/>
          </w:tcPr>
          <w:p>
            <w:pPr/>
            <w:r>
              <w:rPr>
                <w:sz w:val="18"/>
              </w:rPr>
              <w:t>분산형 다중 엔진 (마켓 세그먼트별)</w:t>
            </w:r>
          </w:p>
        </w:tc>
        <w:tc>
          <w:tcPr>
            <w:tcW w:type="dxa" w:w="2880"/>
          </w:tcPr>
          <w:p>
            <w:pPr/>
            <w:r>
              <w:rPr>
                <w:sz w:val="18"/>
              </w:rPr>
              <w:t>모든 종목 유형을 지원하는 통합 플랫폼</w:t>
            </w:r>
          </w:p>
        </w:tc>
      </w:tr>
      <w:tr>
        <w:tc>
          <w:tcPr>
            <w:tcW w:type="dxa" w:w="2880"/>
          </w:tcPr>
          <w:p>
            <w:pPr/>
            <w:r>
              <w:rPr>
                <w:sz w:val="18"/>
              </w:rPr>
              <w:t>**매칭 알고리즘**</w:t>
            </w:r>
          </w:p>
        </w:tc>
        <w:tc>
          <w:tcPr>
            <w:tcW w:type="dxa" w:w="2880"/>
          </w:tcPr>
          <w:p>
            <w:pPr/>
            <w:r>
              <w:rPr>
                <w:sz w:val="18"/>
              </w:rPr>
              <w:t>상품별 다중 (FIFO, pro-rata, 하이브리드, allocation)</w:t>
            </w:r>
          </w:p>
        </w:tc>
        <w:tc>
          <w:tcPr>
            <w:tcW w:type="dxa" w:w="2880"/>
          </w:tcPr>
          <w:p>
            <w:pPr/>
            <w:r>
              <w:rPr>
                <w:sz w:val="18"/>
              </w:rPr>
              <w:t>주로 가격-시간 우선(FIFO)</w:t>
            </w:r>
          </w:p>
        </w:tc>
      </w:tr>
      <w:tr>
        <w:tc>
          <w:tcPr>
            <w:tcW w:type="dxa" w:w="2880"/>
          </w:tcPr>
          <w:p>
            <w:pPr/>
            <w:r>
              <w:rPr>
                <w:sz w:val="18"/>
              </w:rPr>
              <w:t>**주문 입력 프로토콜**</w:t>
            </w:r>
          </w:p>
        </w:tc>
        <w:tc>
          <w:tcPr>
            <w:tcW w:type="dxa" w:w="2880"/>
          </w:tcPr>
          <w:p>
            <w:pPr/>
            <w:r>
              <w:rPr>
                <w:sz w:val="18"/>
              </w:rPr>
              <w:t>iLink 3 (FIX SBE + FIXP); OE API (REST/WS)</w:t>
            </w:r>
          </w:p>
        </w:tc>
        <w:tc>
          <w:tcPr>
            <w:tcW w:type="dxa" w:w="2880"/>
          </w:tcPr>
          <w:p>
            <w:pPr/>
            <w:r>
              <w:rPr>
                <w:sz w:val="18"/>
              </w:rPr>
              <w:t>FIX 기반 독자 프로토콜</w:t>
            </w:r>
          </w:p>
        </w:tc>
      </w:tr>
      <w:tr>
        <w:tc>
          <w:tcPr>
            <w:tcW w:type="dxa" w:w="2880"/>
          </w:tcPr>
          <w:p>
            <w:pPr/>
            <w:r>
              <w:rPr>
                <w:sz w:val="18"/>
              </w:rPr>
              <w:t>**시장데이터 프로토콜**</w:t>
            </w:r>
          </w:p>
        </w:tc>
        <w:tc>
          <w:tcPr>
            <w:tcW w:type="dxa" w:w="2880"/>
          </w:tcPr>
          <w:p>
            <w:pPr/>
            <w:r>
              <w:rPr>
                <w:sz w:val="18"/>
              </w:rPr>
              <w:t>MDP 3.0 (SBE, UDP multicast + TCP 복구)</w:t>
            </w:r>
          </w:p>
        </w:tc>
        <w:tc>
          <w:tcPr>
            <w:tcW w:type="dxa" w:w="2880"/>
          </w:tcPr>
          <w:p>
            <w:pPr/>
            <w:r>
              <w:rPr>
                <w:sz w:val="18"/>
              </w:rPr>
              <w:t>독자 바이너리 피드</w:t>
            </w:r>
          </w:p>
        </w:tc>
      </w:tr>
      <w:tr>
        <w:tc>
          <w:tcPr>
            <w:tcW w:type="dxa" w:w="2880"/>
          </w:tcPr>
          <w:p>
            <w:pPr/>
            <w:r>
              <w:rPr>
                <w:sz w:val="18"/>
              </w:rPr>
              <w:t>**코로케이션**</w:t>
            </w:r>
          </w:p>
        </w:tc>
        <w:tc>
          <w:tcPr>
            <w:tcW w:type="dxa" w:w="2880"/>
          </w:tcPr>
          <w:p>
            <w:pPr/>
            <w:r>
              <w:rPr>
                <w:sz w:val="18"/>
              </w:rPr>
              <w:t>CyrusOne Aurora, IL; 향후 Google Cloud</w:t>
            </w:r>
          </w:p>
        </w:tc>
        <w:tc>
          <w:tcPr>
            <w:tcW w:type="dxa" w:w="2880"/>
          </w:tcPr>
          <w:p>
            <w:pPr/>
            <w:r>
              <w:rPr>
                <w:sz w:val="18"/>
              </w:rPr>
              <w:t>KRX 데이터센터 (부산)</w:t>
            </w:r>
          </w:p>
        </w:tc>
      </w:tr>
      <w:tr>
        <w:tc>
          <w:tcPr>
            <w:tcW w:type="dxa" w:w="2880"/>
          </w:tcPr>
          <w:p>
            <w:pPr/>
            <w:r>
              <w:rPr>
                <w:sz w:val="18"/>
              </w:rPr>
              <w:t>**지원 상품**</w:t>
            </w:r>
          </w:p>
        </w:tc>
        <w:tc>
          <w:tcPr>
            <w:tcW w:type="dxa" w:w="2880"/>
          </w:tcPr>
          <w:p>
            <w:pPr/>
            <w:r>
              <w:rPr>
                <w:sz w:val="18"/>
              </w:rPr>
              <w:t>선물 및 선물옵션만 (파생상품 특화)</w:t>
            </w:r>
          </w:p>
        </w:tc>
        <w:tc>
          <w:tcPr>
            <w:tcW w:type="dxa" w:w="2880"/>
          </w:tcPr>
          <w:p>
            <w:pPr/>
            <w:r>
              <w:rPr>
                <w:sz w:val="18"/>
              </w:rPr>
              <w:t>주식, 채권, ETF, 파생상품 — 단일 플랫폼에서 모두 지원</w:t>
            </w:r>
          </w:p>
        </w:tc>
      </w:tr>
      <w:tr>
        <w:tc>
          <w:tcPr>
            <w:tcW w:type="dxa" w:w="2880"/>
          </w:tcPr>
          <w:p>
            <w:pPr/>
            <w:r>
              <w:rPr>
                <w:sz w:val="18"/>
              </w:rPr>
              <w:t>**내재가격**</w:t>
            </w:r>
          </w:p>
        </w:tc>
        <w:tc>
          <w:tcPr>
            <w:tcW w:type="dxa" w:w="2880"/>
          </w:tcPr>
          <w:p>
            <w:pPr/>
            <w:r>
              <w:rPr>
                <w:sz w:val="18"/>
              </w:rPr>
              <w:t>있음 — 실시간 내재 스프레드/아웃라이트 엔진</w:t>
            </w:r>
          </w:p>
        </w:tc>
        <w:tc>
          <w:tcPr>
            <w:tcW w:type="dxa" w:w="2880"/>
          </w:tcPr>
          <w:p>
            <w:pPr/>
            <w:r>
              <w:rPr>
                <w:sz w:val="18"/>
              </w:rPr>
              <w:t>제한적 — 주로 옵션 마켓 메이킹용</w:t>
            </w:r>
          </w:p>
        </w:tc>
      </w:tr>
      <w:tr>
        <w:tc>
          <w:tcPr>
            <w:tcW w:type="dxa" w:w="2880"/>
          </w:tcPr>
          <w:p>
            <w:pPr/>
            <w:r>
              <w:rPr>
                <w:sz w:val="18"/>
              </w:rPr>
              <w:t>**플랫폼 기원**</w:t>
            </w:r>
          </w:p>
        </w:tc>
        <w:tc>
          <w:tcPr>
            <w:tcW w:type="dxa" w:w="2880"/>
          </w:tcPr>
          <w:p>
            <w:pPr/>
            <w:r>
              <w:rPr>
                <w:sz w:val="18"/>
              </w:rPr>
              <w:t>Reuters (1992) 이후 NSC/Paris Bourse (1998), 자체 발전</w:t>
            </w:r>
          </w:p>
        </w:tc>
        <w:tc>
          <w:tcPr>
            <w:tcW w:type="dxa" w:w="2880"/>
          </w:tcPr>
          <w:p>
            <w:pPr/>
            <w:r>
              <w:rPr>
                <w:sz w:val="18"/>
              </w:rPr>
              <w:t>자체 개발 (Koscom); 메모리 기반, 오픈소스 아키텍처</w:t>
            </w:r>
          </w:p>
        </w:tc>
      </w:tr>
      <w:tr>
        <w:tc>
          <w:tcPr>
            <w:tcW w:type="dxa" w:w="2880"/>
          </w:tcPr>
          <w:p>
            <w:pPr/>
            <w:r>
              <w:rPr>
                <w:sz w:val="18"/>
              </w:rPr>
              <w:t>**출시 연도**</w:t>
            </w:r>
          </w:p>
        </w:tc>
        <w:tc>
          <w:tcPr>
            <w:tcW w:type="dxa" w:w="2880"/>
          </w:tcPr>
          <w:p>
            <w:pPr/>
            <w:r>
              <w:rPr>
                <w:sz w:val="18"/>
              </w:rPr>
              <w:t>1992 (현 세대 ~2012+)</w:t>
            </w:r>
          </w:p>
        </w:tc>
        <w:tc>
          <w:tcPr>
            <w:tcW w:type="dxa" w:w="2880"/>
          </w:tcPr>
          <w:p>
            <w:pPr/>
            <w:r>
              <w:rPr>
                <w:sz w:val="18"/>
              </w:rPr>
              <w:t>2014 (Exture, 2009 이후)</w:t>
            </w:r>
          </w:p>
        </w:tc>
      </w:tr>
      <w:tr>
        <w:tc>
          <w:tcPr>
            <w:tcW w:type="dxa" w:w="2880"/>
          </w:tcPr>
          <w:p>
            <w:pPr/>
            <w:r>
              <w:rPr>
                <w:sz w:val="18"/>
              </w:rPr>
              <w:t>**클라우드 전략**</w:t>
            </w:r>
          </w:p>
        </w:tc>
        <w:tc>
          <w:tcPr>
            <w:tcW w:type="dxa" w:w="2880"/>
          </w:tcPr>
          <w:p>
            <w:pPr/>
            <w:r>
              <w:rPr>
                <w:sz w:val="18"/>
              </w:rPr>
              <w:t>2028년까지 Google Cloud 이전</w:t>
            </w:r>
          </w:p>
        </w:tc>
        <w:tc>
          <w:tcPr>
            <w:tcW w:type="dxa" w:w="2880"/>
          </w:tcPr>
          <w:p>
            <w:pPr/>
            <w:r>
              <w:rPr>
                <w:sz w:val="18"/>
              </w:rPr>
              <w:t>온프레미스</w:t>
            </w:r>
          </w:p>
        </w:tc>
      </w:tr>
    </w:tbl>
    <w:p/>
    <w:p>
      <w:pPr>
        <w:pStyle w:val="Heading3"/>
      </w:pPr>
      <w:r>
        <w:t>주요 차별화 요소 (Key Differentiators)</w:t>
      </w:r>
    </w:p>
    <w:p>
      <w:pPr>
        <w:pStyle w:val="ListNumber"/>
      </w:pPr>
      <w:r>
        <w:t>매칭 알고리즘의 다양성: CME Globex의 상품별 매칭 알고리즘(FIFO, pro-rata, 하이브리드)은 주요 차별화 요소이다. KRX Exture+는 주로 FIFO를 사용한다. CME의 하이브리드 알고리즘은 유동성이 낮은 상품에서 체결 우선순위와 마켓 메이커 참여 인센티브 간의 균형을 맞추기 위해 특별히 설계되었다.</w:t>
      </w:r>
    </w:p>
    <w:p>
      <w:pPr>
        <w:pStyle w:val="ListNumber"/>
      </w:pPr>
      <w:r>
        <w:t>내재가격 엔진: Globex의 스프레드와 아웃라이트 간 실시간 내재가격 산출은 업계에서 가장 정교한 수준이다. 관련 종목을 연결하여 합성 유동성을 창출하는데, 이는 대규모 상품 카탈로그(수천 개의 상장 종목)를 보유한 파생상품 시장에서 매우 중요하다.</w:t>
      </w:r>
    </w:p>
    <w:p>
      <w:pPr>
        <w:pStyle w:val="ListNumber"/>
      </w:pPr>
      <w:r>
        <w:t>프로토콜 성숙도: iLink 3의 FIX SBE와 FIXP 사용은 초저지연 주문 입력을 위해 목적에 맞게 구축된 바이너리 프로토콜을 나타낸다. MDP 3.0의 시장데이터용 SBE 인코딩도 마찬가지로 직접 메모리 접근 패턴에 최적화되어 텍스트 기반 프로토콜 대비 직렬화 오버헤드를 줄인다.</w:t>
      </w:r>
    </w:p>
    <w:p>
      <w:pPr>
        <w:pStyle w:val="ListNumber"/>
      </w:pPr>
      <w:r>
        <w:t>멀티에셋 vs. 파생상품 특화: KRX Exture+는 주식, 채권, 파생상품을 단일 통합 플랫폼에서 다루는 반면, CME Globex는 파생상품 전용으로 구축되었다. 이러한 전문화는 Globex가 파생상품 고유 기능(내재가격, 스프레드 거래, mass quote)에 깊이 최적화할 수 있게 하지만, 폭넓은 자산 커버리지를 희생한다.</w:t>
      </w:r>
    </w:p>
    <w:p>
      <w:pPr>
        <w:pStyle w:val="ListNumber"/>
      </w:pPr>
      <w:r>
        <w:t>클라우드 이전 궤적: CME Group의 프라이빗 Google Cloud 리전 이전 계획은 중대한 전략적 전환을 나타낸다. 성공할 경우 결정론적 지연시간 요건을 유지하면서 자체/임차 데이터센터에서 클라우드 기반 매칭 인프라로 이동하여 거래소 기술의 인프라 모델을 재정의할 수 있다.</w:t>
      </w:r>
    </w:p>
    <w:p>
      <w:pPr>
        <w:pStyle w:val="ListNumber"/>
      </w:pPr>
      <w:r>
        <w:t>상품 카탈로그의 규모: CME Globex는 수백만 개의 종목(모든 옵션 행사가격 및 만기 포함)을 상장하고 있어, 내재가격 엔진과 시장데이터 인프라가 극히 방대한 상품 유니버스에 걸쳐 수평적으로 확장되어야 한다.</w:t>
      </w:r>
    </w:p>
    <w:p>
      <w:r>
        <w:t>────────────────────────────────────────────────────────────</w:t>
      </w:r>
    </w:p>
    <w:p>
      <w:pPr>
        <w:pStyle w:val="Heading2"/>
      </w:pPr>
      <w:r>
        <w:t>출처 (Sources)</w:t>
      </w:r>
    </w:p>
    <w:p>
      <w:pPr>
        <w:pStyle w:val="ListBullet"/>
      </w:pPr>
      <w:r>
        <w:t>[CME Globex — Databento Microstructure Guide](https://databento.com/microstructure/cme-globex)</w:t>
      </w:r>
    </w:p>
    <w:p>
      <w:pPr>
        <w:pStyle w:val="ListBullet"/>
      </w:pPr>
      <w:r>
        <w:t>[A Brief History of CME Globex — OnixS](https://www.onixs.biz/insights/a-brief-history-of-cme-globex)</w:t>
      </w:r>
    </w:p>
    <w:p>
      <w:pPr>
        <w:pStyle w:val="ListBullet"/>
      </w:pPr>
      <w:r>
        <w:t>[CME Globex — MarketsWiki](https://marketswiki.com/wiki/CME_Globex)</w:t>
      </w:r>
    </w:p>
    <w:p>
      <w:pPr>
        <w:pStyle w:val="ListBullet"/>
      </w:pPr>
      <w:r>
        <w:t>[Develop to Globex — CME Group](https://www.cmegroup.com/solutions/market-access/globex/develop-to-globex.html)</w:t>
      </w:r>
    </w:p>
    <w:p>
      <w:pPr>
        <w:pStyle w:val="ListBullet"/>
      </w:pPr>
      <w:r>
        <w:t>[CME Globex Matching Algorithm Overview — CME Group](https://www.cmegroup.com/education/matching-algorithm-overview)</w:t>
      </w:r>
    </w:p>
    <w:p>
      <w:pPr>
        <w:pStyle w:val="ListBullet"/>
      </w:pPr>
      <w:r>
        <w:t>[CME Matching Algorithms Explained — Databento Blog](https://databento.com/blog/cme-matching-algorithms-explained)</w:t>
      </w:r>
    </w:p>
    <w:p>
      <w:pPr>
        <w:pStyle w:val="ListBullet"/>
      </w:pPr>
      <w:r>
        <w:t>[Risk Management Tools — CME Group](https://www.cmegroup.com/globex/trade-on-cme-globex/risk-management-tools.html)</w:t>
      </w:r>
    </w:p>
    <w:p>
      <w:pPr>
        <w:pStyle w:val="ListBullet"/>
      </w:pPr>
      <w:r>
        <w:t>[FAQ: Self-Match Prevention — CME Group](https://www.cmegroup.com/globex/trade-on-cme-globex/self-match-faq.html)</w:t>
      </w:r>
    </w:p>
    <w:p>
      <w:pPr>
        <w:pStyle w:val="ListBullet"/>
      </w:pPr>
      <w:r>
        <w:t>[CME Group DR Scenarios — Confluence](https://cmegroupclientsite.atlassian.net/wiki/spaces/EPICSANDBOX/pages/457412249/Disaster+Recovery+Scenarios)</w:t>
      </w:r>
    </w:p>
    <w:p>
      <w:pPr>
        <w:pStyle w:val="ListBullet"/>
      </w:pPr>
      <w:r>
        <w:t>[Inside CME Group's Strategic Migration to Google Cloud — A-Team](https://a-teaminsight.com/blog/inside-cme-groups-strategic-migration-moving-globex-to-google-cloud/)</w:t>
      </w:r>
    </w:p>
    <w:p>
      <w:pPr>
        <w:pStyle w:val="ListBullet"/>
      </w:pPr>
      <w:r>
        <w:t>[CME Globex Migration to Google Cloud — 28stone](https://www.28stone.com/news/cme-globex-migration-to-google-cloud-preparing-for-your-2028-trading-infrastructure-opportunity/)</w:t>
      </w:r>
    </w:p>
    <w:p>
      <w:pPr>
        <w:pStyle w:val="ListBullet"/>
      </w:pPr>
      <w:r>
        <w:t>[Google Cloud Private Region for CME Group — DCD](https://www.datacenterdynamics.com/en/news/google-cloud-provides-private-cloud-region-and-colocation-facility-for-cme-group-in-aurora-illinois/)</w:t>
      </w:r>
    </w:p>
    <w:p>
      <w:pPr>
        <w:pStyle w:val="ListBullet"/>
      </w:pPr>
      <w:r>
        <w:t>[Cooling Crisis at CME — Network World](https://www.networkworld.com/article/4099088/cooling-crisis-at-cme-a-wakeup-call-for-modern-infrastructure-governance.html)</w:t>
      </w:r>
    </w:p>
    <w:p>
      <w:pPr>
        <w:pStyle w:val="ListBullet"/>
      </w:pPr>
      <w:r>
        <w:t>[Drop Copy FAQ — CME Group](https://www.cmegroup.com/globex/trade-on-cme-globex/dropcopy-faq.html)</w:t>
      </w:r>
    </w:p>
    <w:p>
      <w:pPr>
        <w:pStyle w:val="ListBullet"/>
      </w:pPr>
      <w:r>
        <w:t>[KRX Exture+ Trading — Global KRX](https://global.krx.co.kr/contents/GLB/04/0402/0402020000/GLB0402020000.jsp)</w:t>
      </w:r>
    </w:p>
    <w:p>
      <w:pPr>
        <w:pStyle w:val="ListBullet"/>
      </w:pPr>
      <w:r>
        <w:t>[CME Globex MDP 3.0 Data Feed Specifications — Databento](https://databento.com/docs/venues-and-datasets/glbx-mdp3)</w:t>
      </w:r>
    </w:p>
    <w:p>
      <w:pPr>
        <w:pStyle w:val="ListBullet"/>
      </w:pPr>
      <w:r>
        <w:t>[Messaging Efficiency Program v11.7 — CME Group](https://www.cmegroup.com/globex/files/2024-revised-mep.pdf)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