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Clearing &amp; Settlement -- Comparative Analysis</w:t>
      </w:r>
    </w:p>
    <w:p>
      <w:r>
        <w:rPr>
          <w:i/>
          <w:sz w:val="18"/>
        </w:rPr>
        <w:t>**Last Updated:** 2026-04-13</w:t>
      </w:r>
    </w:p>
    <w:p>
      <w:r>
        <w:t>────────────────────────────────────────────────────────────</w:t>
      </w:r>
    </w:p>
    <w:p>
      <w:pPr>
        <w:pStyle w:val="Heading2"/>
      </w:pPr>
      <w:r>
        <w:t>1. Default Waterfall Comparison</w:t>
      </w:r>
    </w:p>
    <w:p>
      <w:pPr>
        <w:pStyle w:val="Heading3"/>
      </w:pPr>
      <w:r>
        <w:t>1.1 Structure Comparison Table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CCP</w:t>
            </w:r>
          </w:p>
        </w:tc>
        <w:tc>
          <w:tcPr>
            <w:tcW w:type="dxa" w:w="1234"/>
          </w:tcPr>
          <w:p>
            <w:pPr/>
            <w:r>
              <w:rPr>
                <w:b/>
                <w:sz w:val="18"/>
              </w:rPr>
              <w:t>Layer 1 (Defaulter Margin)</w:t>
            </w:r>
          </w:p>
        </w:tc>
        <w:tc>
          <w:tcPr>
            <w:tcW w:type="dxa" w:w="1234"/>
          </w:tcPr>
          <w:p>
            <w:pPr/>
            <w:r>
              <w:rPr>
                <w:b/>
                <w:sz w:val="18"/>
              </w:rPr>
              <w:t>Layer 2 (Defaulter DF)</w:t>
            </w:r>
          </w:p>
        </w:tc>
        <w:tc>
          <w:tcPr>
            <w:tcW w:type="dxa" w:w="1234"/>
          </w:tcPr>
          <w:p>
            <w:pPr/>
            <w:r>
              <w:rPr>
                <w:b/>
                <w:sz w:val="18"/>
              </w:rPr>
              <w:t>Layer 3 (SITG)</w:t>
            </w:r>
          </w:p>
        </w:tc>
        <w:tc>
          <w:tcPr>
            <w:tcW w:type="dxa" w:w="1234"/>
          </w:tcPr>
          <w:p>
            <w:pPr/>
            <w:r>
              <w:rPr>
                <w:b/>
                <w:sz w:val="18"/>
              </w:rPr>
              <w:t>Layer 4 (Non-defaulter DF)</w:t>
            </w:r>
          </w:p>
        </w:tc>
        <w:tc>
          <w:tcPr>
            <w:tcW w:type="dxa" w:w="1234"/>
          </w:tcPr>
          <w:p>
            <w:pPr/>
            <w:r>
              <w:rPr>
                <w:b/>
                <w:sz w:val="18"/>
              </w:rPr>
              <w:t>Layer 5 (Additional)</w:t>
            </w:r>
          </w:p>
        </w:tc>
        <w:tc>
          <w:tcPr>
            <w:tcW w:type="dxa" w:w="1234"/>
          </w:tcPr>
          <w:p>
            <w:pPr/>
            <w:r>
              <w:rPr>
                <w:b/>
                <w:sz w:val="18"/>
              </w:rPr>
              <w:t>Layer 6 (Other)</w:t>
            </w:r>
          </w:p>
        </w:tc>
      </w:tr>
      <w:tr>
        <w:tc>
          <w:tcPr>
            <w:tcW w:type="dxa" w:w="1234"/>
          </w:tcPr>
          <w:p>
            <w:pPr/>
            <w:r>
              <w:rPr>
                <w:sz w:val="18"/>
              </w:rPr>
              <w:t>**NSCC** (DTCC)</w:t>
            </w:r>
          </w:p>
        </w:tc>
        <w:tc>
          <w:tcPr>
            <w:tcW w:type="dxa" w:w="1234"/>
          </w:tcPr>
          <w:p>
            <w:pPr/>
            <w:r>
              <w:rPr>
                <w:sz w:val="18"/>
              </w:rPr>
              <w:t>Defaulter's Required Fund Deposit (portion of ~$11.2B total)</w:t>
            </w:r>
          </w:p>
        </w:tc>
        <w:tc>
          <w:tcPr>
            <w:tcW w:type="dxa" w:w="1234"/>
          </w:tcPr>
          <w:p>
            <w:pPr/>
            <w:r>
              <w:rPr>
                <w:sz w:val="18"/>
              </w:rPr>
              <w:t>Included in Layer 1 (combined margin + DF at NSCC)</w:t>
            </w:r>
          </w:p>
        </w:tc>
        <w:tc>
          <w:tcPr>
            <w:tcW w:type="dxa" w:w="1234"/>
          </w:tcPr>
          <w:p>
            <w:pPr/>
            <w:r>
              <w:rPr>
                <w:sz w:val="18"/>
              </w:rPr>
              <w:t>~$25-50M [estimated; 50% of general business risk capital]</w:t>
            </w:r>
          </w:p>
        </w:tc>
        <w:tc>
          <w:tcPr>
            <w:tcW w:type="dxa" w:w="1234"/>
          </w:tcPr>
          <w:p>
            <w:pPr/>
            <w:r>
              <w:rPr>
                <w:sz w:val="18"/>
              </w:rPr>
              <w:t>Remainder of ~$11.2B Clearing Fund</w:t>
            </w:r>
          </w:p>
        </w:tc>
        <w:tc>
          <w:tcPr>
            <w:tcW w:type="dxa" w:w="1234"/>
          </w:tcPr>
          <w:p>
            <w:pPr/>
            <w:r>
              <w:rPr>
                <w:sz w:val="18"/>
              </w:rPr>
              <w:t>Assessment powers (successive rounds, capped per member per Event Period)</w:t>
            </w:r>
          </w:p>
        </w:tc>
        <w:tc>
          <w:tcPr>
            <w:tcW w:type="dxa" w:w="1234"/>
          </w:tcPr>
          <w:p>
            <w:pPr/>
            <w:r>
              <w:rPr>
                <w:sz w:val="18"/>
              </w:rPr>
              <w:t>Cross-guaranty with FICC, DTC, OCC</w:t>
            </w:r>
          </w:p>
        </w:tc>
      </w:tr>
      <w:tr>
        <w:tc>
          <w:tcPr>
            <w:tcW w:type="dxa" w:w="1234"/>
          </w:tcPr>
          <w:p>
            <w:pPr/>
            <w:r>
              <w:rPr>
                <w:sz w:val="18"/>
              </w:rPr>
              <w:t>**FICC-GSD** (DTCC)</w:t>
            </w:r>
          </w:p>
        </w:tc>
        <w:tc>
          <w:tcPr>
            <w:tcW w:type="dxa" w:w="1234"/>
          </w:tcPr>
          <w:p>
            <w:pPr/>
            <w:r>
              <w:rPr>
                <w:sz w:val="18"/>
              </w:rPr>
              <w:t>Defaulter's Required Fund Deposit (portion of $65.5B total IM, Q4 2024)</w:t>
            </w:r>
          </w:p>
        </w:tc>
        <w:tc>
          <w:tcPr>
            <w:tcW w:type="dxa" w:w="1234"/>
          </w:tcPr>
          <w:p>
            <w:pPr/>
            <w:r>
              <w:rPr>
                <w:sz w:val="18"/>
              </w:rPr>
              <w:t>Included in Layer 1</w:t>
            </w:r>
          </w:p>
        </w:tc>
        <w:tc>
          <w:tcPr>
            <w:tcW w:type="dxa" w:w="1234"/>
          </w:tcPr>
          <w:p>
            <w:pPr/>
            <w:r>
              <w:rPr>
                <w:sz w:val="18"/>
              </w:rPr>
              <w:t>~$25-50M [estimated; 50% of general business risk capital]</w:t>
            </w:r>
          </w:p>
        </w:tc>
        <w:tc>
          <w:tcPr>
            <w:tcW w:type="dxa" w:w="1234"/>
          </w:tcPr>
          <w:p>
            <w:pPr/>
            <w:r>
              <w:rPr>
                <w:sz w:val="18"/>
              </w:rPr>
              <w:t>Remainder of GSD Clearing Fund</w:t>
            </w:r>
          </w:p>
        </w:tc>
        <w:tc>
          <w:tcPr>
            <w:tcW w:type="dxa" w:w="1234"/>
          </w:tcPr>
          <w:p>
            <w:pPr/>
            <w:r>
              <w:rPr>
                <w:sz w:val="18"/>
              </w:rPr>
              <w:t>Assessment powers; CCLF liquidity facility</w:t>
            </w:r>
          </w:p>
        </w:tc>
        <w:tc>
          <w:tcPr>
            <w:tcW w:type="dxa" w:w="1234"/>
          </w:tcPr>
          <w:p>
            <w:pPr/>
            <w:r>
              <w:rPr>
                <w:sz w:val="18"/>
              </w:rPr>
              <w:t>Cross-guaranty with NSCC, DTC; cross-margining with CME</w:t>
            </w:r>
          </w:p>
        </w:tc>
      </w:tr>
      <w:tr>
        <w:tc>
          <w:tcPr>
            <w:tcW w:type="dxa" w:w="1234"/>
          </w:tcPr>
          <w:p>
            <w:pPr/>
            <w:r>
              <w:rPr>
                <w:sz w:val="18"/>
              </w:rPr>
              <w:t>**LCH Ltd** (SwapClear)</w:t>
            </w:r>
          </w:p>
        </w:tc>
        <w:tc>
          <w:tcPr>
            <w:tcW w:type="dxa" w:w="1234"/>
          </w:tcPr>
          <w:p>
            <w:pPr/>
            <w:r>
              <w:rPr>
                <w:sz w:val="18"/>
              </w:rPr>
              <w:t>Defaulter's IM (~$240B total pool)</w:t>
            </w:r>
          </w:p>
        </w:tc>
        <w:tc>
          <w:tcPr>
            <w:tcW w:type="dxa" w:w="1234"/>
          </w:tcPr>
          <w:p>
            <w:pPr/>
            <w:r>
              <w:rPr>
                <w:sz w:val="18"/>
              </w:rPr>
              <w:t>Defaulter's DF contribution (min GBP 10M)</w:t>
            </w:r>
          </w:p>
        </w:tc>
        <w:tc>
          <w:tcPr>
            <w:tcW w:type="dxa" w:w="1234"/>
          </w:tcPr>
          <w:p>
            <w:pPr/>
            <w:r>
              <w:rPr>
                <w:sz w:val="18"/>
              </w:rPr>
              <w:t>GBP ~35M [25% of min regulatory capital]</w:t>
            </w:r>
          </w:p>
        </w:tc>
        <w:tc>
          <w:tcPr>
            <w:tcW w:type="dxa" w:w="1234"/>
          </w:tcPr>
          <w:p>
            <w:pPr/>
            <w:r>
              <w:rPr>
                <w:sz w:val="18"/>
              </w:rPr>
              <w:t>Up to GBP 5.4B core DF + GBP 600M RTTR component</w:t>
            </w:r>
          </w:p>
        </w:tc>
        <w:tc>
          <w:tcPr>
            <w:tcW w:type="dxa" w:w="1234"/>
          </w:tcPr>
          <w:p>
            <w:pPr/>
            <w:r>
              <w:rPr>
                <w:sz w:val="18"/>
              </w:rPr>
              <w:t>Assessment powers (up to 1x DF contribution, max 3 defaults in 6 months)</w:t>
            </w:r>
          </w:p>
        </w:tc>
        <w:tc>
          <w:tcPr>
            <w:tcW w:type="dxa" w:w="1234"/>
          </w:tcPr>
          <w:p>
            <w:pPr/>
            <w:r>
              <w:rPr>
                <w:sz w:val="18"/>
              </w:rPr>
              <w:t>VMGH, partial/full tear-up, additional LCH capital</w:t>
            </w:r>
          </w:p>
        </w:tc>
      </w:tr>
      <w:tr>
        <w:tc>
          <w:tcPr>
            <w:tcW w:type="dxa" w:w="1234"/>
          </w:tcPr>
          <w:p>
            <w:pPr/>
            <w:r>
              <w:rPr>
                <w:sz w:val="18"/>
              </w:rPr>
              <w:t>**LCH SA** (CDSClear)</w:t>
            </w:r>
          </w:p>
        </w:tc>
        <w:tc>
          <w:tcPr>
            <w:tcW w:type="dxa" w:w="1234"/>
          </w:tcPr>
          <w:p>
            <w:pPr/>
            <w:r>
              <w:rPr>
                <w:sz w:val="18"/>
              </w:rPr>
              <w:t>Defaulter's IM</w:t>
            </w:r>
          </w:p>
        </w:tc>
        <w:tc>
          <w:tcPr>
            <w:tcW w:type="dxa" w:w="1234"/>
          </w:tcPr>
          <w:p>
            <w:pPr/>
            <w:r>
              <w:rPr>
                <w:sz w:val="18"/>
              </w:rPr>
              <w:t>Defaulter's DF contribution (min EUR 10M)</w:t>
            </w:r>
          </w:p>
        </w:tc>
        <w:tc>
          <w:tcPr>
            <w:tcW w:type="dxa" w:w="1234"/>
          </w:tcPr>
          <w:p>
            <w:pPr/>
            <w:r>
              <w:rPr>
                <w:sz w:val="18"/>
              </w:rPr>
              <w:t>EUR 20M (First SITG per service)</w:t>
            </w:r>
          </w:p>
        </w:tc>
        <w:tc>
          <w:tcPr>
            <w:tcW w:type="dxa" w:w="1234"/>
          </w:tcPr>
          <w:p>
            <w:pPr/>
            <w:r>
              <w:rPr>
                <w:sz w:val="18"/>
              </w:rPr>
              <w:t>Non-defaulting members' DF (~EUR 2.77B for CDSClear)</w:t>
            </w:r>
          </w:p>
        </w:tc>
        <w:tc>
          <w:tcPr>
            <w:tcW w:type="dxa" w:w="1234"/>
          </w:tcPr>
          <w:p>
            <w:pPr/>
            <w:r>
              <w:rPr>
                <w:sz w:val="18"/>
              </w:rPr>
              <w:t>Second SITG (variable); assessment powers</w:t>
            </w:r>
          </w:p>
        </w:tc>
        <w:tc>
          <w:tcPr>
            <w:tcW w:type="dxa" w:w="1234"/>
          </w:tcPr>
          <w:p>
            <w:pPr/>
            <w:r>
              <w:rPr>
                <w:sz w:val="18"/>
              </w:rPr>
              <w:t>VMGH, partial tear-up</w:t>
            </w:r>
          </w:p>
        </w:tc>
      </w:tr>
      <w:tr>
        <w:tc>
          <w:tcPr>
            <w:tcW w:type="dxa" w:w="1234"/>
          </w:tcPr>
          <w:p>
            <w:pPr/>
            <w:r>
              <w:rPr>
                <w:sz w:val="18"/>
              </w:rPr>
              <w:t>**OCC**</w:t>
            </w:r>
          </w:p>
        </w:tc>
        <w:tc>
          <w:tcPr>
            <w:tcW w:type="dxa" w:w="1234"/>
          </w:tcPr>
          <w:p>
            <w:pPr/>
            <w:r>
              <w:rPr>
                <w:sz w:val="18"/>
              </w:rPr>
              <w:t>Defaulter's margin (~$180-232B total pool)</w:t>
            </w:r>
          </w:p>
        </w:tc>
        <w:tc>
          <w:tcPr>
            <w:tcW w:type="dxa" w:w="1234"/>
          </w:tcPr>
          <w:p>
            <w:pPr/>
            <w:r>
              <w:rPr>
                <w:sz w:val="18"/>
              </w:rPr>
              <w:t>Defaulter's Clearing Fund contribution (share of ~$19.5B)</w:t>
            </w:r>
          </w:p>
        </w:tc>
        <w:tc>
          <w:tcPr>
            <w:tcW w:type="dxa" w:w="1234"/>
          </w:tcPr>
          <w:p>
            <w:pPr/>
            <w:r>
              <w:rPr>
                <w:sz w:val="18"/>
              </w:rPr>
              <w:t>$69M persistent minimum (capital) / ~$76M (incl. deferred comp); at least 25% of target regulatory capital</w:t>
            </w:r>
          </w:p>
        </w:tc>
        <w:tc>
          <w:tcPr>
            <w:tcW w:type="dxa" w:w="1234"/>
          </w:tcPr>
          <w:p>
            <w:pPr/>
            <w:r>
              <w:rPr>
                <w:sz w:val="18"/>
              </w:rPr>
              <w:t>Remainder of ~$19.5B Clearing Fund</w:t>
            </w:r>
          </w:p>
        </w:tc>
        <w:tc>
          <w:tcPr>
            <w:tcW w:type="dxa" w:w="1234"/>
          </w:tcPr>
          <w:p>
            <w:pPr/>
            <w:r>
              <w:rPr>
                <w:sz w:val="18"/>
              </w:rPr>
              <w:t>Assessments up to each member's required CF contribution (effectively doubling mutualized pool)</w:t>
            </w:r>
          </w:p>
        </w:tc>
        <w:tc>
          <w:tcPr>
            <w:tcW w:type="dxa" w:w="1234"/>
          </w:tcPr>
          <w:p>
            <w:pPr/>
            <w:r>
              <w:rPr>
                <w:sz w:val="18"/>
              </w:rPr>
              <w:t>VMGH, mandatory/voluntary partial tear-up</w:t>
            </w:r>
          </w:p>
        </w:tc>
      </w:tr>
      <w:tr>
        <w:tc>
          <w:tcPr>
            <w:tcW w:type="dxa" w:w="1234"/>
          </w:tcPr>
          <w:p>
            <w:pPr/>
            <w:r>
              <w:rPr>
                <w:sz w:val="18"/>
              </w:rPr>
              <w:t>**CME** (Base)</w:t>
            </w:r>
          </w:p>
        </w:tc>
        <w:tc>
          <w:tcPr>
            <w:tcW w:type="dxa" w:w="1234"/>
          </w:tcPr>
          <w:p>
            <w:pPr/>
            <w:r>
              <w:rPr>
                <w:sz w:val="18"/>
              </w:rPr>
              <w:t>Defaulter's performance bonds (IM)</w:t>
            </w:r>
          </w:p>
        </w:tc>
        <w:tc>
          <w:tcPr>
            <w:tcW w:type="dxa" w:w="1234"/>
          </w:tcPr>
          <w:p>
            <w:pPr/>
            <w:r>
              <w:rPr>
                <w:sz w:val="18"/>
              </w:rPr>
              <w:t>Defaulter's Guaranty Fund contribution (share of ~$10.1B)</w:t>
            </w:r>
          </w:p>
        </w:tc>
        <w:tc>
          <w:tcPr>
            <w:tcW w:type="dxa" w:w="1234"/>
          </w:tcPr>
          <w:p>
            <w:pPr/>
            <w:r>
              <w:rPr>
                <w:sz w:val="18"/>
              </w:rPr>
              <w:t>**$100M** (pre-funded)</w:t>
            </w:r>
          </w:p>
        </w:tc>
        <w:tc>
          <w:tcPr>
            <w:tcW w:type="dxa" w:w="1234"/>
          </w:tcPr>
          <w:p>
            <w:pPr/>
            <w:r>
              <w:rPr>
                <w:sz w:val="18"/>
              </w:rPr>
              <w:t>Non-defaulting members' Guaranty Fund</w:t>
            </w:r>
          </w:p>
        </w:tc>
        <w:tc>
          <w:tcPr>
            <w:tcW w:type="dxa" w:w="1234"/>
          </w:tcPr>
          <w:p>
            <w:pPr/>
            <w:r>
              <w:rPr>
                <w:sz w:val="18"/>
              </w:rPr>
              <w:t>Assessment powers up to **2.75x** each member's GF contribution</w:t>
            </w:r>
          </w:p>
        </w:tc>
        <w:tc>
          <w:tcPr>
            <w:tcW w:type="dxa" w:w="1234"/>
          </w:tcPr>
          <w:p>
            <w:pPr/>
            <w:r>
              <w:rPr>
                <w:sz w:val="18"/>
              </w:rPr>
              <w:t>VMGH, mandatory tear-ups, voluntary contributions</w:t>
            </w:r>
          </w:p>
        </w:tc>
      </w:tr>
      <w:tr>
        <w:tc>
          <w:tcPr>
            <w:tcW w:type="dxa" w:w="1234"/>
          </w:tcPr>
          <w:p>
            <w:pPr/>
            <w:r>
              <w:rPr>
                <w:sz w:val="18"/>
              </w:rPr>
              <w:t>**CME** (IRS)</w:t>
            </w:r>
          </w:p>
        </w:tc>
        <w:tc>
          <w:tcPr>
            <w:tcW w:type="dxa" w:w="1234"/>
          </w:tcPr>
          <w:p>
            <w:pPr/>
            <w:r>
              <w:rPr>
                <w:sz w:val="18"/>
              </w:rPr>
              <w:t>Defaulter's performance bonds</w:t>
            </w:r>
          </w:p>
        </w:tc>
        <w:tc>
          <w:tcPr>
            <w:tcW w:type="dxa" w:w="1234"/>
          </w:tcPr>
          <w:p>
            <w:pPr/>
            <w:r>
              <w:rPr>
                <w:sz w:val="18"/>
              </w:rPr>
              <w:t>Defaulter's IRS Guaranty Fund contribution</w:t>
            </w:r>
          </w:p>
        </w:tc>
        <w:tc>
          <w:tcPr>
            <w:tcW w:type="dxa" w:w="1234"/>
          </w:tcPr>
          <w:p>
            <w:pPr/>
            <w:r>
              <w:rPr>
                <w:sz w:val="18"/>
              </w:rPr>
              <w:t>**$150M** (pre-funded)</w:t>
            </w:r>
          </w:p>
        </w:tc>
        <w:tc>
          <w:tcPr>
            <w:tcW w:type="dxa" w:w="1234"/>
          </w:tcPr>
          <w:p>
            <w:pPr/>
            <w:r>
              <w:rPr>
                <w:sz w:val="18"/>
              </w:rPr>
              <w:t>Non-defaulting IRS members' GF</w:t>
            </w:r>
          </w:p>
        </w:tc>
        <w:tc>
          <w:tcPr>
            <w:tcW w:type="dxa" w:w="1234"/>
          </w:tcPr>
          <w:p>
            <w:pPr/>
            <w:r>
              <w:rPr>
                <w:sz w:val="18"/>
              </w:rPr>
              <w:t>Capped assessments on non-defaulting IRS members</w:t>
            </w:r>
          </w:p>
        </w:tc>
        <w:tc>
          <w:tcPr>
            <w:tcW w:type="dxa" w:w="1234"/>
          </w:tcPr>
          <w:p>
            <w:pPr/>
            <w:r>
              <w:rPr>
                <w:sz w:val="18"/>
              </w:rPr>
              <w:t>Gains haircutting, mandatory tear-ups</w:t>
            </w:r>
          </w:p>
        </w:tc>
      </w:tr>
      <w:tr>
        <w:tc>
          <w:tcPr>
            <w:tcW w:type="dxa" w:w="1234"/>
          </w:tcPr>
          <w:p>
            <w:pPr/>
            <w:r>
              <w:rPr>
                <w:sz w:val="18"/>
              </w:rPr>
              <w:t>**Eurex Clearing**</w:t>
            </w:r>
          </w:p>
        </w:tc>
        <w:tc>
          <w:tcPr>
            <w:tcW w:type="dxa" w:w="1234"/>
          </w:tcPr>
          <w:p>
            <w:pPr/>
            <w:r>
              <w:rPr>
                <w:sz w:val="18"/>
              </w:rPr>
              <w:t>Defaulter's margin collateral</w:t>
            </w:r>
          </w:p>
        </w:tc>
        <w:tc>
          <w:tcPr>
            <w:tcW w:type="dxa" w:w="1234"/>
          </w:tcPr>
          <w:p>
            <w:pPr/>
            <w:r>
              <w:rPr>
                <w:sz w:val="18"/>
              </w:rPr>
              <w:t>Defaulter's Default Fund contribution</w:t>
            </w:r>
          </w:p>
        </w:tc>
        <w:tc>
          <w:tcPr>
            <w:tcW w:type="dxa" w:w="1234"/>
          </w:tcPr>
          <w:p>
            <w:pPr/>
            <w:r>
              <w:rPr>
                <w:sz w:val="18"/>
              </w:rPr>
              <w:t>**EUR 143M** (Dedicated Amount)</w:t>
            </w:r>
          </w:p>
        </w:tc>
        <w:tc>
          <w:tcPr>
            <w:tcW w:type="dxa" w:w="1234"/>
          </w:tcPr>
          <w:p>
            <w:pPr/>
            <w:r>
              <w:rPr>
                <w:sz w:val="18"/>
              </w:rPr>
              <w:t>Non-defaulting members' DF + **EUR 57M** (Second SITG)</w:t>
            </w:r>
          </w:p>
        </w:tc>
        <w:tc>
          <w:tcPr>
            <w:tcW w:type="dxa" w:w="1234"/>
          </w:tcPr>
          <w:p>
            <w:pPr/>
            <w:r>
              <w:rPr>
                <w:sz w:val="18"/>
              </w:rPr>
              <w:t>Assessments (up to 2x DF contribution) + EUR 300M Further Dedicated Amount</w:t>
            </w:r>
          </w:p>
        </w:tc>
        <w:tc>
          <w:tcPr>
            <w:tcW w:type="dxa" w:w="1234"/>
          </w:tcPr>
          <w:p>
            <w:pPr/>
            <w:r>
              <w:rPr>
                <w:sz w:val="18"/>
              </w:rPr>
              <w:t>**EUR 600M** equity capital + **EUR 600M** Deutsche Borse backstop; total ECAG/DB commitment: **EUR 1.7B**</w:t>
            </w:r>
          </w:p>
        </w:tc>
      </w:tr>
      <w:tr>
        <w:tc>
          <w:tcPr>
            <w:tcW w:type="dxa" w:w="1234"/>
          </w:tcPr>
          <w:p>
            <w:pPr/>
            <w:r>
              <w:rPr>
                <w:sz w:val="18"/>
              </w:rPr>
              <w:t>**JSCC** (IRS)</w:t>
            </w:r>
          </w:p>
        </w:tc>
        <w:tc>
          <w:tcPr>
            <w:tcW w:type="dxa" w:w="1234"/>
          </w:tcPr>
          <w:p>
            <w:pPr/>
            <w:r>
              <w:rPr>
                <w:sz w:val="18"/>
              </w:rPr>
              <w:t>Defaulter's margin</w:t>
            </w:r>
          </w:p>
        </w:tc>
        <w:tc>
          <w:tcPr>
            <w:tcW w:type="dxa" w:w="1234"/>
          </w:tcPr>
          <w:p>
            <w:pPr/>
            <w:r>
              <w:rPr>
                <w:sz w:val="18"/>
              </w:rPr>
              <w:t>Defaulter's Clearing Fund contribution</w:t>
            </w:r>
          </w:p>
        </w:tc>
        <w:tc>
          <w:tcPr>
            <w:tcW w:type="dxa" w:w="1234"/>
          </w:tcPr>
          <w:p>
            <w:pPr/>
            <w:r>
              <w:rPr>
                <w:sz w:val="18"/>
              </w:rPr>
              <w:t>Up to JPY 2B (First Tier Settlement Guarantee Reserve)</w:t>
            </w:r>
          </w:p>
        </w:tc>
        <w:tc>
          <w:tcPr>
            <w:tcW w:type="dxa" w:w="1234"/>
          </w:tcPr>
          <w:p>
            <w:pPr/>
            <w:r>
              <w:rPr>
                <w:sz w:val="18"/>
              </w:rPr>
              <w:t>Non-defaulting participants' CF + JPY 2B additional JSCC contribution</w:t>
            </w:r>
          </w:p>
        </w:tc>
        <w:tc>
          <w:tcPr>
            <w:tcW w:type="dxa" w:w="1234"/>
          </w:tcPr>
          <w:p>
            <w:pPr/>
            <w:r>
              <w:rPr>
                <w:sz w:val="18"/>
              </w:rPr>
              <w:t>Special Clearing Charge (up to 1x CF contribution)</w:t>
            </w:r>
          </w:p>
        </w:tc>
        <w:tc>
          <w:tcPr>
            <w:tcW w:type="dxa" w:w="1234"/>
          </w:tcPr>
          <w:p>
            <w:pPr/>
            <w:r>
              <w:rPr>
                <w:sz w:val="18"/>
              </w:rPr>
              <w:t>VMGH, partial tear-up, remaining JSCC equity</w:t>
            </w:r>
          </w:p>
        </w:tc>
      </w:tr>
      <w:tr>
        <w:tc>
          <w:tcPr>
            <w:tcW w:type="dxa" w:w="1234"/>
          </w:tcPr>
          <w:p>
            <w:pPr/>
            <w:r>
              <w:rPr>
                <w:sz w:val="18"/>
              </w:rPr>
              <w:t>**JSCC** (JGB Futures)</w:t>
            </w:r>
          </w:p>
        </w:tc>
        <w:tc>
          <w:tcPr>
            <w:tcW w:type="dxa" w:w="1234"/>
          </w:tcPr>
          <w:p>
            <w:pPr/>
            <w:r>
              <w:rPr>
                <w:sz w:val="18"/>
              </w:rPr>
              <w:t>Defaulter's margin</w:t>
            </w:r>
          </w:p>
        </w:tc>
        <w:tc>
          <w:tcPr>
            <w:tcW w:type="dxa" w:w="1234"/>
          </w:tcPr>
          <w:p>
            <w:pPr/>
            <w:r>
              <w:rPr>
                <w:sz w:val="18"/>
              </w:rPr>
              <w:t>Defaulter's CF contribution</w:t>
            </w:r>
          </w:p>
        </w:tc>
        <w:tc>
          <w:tcPr>
            <w:tcW w:type="dxa" w:w="1234"/>
          </w:tcPr>
          <w:p>
            <w:pPr/>
            <w:r>
              <w:rPr>
                <w:sz w:val="18"/>
              </w:rPr>
              <w:t>Settlement Guarantee Reserve (from JPY 9.1B total; JPY 7B from OSE for non-energy commodities)</w:t>
            </w:r>
          </w:p>
        </w:tc>
        <w:tc>
          <w:tcPr>
            <w:tcW w:type="dxa" w:w="1234"/>
          </w:tcPr>
          <w:p>
            <w:pPr/>
            <w:r>
              <w:rPr>
                <w:sz w:val="18"/>
              </w:rPr>
              <w:t>Non-defaulting participants' CF (JPY 64.7B for JGB Futures, Q4 2024)</w:t>
            </w:r>
          </w:p>
        </w:tc>
        <w:tc>
          <w:tcPr>
            <w:tcW w:type="dxa" w:w="1234"/>
          </w:tcPr>
          <w:p>
            <w:pPr/>
            <w:r>
              <w:rPr>
                <w:sz w:val="18"/>
              </w:rPr>
              <w:t>Special Clearing Charge</w:t>
            </w:r>
          </w:p>
        </w:tc>
        <w:tc>
          <w:tcPr>
            <w:tcW w:type="dxa" w:w="1234"/>
          </w:tcPr>
          <w:p>
            <w:pPr/>
            <w:r>
              <w:rPr>
                <w:sz w:val="18"/>
              </w:rPr>
              <w:t>Remaining JSCC equity</w:t>
            </w:r>
          </w:p>
        </w:tc>
      </w:tr>
      <w:tr>
        <w:tc>
          <w:tcPr>
            <w:tcW w:type="dxa" w:w="1234"/>
          </w:tcPr>
          <w:p>
            <w:pPr/>
            <w:r>
              <w:rPr>
                <w:sz w:val="18"/>
              </w:rPr>
              <w:t>**HKSCC**</w:t>
            </w:r>
          </w:p>
        </w:tc>
        <w:tc>
          <w:tcPr>
            <w:tcW w:type="dxa" w:w="1234"/>
          </w:tcPr>
          <w:p>
            <w:pPr/>
            <w:r>
              <w:rPr>
                <w:sz w:val="18"/>
              </w:rPr>
              <w:t>Defaulter's margin, Marks, collateral</w:t>
            </w:r>
          </w:p>
        </w:tc>
        <w:tc>
          <w:tcPr>
            <w:tcW w:type="dxa" w:w="1234"/>
          </w:tcPr>
          <w:p>
            <w:pPr/>
            <w:r>
              <w:rPr>
                <w:sz w:val="18"/>
              </w:rPr>
              <w:t>Defaulter's Guarantee Fund contributions (Basic + Dynamic)</w:t>
            </w:r>
          </w:p>
        </w:tc>
        <w:tc>
          <w:tcPr>
            <w:tcW w:type="dxa" w:w="1234"/>
          </w:tcPr>
          <w:p>
            <w:pPr/>
            <w:r>
              <w:rPr>
                <w:sz w:val="18"/>
              </w:rPr>
              <w:t>10% of Guarantee Fund size</w:t>
            </w:r>
          </w:p>
        </w:tc>
        <w:tc>
          <w:tcPr>
            <w:tcW w:type="dxa" w:w="1234"/>
          </w:tcPr>
          <w:p>
            <w:pPr/>
            <w:r>
              <w:rPr>
                <w:sz w:val="18"/>
              </w:rPr>
              <w:t>Non-defaulting CPs' Dynamic Contributions, then Basic Contributions</w:t>
            </w:r>
          </w:p>
        </w:tc>
        <w:tc>
          <w:tcPr>
            <w:tcW w:type="dxa" w:w="1234"/>
          </w:tcPr>
          <w:p>
            <w:pPr/>
            <w:r>
              <w:rPr>
                <w:sz w:val="18"/>
              </w:rPr>
              <w:t>[data not available]</w:t>
            </w:r>
          </w:p>
        </w:tc>
        <w:tc>
          <w:tcPr>
            <w:tcW w:type="dxa" w:w="1234"/>
          </w:tcPr>
          <w:p>
            <w:pPr/>
            <w:r>
              <w:rPr>
                <w:sz w:val="18"/>
              </w:rPr>
              <w:t>--</w:t>
            </w:r>
          </w:p>
        </w:tc>
      </w:tr>
      <w:tr>
        <w:tc>
          <w:tcPr>
            <w:tcW w:type="dxa" w:w="1234"/>
          </w:tcPr>
          <w:p>
            <w:pPr/>
            <w:r>
              <w:rPr>
                <w:sz w:val="18"/>
              </w:rPr>
              <w:t>**HKCC**</w:t>
            </w:r>
          </w:p>
        </w:tc>
        <w:tc>
          <w:tcPr>
            <w:tcW w:type="dxa" w:w="1234"/>
          </w:tcPr>
          <w:p>
            <w:pPr/>
            <w:r>
              <w:rPr>
                <w:sz w:val="18"/>
              </w:rPr>
              <w:t>Defaulter's margin deposits</w:t>
            </w:r>
          </w:p>
        </w:tc>
        <w:tc>
          <w:tcPr>
            <w:tcW w:type="dxa" w:w="1234"/>
          </w:tcPr>
          <w:p>
            <w:pPr/>
            <w:r>
              <w:rPr>
                <w:sz w:val="18"/>
              </w:rPr>
              <w:t>Defaulter's Participant Deposit + HPAD</w:t>
            </w:r>
          </w:p>
        </w:tc>
        <w:tc>
          <w:tcPr>
            <w:tcW w:type="dxa" w:w="1234"/>
          </w:tcPr>
          <w:p>
            <w:pPr/>
            <w:r>
              <w:rPr>
                <w:sz w:val="18"/>
              </w:rPr>
              <w:t>10% of Reserve Fund size</w:t>
            </w:r>
          </w:p>
        </w:tc>
        <w:tc>
          <w:tcPr>
            <w:tcW w:type="dxa" w:w="1234"/>
          </w:tcPr>
          <w:p>
            <w:pPr/>
            <w:r>
              <w:rPr>
                <w:sz w:val="18"/>
              </w:rPr>
              <w:t>Non-defaulting CPs' Reserve Fund contributions (in layers)</w:t>
            </w:r>
          </w:p>
        </w:tc>
        <w:tc>
          <w:tcPr>
            <w:tcW w:type="dxa" w:w="1234"/>
          </w:tcPr>
          <w:p>
            <w:pPr/>
            <w:r>
              <w:rPr>
                <w:sz w:val="18"/>
              </w:rPr>
              <w:t>[data not available]</w:t>
            </w:r>
          </w:p>
        </w:tc>
        <w:tc>
          <w:tcPr>
            <w:tcW w:type="dxa" w:w="1234"/>
          </w:tcPr>
          <w:p>
            <w:pPr/>
            <w:r>
              <w:rPr>
                <w:sz w:val="18"/>
              </w:rPr>
              <w:t>--</w:t>
            </w:r>
          </w:p>
        </w:tc>
      </w:tr>
      <w:tr>
        <w:tc>
          <w:tcPr>
            <w:tcW w:type="dxa" w:w="1234"/>
          </w:tcPr>
          <w:p>
            <w:pPr/>
            <w:r>
              <w:rPr>
                <w:sz w:val="18"/>
              </w:rPr>
              <w:t>**CDP** (Singapore)</w:t>
            </w:r>
          </w:p>
        </w:tc>
        <w:tc>
          <w:tcPr>
            <w:tcW w:type="dxa" w:w="1234"/>
          </w:tcPr>
          <w:p>
            <w:pPr/>
            <w:r>
              <w:rPr>
                <w:sz w:val="18"/>
              </w:rPr>
              <w:t>Defaulter's margin</w:t>
            </w:r>
          </w:p>
        </w:tc>
        <w:tc>
          <w:tcPr>
            <w:tcW w:type="dxa" w:w="1234"/>
          </w:tcPr>
          <w:p>
            <w:pPr/>
            <w:r>
              <w:rPr>
                <w:sz w:val="18"/>
              </w:rPr>
              <w:t>Defaulter's Clearing Fund contribution</w:t>
            </w:r>
          </w:p>
        </w:tc>
        <w:tc>
          <w:tcPr>
            <w:tcW w:type="dxa" w:w="1234"/>
          </w:tcPr>
          <w:p>
            <w:pPr/>
            <w:r>
              <w:rPr>
                <w:sz w:val="18"/>
              </w:rPr>
              <w:t>At least 25% of total Clearing Fund (~S$20M of S$80M)</w:t>
            </w:r>
          </w:p>
        </w:tc>
        <w:tc>
          <w:tcPr>
            <w:tcW w:type="dxa" w:w="1234"/>
          </w:tcPr>
          <w:p>
            <w:pPr/>
            <w:r>
              <w:rPr>
                <w:sz w:val="18"/>
              </w:rPr>
              <w:t>Non-defaulting CMs' funded CF contributions</w:t>
            </w:r>
          </w:p>
        </w:tc>
        <w:tc>
          <w:tcPr>
            <w:tcW w:type="dxa" w:w="1234"/>
          </w:tcPr>
          <w:p>
            <w:pPr/>
            <w:r>
              <w:rPr>
                <w:sz w:val="18"/>
              </w:rPr>
              <w:t>Contingent (unfunded) contributions from non-defaulting CMs</w:t>
            </w:r>
          </w:p>
        </w:tc>
        <w:tc>
          <w:tcPr>
            <w:tcW w:type="dxa" w:w="1234"/>
          </w:tcPr>
          <w:p>
            <w:pPr/>
            <w:r>
              <w:rPr>
                <w:sz w:val="18"/>
              </w:rPr>
              <w:t>CDP's remaining capital</w:t>
            </w:r>
          </w:p>
        </w:tc>
      </w:tr>
      <w:tr>
        <w:tc>
          <w:tcPr>
            <w:tcW w:type="dxa" w:w="1234"/>
          </w:tcPr>
          <w:p>
            <w:pPr/>
            <w:r>
              <w:rPr>
                <w:sz w:val="18"/>
              </w:rPr>
              <w:t>**Cboe Clear Europe**</w:t>
            </w:r>
          </w:p>
        </w:tc>
        <w:tc>
          <w:tcPr>
            <w:tcW w:type="dxa" w:w="1234"/>
          </w:tcPr>
          <w:p>
            <w:pPr/>
            <w:r>
              <w:rPr>
                <w:sz w:val="18"/>
              </w:rPr>
              <w:t>Defaulter's margin</w:t>
            </w:r>
          </w:p>
        </w:tc>
        <w:tc>
          <w:tcPr>
            <w:tcW w:type="dxa" w:w="1234"/>
          </w:tcPr>
          <w:p>
            <w:pPr/>
            <w:r>
              <w:rPr>
                <w:sz w:val="18"/>
              </w:rPr>
              <w:t>Defaulter's Default Fund contribution</w:t>
            </w:r>
          </w:p>
        </w:tc>
        <w:tc>
          <w:tcPr>
            <w:tcW w:type="dxa" w:w="1234"/>
          </w:tcPr>
          <w:p>
            <w:pPr/>
            <w:r>
              <w:rPr>
                <w:sz w:val="18"/>
              </w:rPr>
              <w:t>~EUR 6.8M (25% of min required capital, 2021 figure)</w:t>
            </w:r>
          </w:p>
        </w:tc>
        <w:tc>
          <w:tcPr>
            <w:tcW w:type="dxa" w:w="1234"/>
          </w:tcPr>
          <w:p>
            <w:pPr/>
            <w:r>
              <w:rPr>
                <w:sz w:val="18"/>
              </w:rPr>
              <w:t>Non-defaulting members' Default Fund</w:t>
            </w:r>
          </w:p>
        </w:tc>
        <w:tc>
          <w:tcPr>
            <w:tcW w:type="dxa" w:w="1234"/>
          </w:tcPr>
          <w:p>
            <w:pPr/>
            <w:r>
              <w:rPr>
                <w:sz w:val="18"/>
              </w:rPr>
              <w:t>Additional CCP dedicated resources (second tranche)</w:t>
            </w:r>
          </w:p>
        </w:tc>
        <w:tc>
          <w:tcPr>
            <w:tcW w:type="dxa" w:w="1234"/>
          </w:tcPr>
          <w:p>
            <w:pPr/>
            <w:r>
              <w:rPr>
                <w:sz w:val="18"/>
              </w:rPr>
              <w:t>Loss allocation, assessments</w:t>
            </w:r>
          </w:p>
        </w:tc>
      </w:tr>
      <w:tr>
        <w:tc>
          <w:tcPr>
            <w:tcW w:type="dxa" w:w="1234"/>
          </w:tcPr>
          <w:p>
            <w:pPr/>
            <w:r>
              <w:rPr>
                <w:sz w:val="18"/>
              </w:rPr>
              <w:t>**ICE Clear U.S.**</w:t>
            </w:r>
          </w:p>
        </w:tc>
        <w:tc>
          <w:tcPr>
            <w:tcW w:type="dxa" w:w="1234"/>
          </w:tcPr>
          <w:p>
            <w:pPr/>
            <w:r>
              <w:rPr>
                <w:sz w:val="18"/>
              </w:rPr>
              <w:t>Defaulter's IM (~$23B total)</w:t>
            </w:r>
          </w:p>
        </w:tc>
        <w:tc>
          <w:tcPr>
            <w:tcW w:type="dxa" w:w="1234"/>
          </w:tcPr>
          <w:p>
            <w:pPr/>
            <w:r>
              <w:rPr>
                <w:sz w:val="18"/>
              </w:rPr>
              <w:t>Defaulter's GF contribution (min $2M)</w:t>
            </w:r>
          </w:p>
        </w:tc>
        <w:tc>
          <w:tcPr>
            <w:tcW w:type="dxa" w:w="1234"/>
          </w:tcPr>
          <w:p>
            <w:pPr/>
            <w:r>
              <w:rPr>
                <w:sz w:val="18"/>
              </w:rPr>
              <w:t>~$75M [estimated]</w:t>
            </w:r>
          </w:p>
        </w:tc>
        <w:tc>
          <w:tcPr>
            <w:tcW w:type="dxa" w:w="1234"/>
          </w:tcPr>
          <w:p>
            <w:pPr/>
            <w:r>
              <w:rPr>
                <w:sz w:val="18"/>
              </w:rPr>
              <w:t>$25M default insurance; then non-defaulting members' GF</w:t>
            </w:r>
          </w:p>
        </w:tc>
        <w:tc>
          <w:tcPr>
            <w:tcW w:type="dxa" w:w="1234"/>
          </w:tcPr>
          <w:p>
            <w:pPr/>
            <w:r>
              <w:rPr>
                <w:sz w:val="18"/>
              </w:rPr>
              <w:t>Assessment powers</w:t>
            </w:r>
          </w:p>
        </w:tc>
        <w:tc>
          <w:tcPr>
            <w:tcW w:type="dxa" w:w="1234"/>
          </w:tcPr>
          <w:p>
            <w:pPr/>
            <w:r>
              <w:rPr>
                <w:sz w:val="18"/>
              </w:rPr>
              <w:t>--</w:t>
            </w:r>
          </w:p>
        </w:tc>
      </w:tr>
      <w:tr>
        <w:tc>
          <w:tcPr>
            <w:tcW w:type="dxa" w:w="1234"/>
          </w:tcPr>
          <w:p>
            <w:pPr/>
            <w:r>
              <w:rPr>
                <w:sz w:val="18"/>
              </w:rPr>
              <w:t>**ICE Clear Europe**</w:t>
            </w:r>
          </w:p>
        </w:tc>
        <w:tc>
          <w:tcPr>
            <w:tcW w:type="dxa" w:w="1234"/>
          </w:tcPr>
          <w:p>
            <w:pPr/>
            <w:r>
              <w:rPr>
                <w:sz w:val="18"/>
              </w:rPr>
              <w:t>Defaulter's IM</w:t>
            </w:r>
          </w:p>
        </w:tc>
        <w:tc>
          <w:tcPr>
            <w:tcW w:type="dxa" w:w="1234"/>
          </w:tcPr>
          <w:p>
            <w:pPr/>
            <w:r>
              <w:rPr>
                <w:sz w:val="18"/>
              </w:rPr>
              <w:t>Defaulter's GF contribution</w:t>
            </w:r>
          </w:p>
        </w:tc>
        <w:tc>
          <w:tcPr>
            <w:tcW w:type="dxa" w:w="1234"/>
          </w:tcPr>
          <w:p>
            <w:pPr/>
            <w:r>
              <w:rPr>
                <w:sz w:val="18"/>
              </w:rPr>
              <w:t>ICE SITG (pre non-defaulter)</w:t>
            </w:r>
          </w:p>
        </w:tc>
        <w:tc>
          <w:tcPr>
            <w:tcW w:type="dxa" w:w="1234"/>
          </w:tcPr>
          <w:p>
            <w:pPr/>
            <w:r>
              <w:rPr>
                <w:sz w:val="18"/>
              </w:rPr>
              <w:t>$100M default insurance; then non-defaulting members' GF (~$2.9B total)</w:t>
            </w:r>
          </w:p>
        </w:tc>
        <w:tc>
          <w:tcPr>
            <w:tcW w:type="dxa" w:w="1234"/>
          </w:tcPr>
          <w:p>
            <w:pPr/>
            <w:r>
              <w:rPr>
                <w:sz w:val="18"/>
              </w:rPr>
              <w:t>Cross-segment GF; assessment powers</w:t>
            </w:r>
          </w:p>
        </w:tc>
        <w:tc>
          <w:tcPr>
            <w:tcW w:type="dxa" w:w="1234"/>
          </w:tcPr>
          <w:p>
            <w:pPr/>
            <w:r>
              <w:rPr>
                <w:sz w:val="18"/>
              </w:rPr>
              <w:t>--</w:t>
            </w:r>
          </w:p>
        </w:tc>
      </w:tr>
      <w:tr>
        <w:tc>
          <w:tcPr>
            <w:tcW w:type="dxa" w:w="1234"/>
          </w:tcPr>
          <w:p>
            <w:pPr/>
            <w:r>
              <w:rPr>
                <w:sz w:val="18"/>
              </w:rPr>
              <w:t>**ICE Clear Credit**</w:t>
            </w:r>
          </w:p>
        </w:tc>
        <w:tc>
          <w:tcPr>
            <w:tcW w:type="dxa" w:w="1234"/>
          </w:tcPr>
          <w:p>
            <w:pPr/>
            <w:r>
              <w:rPr>
                <w:sz w:val="18"/>
              </w:rPr>
              <w:t>Defaulter's IM (&gt;$20B at Fed)</w:t>
            </w:r>
          </w:p>
        </w:tc>
        <w:tc>
          <w:tcPr>
            <w:tcW w:type="dxa" w:w="1234"/>
          </w:tcPr>
          <w:p>
            <w:pPr/>
            <w:r>
              <w:rPr>
                <w:sz w:val="18"/>
              </w:rPr>
              <w:t>Defaulter's GF contribution (min $20M)</w:t>
            </w:r>
          </w:p>
        </w:tc>
        <w:tc>
          <w:tcPr>
            <w:tcW w:type="dxa" w:w="1234"/>
          </w:tcPr>
          <w:p>
            <w:pPr/>
            <w:r>
              <w:rPr>
                <w:sz w:val="18"/>
              </w:rPr>
              <w:t>**$100M** (ICE SITG)</w:t>
            </w:r>
          </w:p>
        </w:tc>
        <w:tc>
          <w:tcPr>
            <w:tcW w:type="dxa" w:w="1234"/>
          </w:tcPr>
          <w:p>
            <w:pPr/>
            <w:r>
              <w:rPr>
                <w:sz w:val="18"/>
              </w:rPr>
              <w:t>$75M default insurance; then non-defaulting participants' GF</w:t>
            </w:r>
          </w:p>
        </w:tc>
        <w:tc>
          <w:tcPr>
            <w:tcW w:type="dxa" w:w="1234"/>
          </w:tcPr>
          <w:p>
            <w:pPr/>
            <w:r>
              <w:rPr>
                <w:sz w:val="18"/>
              </w:rPr>
              <w:t>Assessment powers</w:t>
            </w:r>
          </w:p>
        </w:tc>
        <w:tc>
          <w:tcPr>
            <w:tcW w:type="dxa" w:w="1234"/>
          </w:tcPr>
          <w:p>
            <w:pPr/>
            <w:r>
              <w:rPr>
                <w:sz w:val="18"/>
              </w:rPr>
              <w:t>--</w:t>
            </w:r>
          </w:p>
        </w:tc>
      </w:tr>
      <w:tr>
        <w:tc>
          <w:tcPr>
            <w:tcW w:type="dxa" w:w="1234"/>
          </w:tcPr>
          <w:p>
            <w:pPr/>
            <w:r>
              <w:rPr>
                <w:sz w:val="18"/>
              </w:rPr>
              <w:t>**ASX Clear** (Cash)</w:t>
            </w:r>
          </w:p>
        </w:tc>
        <w:tc>
          <w:tcPr>
            <w:tcW w:type="dxa" w:w="1234"/>
          </w:tcPr>
          <w:p>
            <w:pPr/>
            <w:r>
              <w:rPr>
                <w:sz w:val="18"/>
              </w:rPr>
              <w:t>Defaulter's margin</w:t>
            </w:r>
          </w:p>
        </w:tc>
        <w:tc>
          <w:tcPr>
            <w:tcW w:type="dxa" w:w="1234"/>
          </w:tcPr>
          <w:p>
            <w:pPr/>
            <w:r>
              <w:rPr>
                <w:sz w:val="18"/>
              </w:rPr>
              <w:t>[No participant DF contributions]</w:t>
            </w:r>
          </w:p>
        </w:tc>
        <w:tc>
          <w:tcPr>
            <w:tcW w:type="dxa" w:w="1234"/>
          </w:tcPr>
          <w:p>
            <w:pPr/>
            <w:r>
              <w:rPr>
                <w:sz w:val="18"/>
              </w:rPr>
              <w:t>ASX's own capital: **AUD 250M** default fund (100% ASX-funded)</w:t>
            </w:r>
          </w:p>
        </w:tc>
        <w:tc>
          <w:tcPr>
            <w:tcW w:type="dxa" w:w="1234"/>
          </w:tcPr>
          <w:p>
            <w:pPr/>
            <w:r>
              <w:rPr>
                <w:sz w:val="18"/>
              </w:rPr>
              <w:t>[N/A -- no participant DF]</w:t>
            </w:r>
          </w:p>
        </w:tc>
        <w:tc>
          <w:tcPr>
            <w:tcW w:type="dxa" w:w="1234"/>
          </w:tcPr>
          <w:p>
            <w:pPr/>
            <w:r>
              <w:rPr>
                <w:sz w:val="18"/>
              </w:rPr>
              <w:t>Recovery assessments up to **AUD 300M**</w:t>
            </w:r>
          </w:p>
        </w:tc>
        <w:tc>
          <w:tcPr>
            <w:tcW w:type="dxa" w:w="1234"/>
          </w:tcPr>
          <w:p>
            <w:pPr/>
            <w:r>
              <w:rPr>
                <w:sz w:val="18"/>
              </w:rPr>
              <w:t>Contract termination / partial tear-up</w:t>
            </w:r>
          </w:p>
        </w:tc>
      </w:tr>
      <w:tr>
        <w:tc>
          <w:tcPr>
            <w:tcW w:type="dxa" w:w="1234"/>
          </w:tcPr>
          <w:p>
            <w:pPr/>
            <w:r>
              <w:rPr>
                <w:sz w:val="18"/>
              </w:rPr>
              <w:t>**ASX Clear (Futures)**</w:t>
            </w:r>
          </w:p>
        </w:tc>
        <w:tc>
          <w:tcPr>
            <w:tcW w:type="dxa" w:w="1234"/>
          </w:tcPr>
          <w:p>
            <w:pPr/>
            <w:r>
              <w:rPr>
                <w:sz w:val="18"/>
              </w:rPr>
              <w:t>Defaulter's margin</w:t>
            </w:r>
          </w:p>
        </w:tc>
        <w:tc>
          <w:tcPr>
            <w:tcW w:type="dxa" w:w="1234"/>
          </w:tcPr>
          <w:p>
            <w:pPr/>
            <w:r>
              <w:rPr>
                <w:sz w:val="18"/>
              </w:rPr>
              <w:t>Defaulter's DF contribution (share of AUD 200M participant pool)</w:t>
            </w:r>
          </w:p>
        </w:tc>
        <w:tc>
          <w:tcPr>
            <w:tcW w:type="dxa" w:w="1234"/>
          </w:tcPr>
          <w:p>
            <w:pPr/>
            <w:r>
              <w:rPr>
                <w:sz w:val="18"/>
              </w:rPr>
              <w:t>ASX capital Tranche 1 (part of AUD 450M)</w:t>
            </w:r>
          </w:p>
        </w:tc>
        <w:tc>
          <w:tcPr>
            <w:tcW w:type="dxa" w:w="1234"/>
          </w:tcPr>
          <w:p>
            <w:pPr/>
            <w:r>
              <w:rPr>
                <w:sz w:val="18"/>
              </w:rPr>
              <w:t>Non-defaulting participants' DF Tranche 1</w:t>
            </w:r>
          </w:p>
        </w:tc>
        <w:tc>
          <w:tcPr>
            <w:tcW w:type="dxa" w:w="1234"/>
          </w:tcPr>
          <w:p>
            <w:pPr/>
            <w:r>
              <w:rPr>
                <w:sz w:val="18"/>
              </w:rPr>
              <w:t>ASX Tranche 2 + Participant Tranche 2 + ASX Tranche 3 (AUD 180M) + Assessments (up to AUD 200M per default)</w:t>
            </w:r>
          </w:p>
        </w:tc>
        <w:tc>
          <w:tcPr>
            <w:tcW w:type="dxa" w:w="1234"/>
          </w:tcPr>
          <w:p>
            <w:pPr/>
            <w:r>
              <w:rPr>
                <w:sz w:val="18"/>
              </w:rPr>
              <w:t>VM haircutting, contract termination</w:t>
            </w:r>
          </w:p>
        </w:tc>
      </w:tr>
      <w:tr>
        <w:tc>
          <w:tcPr>
            <w:tcW w:type="dxa" w:w="1234"/>
          </w:tcPr>
          <w:p>
            <w:pPr/>
            <w:r>
              <w:rPr>
                <w:sz w:val="18"/>
              </w:rPr>
              <w:t>**KRX**</w:t>
            </w:r>
          </w:p>
        </w:tc>
        <w:tc>
          <w:tcPr>
            <w:tcW w:type="dxa" w:w="1234"/>
          </w:tcPr>
          <w:p>
            <w:pPr/>
            <w:r>
              <w:rPr>
                <w:sz w:val="18"/>
              </w:rPr>
              <w:t>Defaulter's margin (위탁증거금)</w:t>
            </w:r>
          </w:p>
        </w:tc>
        <w:tc>
          <w:tcPr>
            <w:tcW w:type="dxa" w:w="1234"/>
          </w:tcPr>
          <w:p>
            <w:pPr/>
            <w:r>
              <w:rPr>
                <w:sz w:val="18"/>
              </w:rPr>
              <w:t>Defaulter's clearing deposit (회원증거금)</w:t>
            </w:r>
          </w:p>
        </w:tc>
        <w:tc>
          <w:tcPr>
            <w:tcW w:type="dxa" w:w="1234"/>
          </w:tcPr>
          <w:p>
            <w:pPr/>
            <w:r>
              <w:rPr>
                <w:sz w:val="18"/>
              </w:rPr>
              <w:t>KRX own capital (SITG)</w:t>
            </w:r>
          </w:p>
        </w:tc>
        <w:tc>
          <w:tcPr>
            <w:tcW w:type="dxa" w:w="1234"/>
          </w:tcPr>
          <w:p>
            <w:pPr/>
            <w:r>
              <w:rPr>
                <w:sz w:val="18"/>
              </w:rPr>
              <w:t>Joint Compensation Fund (손해배상공동기금, ~KRW 100B / ~$75M)</w:t>
            </w:r>
          </w:p>
        </w:tc>
        <w:tc>
          <w:tcPr>
            <w:tcW w:type="dxa" w:w="1234"/>
          </w:tcPr>
          <w:p>
            <w:pPr/>
            <w:r>
              <w:rPr>
                <w:sz w:val="18"/>
              </w:rPr>
              <w:t>Non-defaulting members' additional contributions (추가분담금)</w:t>
            </w:r>
          </w:p>
        </w:tc>
        <w:tc>
          <w:tcPr>
            <w:tcW w:type="dxa" w:w="1234"/>
          </w:tcPr>
          <w:p>
            <w:pPr/>
            <w:r>
              <w:rPr>
                <w:sz w:val="18"/>
              </w:rPr>
              <w:t>Asset liquidation, securities sales</w:t>
            </w:r>
          </w:p>
        </w:tc>
      </w:tr>
    </w:tbl>
    <w:p/>
    <w:p>
      <w:pPr>
        <w:pStyle w:val="Heading3"/>
      </w:pPr>
      <w:r>
        <w:t>1.2 SITG (Skin-in-the-Game)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SITG Amount</w:t>
            </w:r>
          </w:p>
        </w:tc>
        <w:tc>
          <w:tcPr>
            <w:tcW w:type="dxa" w:w="1728"/>
          </w:tcPr>
          <w:p>
            <w:pPr/>
            <w:r>
              <w:rPr>
                <w:b/>
                <w:sz w:val="18"/>
              </w:rPr>
              <w:t>Position in Waterfall</w:t>
            </w:r>
          </w:p>
        </w:tc>
        <w:tc>
          <w:tcPr>
            <w:tcW w:type="dxa" w:w="1728"/>
          </w:tcPr>
          <w:p>
            <w:pPr/>
            <w:r>
              <w:rPr>
                <w:b/>
                <w:sz w:val="18"/>
              </w:rPr>
              <w:t>SITG as % of Default Fund</w:t>
            </w:r>
          </w:p>
        </w:tc>
        <w:tc>
          <w:tcPr>
            <w:tcW w:type="dxa" w:w="1728"/>
          </w:tcPr>
          <w:p>
            <w:pPr/>
            <w:r>
              <w:rPr>
                <w:b/>
                <w:sz w:val="18"/>
              </w:rPr>
              <w:t>Notes</w:t>
            </w:r>
          </w:p>
        </w:tc>
      </w:tr>
      <w:tr>
        <w:tc>
          <w:tcPr>
            <w:tcW w:type="dxa" w:w="1728"/>
          </w:tcPr>
          <w:p>
            <w:pPr/>
            <w:r>
              <w:rPr>
                <w:sz w:val="18"/>
              </w:rPr>
              <w:t>**NSCC**</w:t>
            </w:r>
          </w:p>
        </w:tc>
        <w:tc>
          <w:tcPr>
            <w:tcW w:type="dxa" w:w="1728"/>
          </w:tcPr>
          <w:p>
            <w:pPr/>
            <w:r>
              <w:rPr>
                <w:sz w:val="18"/>
              </w:rPr>
              <w:t>~$25-50M [estimated]</w:t>
            </w:r>
          </w:p>
        </w:tc>
        <w:tc>
          <w:tcPr>
            <w:tcW w:type="dxa" w:w="1728"/>
          </w:tcPr>
          <w:p>
            <w:pPr/>
            <w:r>
              <w:rPr>
                <w:sz w:val="18"/>
              </w:rPr>
              <w:t>Layer 3 (after defaulter's resources)</w:t>
            </w:r>
          </w:p>
        </w:tc>
        <w:tc>
          <w:tcPr>
            <w:tcW w:type="dxa" w:w="1728"/>
          </w:tcPr>
          <w:p>
            <w:pPr/>
            <w:r>
              <w:rPr>
                <w:sz w:val="18"/>
              </w:rPr>
              <w:t>&lt;0.5% of ~$11.2B</w:t>
            </w:r>
          </w:p>
        </w:tc>
        <w:tc>
          <w:tcPr>
            <w:tcW w:type="dxa" w:w="1728"/>
          </w:tcPr>
          <w:p>
            <w:pPr/>
            <w:r>
              <w:rPr>
                <w:sz w:val="18"/>
              </w:rPr>
              <w:t>Relatively low SITG; large mutualized fund</w:t>
            </w:r>
          </w:p>
        </w:tc>
      </w:tr>
      <w:tr>
        <w:tc>
          <w:tcPr>
            <w:tcW w:type="dxa" w:w="1728"/>
          </w:tcPr>
          <w:p>
            <w:pPr/>
            <w:r>
              <w:rPr>
                <w:sz w:val="18"/>
              </w:rPr>
              <w:t>**FICC-GSD**</w:t>
            </w:r>
          </w:p>
        </w:tc>
        <w:tc>
          <w:tcPr>
            <w:tcW w:type="dxa" w:w="1728"/>
          </w:tcPr>
          <w:p>
            <w:pPr/>
            <w:r>
              <w:rPr>
                <w:sz w:val="18"/>
              </w:rPr>
              <w:t>~$25-50M [estimated]</w:t>
            </w:r>
          </w:p>
        </w:tc>
        <w:tc>
          <w:tcPr>
            <w:tcW w:type="dxa" w:w="1728"/>
          </w:tcPr>
          <w:p>
            <w:pPr/>
            <w:r>
              <w:rPr>
                <w:sz w:val="18"/>
              </w:rPr>
              <w:t>Layer 3</w:t>
            </w:r>
          </w:p>
        </w:tc>
        <w:tc>
          <w:tcPr>
            <w:tcW w:type="dxa" w:w="1728"/>
          </w:tcPr>
          <w:p>
            <w:pPr/>
            <w:r>
              <w:rPr>
                <w:sz w:val="18"/>
              </w:rPr>
              <w:t>[data not available]</w:t>
            </w:r>
          </w:p>
        </w:tc>
        <w:tc>
          <w:tcPr>
            <w:tcW w:type="dxa" w:w="1728"/>
          </w:tcPr>
          <w:p>
            <w:pPr/>
            <w:r>
              <w:rPr>
                <w:sz w:val="18"/>
              </w:rPr>
              <w:t>Similar to NSCC</w:t>
            </w:r>
          </w:p>
        </w:tc>
      </w:tr>
      <w:tr>
        <w:tc>
          <w:tcPr>
            <w:tcW w:type="dxa" w:w="1728"/>
          </w:tcPr>
          <w:p>
            <w:pPr/>
            <w:r>
              <w:rPr>
                <w:sz w:val="18"/>
              </w:rPr>
              <w:t>**LCH Ltd** (SwapClear)</w:t>
            </w:r>
          </w:p>
        </w:tc>
        <w:tc>
          <w:tcPr>
            <w:tcW w:type="dxa" w:w="1728"/>
          </w:tcPr>
          <w:p>
            <w:pPr/>
            <w:r>
              <w:rPr>
                <w:sz w:val="18"/>
              </w:rPr>
              <w:t>~GBP 35M</w:t>
            </w:r>
          </w:p>
        </w:tc>
        <w:tc>
          <w:tcPr>
            <w:tcW w:type="dxa" w:w="1728"/>
          </w:tcPr>
          <w:p>
            <w:pPr/>
            <w:r>
              <w:rPr>
                <w:sz w:val="18"/>
              </w:rPr>
              <w:t>Layer 3 (before non-defaulter DF)</w:t>
            </w:r>
          </w:p>
        </w:tc>
        <w:tc>
          <w:tcPr>
            <w:tcW w:type="dxa" w:w="1728"/>
          </w:tcPr>
          <w:p>
            <w:pPr/>
            <w:r>
              <w:rPr>
                <w:sz w:val="18"/>
              </w:rPr>
              <w:t>~0.6% of ~GBP 6B</w:t>
            </w:r>
          </w:p>
        </w:tc>
        <w:tc>
          <w:tcPr>
            <w:tcW w:type="dxa" w:w="1728"/>
          </w:tcPr>
          <w:p>
            <w:pPr/>
            <w:r>
              <w:rPr>
                <w:sz w:val="18"/>
              </w:rPr>
              <w:t>Low SITG; very large mutualized DF</w:t>
            </w:r>
          </w:p>
        </w:tc>
      </w:tr>
      <w:tr>
        <w:tc>
          <w:tcPr>
            <w:tcW w:type="dxa" w:w="1728"/>
          </w:tcPr>
          <w:p>
            <w:pPr/>
            <w:r>
              <w:rPr>
                <w:sz w:val="18"/>
              </w:rPr>
              <w:t>**LCH SA**</w:t>
            </w:r>
          </w:p>
        </w:tc>
        <w:tc>
          <w:tcPr>
            <w:tcW w:type="dxa" w:w="1728"/>
          </w:tcPr>
          <w:p>
            <w:pPr/>
            <w:r>
              <w:rPr>
                <w:sz w:val="18"/>
              </w:rPr>
              <w:t>EUR 20M (per service)</w:t>
            </w:r>
          </w:p>
        </w:tc>
        <w:tc>
          <w:tcPr>
            <w:tcW w:type="dxa" w:w="1728"/>
          </w:tcPr>
          <w:p>
            <w:pPr/>
            <w:r>
              <w:rPr>
                <w:sz w:val="18"/>
              </w:rPr>
              <w:t>Layer 3 (first SITG) + second SITG in Layer 5</w:t>
            </w:r>
          </w:p>
        </w:tc>
        <w:tc>
          <w:tcPr>
            <w:tcW w:type="dxa" w:w="1728"/>
          </w:tcPr>
          <w:p>
            <w:pPr/>
            <w:r>
              <w:rPr>
                <w:sz w:val="18"/>
              </w:rPr>
              <w:t>&lt;1% of total DF</w:t>
            </w:r>
          </w:p>
        </w:tc>
        <w:tc>
          <w:tcPr>
            <w:tcW w:type="dxa" w:w="1728"/>
          </w:tcPr>
          <w:p>
            <w:pPr/>
            <w:r>
              <w:rPr>
                <w:sz w:val="18"/>
              </w:rPr>
              <w:t>Two-tranche SITG model</w:t>
            </w:r>
          </w:p>
        </w:tc>
      </w:tr>
      <w:tr>
        <w:tc>
          <w:tcPr>
            <w:tcW w:type="dxa" w:w="1728"/>
          </w:tcPr>
          <w:p>
            <w:pPr/>
            <w:r>
              <w:rPr>
                <w:sz w:val="18"/>
              </w:rPr>
              <w:t>**OCC**</w:t>
            </w:r>
          </w:p>
        </w:tc>
        <w:tc>
          <w:tcPr>
            <w:tcW w:type="dxa" w:w="1728"/>
          </w:tcPr>
          <w:p>
            <w:pPr/>
            <w:r>
              <w:rPr>
                <w:sz w:val="18"/>
              </w:rPr>
              <w:t>$69-76M</w:t>
            </w:r>
          </w:p>
        </w:tc>
        <w:tc>
          <w:tcPr>
            <w:tcW w:type="dxa" w:w="1728"/>
          </w:tcPr>
          <w:p>
            <w:pPr/>
            <w:r>
              <w:rPr>
                <w:sz w:val="18"/>
              </w:rPr>
              <w:t>Layer 3</w:t>
            </w:r>
          </w:p>
        </w:tc>
        <w:tc>
          <w:tcPr>
            <w:tcW w:type="dxa" w:w="1728"/>
          </w:tcPr>
          <w:p>
            <w:pPr/>
            <w:r>
              <w:rPr>
                <w:sz w:val="18"/>
              </w:rPr>
              <w:t>~0.4% of ~$19.5B</w:t>
            </w:r>
          </w:p>
        </w:tc>
        <w:tc>
          <w:tcPr>
            <w:tcW w:type="dxa" w:w="1728"/>
          </w:tcPr>
          <w:p>
            <w:pPr/>
            <w:r>
              <w:rPr>
                <w:sz w:val="18"/>
              </w:rPr>
              <w:t>SITG = 25% of target regulatory capital</w:t>
            </w:r>
          </w:p>
        </w:tc>
      </w:tr>
      <w:tr>
        <w:tc>
          <w:tcPr>
            <w:tcW w:type="dxa" w:w="1728"/>
          </w:tcPr>
          <w:p>
            <w:pPr/>
            <w:r>
              <w:rPr>
                <w:sz w:val="18"/>
              </w:rPr>
              <w:t>**CME** (Base)</w:t>
            </w:r>
          </w:p>
        </w:tc>
        <w:tc>
          <w:tcPr>
            <w:tcW w:type="dxa" w:w="1728"/>
          </w:tcPr>
          <w:p>
            <w:pPr/>
            <w:r>
              <w:rPr>
                <w:sz w:val="18"/>
              </w:rPr>
              <w:t>**$100M**</w:t>
            </w:r>
          </w:p>
        </w:tc>
        <w:tc>
          <w:tcPr>
            <w:tcW w:type="dxa" w:w="1728"/>
          </w:tcPr>
          <w:p>
            <w:pPr/>
            <w:r>
              <w:rPr>
                <w:sz w:val="18"/>
              </w:rPr>
              <w:t>Layer 3 (before non-defaulter GF)</w:t>
            </w:r>
          </w:p>
        </w:tc>
        <w:tc>
          <w:tcPr>
            <w:tcW w:type="dxa" w:w="1728"/>
          </w:tcPr>
          <w:p>
            <w:pPr/>
            <w:r>
              <w:rPr>
                <w:sz w:val="18"/>
              </w:rPr>
              <w:t>~1% of ~$10.1B</w:t>
            </w:r>
          </w:p>
        </w:tc>
        <w:tc>
          <w:tcPr>
            <w:tcW w:type="dxa" w:w="1728"/>
          </w:tcPr>
          <w:p>
            <w:pPr/>
            <w:r>
              <w:rPr>
                <w:sz w:val="18"/>
              </w:rPr>
              <w:t>Moderate SITG</w:t>
            </w:r>
          </w:p>
        </w:tc>
      </w:tr>
      <w:tr>
        <w:tc>
          <w:tcPr>
            <w:tcW w:type="dxa" w:w="1728"/>
          </w:tcPr>
          <w:p>
            <w:pPr/>
            <w:r>
              <w:rPr>
                <w:sz w:val="18"/>
              </w:rPr>
              <w:t>**CME** (IRS)</w:t>
            </w:r>
          </w:p>
        </w:tc>
        <w:tc>
          <w:tcPr>
            <w:tcW w:type="dxa" w:w="1728"/>
          </w:tcPr>
          <w:p>
            <w:pPr/>
            <w:r>
              <w:rPr>
                <w:sz w:val="18"/>
              </w:rPr>
              <w:t>**$150M**</w:t>
            </w:r>
          </w:p>
        </w:tc>
        <w:tc>
          <w:tcPr>
            <w:tcW w:type="dxa" w:w="1728"/>
          </w:tcPr>
          <w:p>
            <w:pPr/>
            <w:r>
              <w:rPr>
                <w:sz w:val="18"/>
              </w:rPr>
              <w:t>Layer 3</w:t>
            </w:r>
          </w:p>
        </w:tc>
        <w:tc>
          <w:tcPr>
            <w:tcW w:type="dxa" w:w="1728"/>
          </w:tcPr>
          <w:p>
            <w:pPr/>
            <w:r>
              <w:rPr>
                <w:sz w:val="18"/>
              </w:rPr>
              <w:t>[data not available]</w:t>
            </w:r>
          </w:p>
        </w:tc>
        <w:tc>
          <w:tcPr>
            <w:tcW w:type="dxa" w:w="1728"/>
          </w:tcPr>
          <w:p>
            <w:pPr/>
            <w:r>
              <w:rPr>
                <w:sz w:val="18"/>
              </w:rPr>
              <w:t>Higher SITG for IRS waterfall</w:t>
            </w:r>
          </w:p>
        </w:tc>
      </w:tr>
      <w:tr>
        <w:tc>
          <w:tcPr>
            <w:tcW w:type="dxa" w:w="1728"/>
          </w:tcPr>
          <w:p>
            <w:pPr/>
            <w:r>
              <w:rPr>
                <w:sz w:val="18"/>
              </w:rPr>
              <w:t>**Eurex Clearing**</w:t>
            </w:r>
          </w:p>
        </w:tc>
        <w:tc>
          <w:tcPr>
            <w:tcW w:type="dxa" w:w="1728"/>
          </w:tcPr>
          <w:p>
            <w:pPr/>
            <w:r>
              <w:rPr>
                <w:sz w:val="18"/>
              </w:rPr>
              <w:t>**EUR 143M** (first) + **EUR 57M** (second) + up to **EUR 300M** (further) + **EUR 600M** (equity) + **EUR 600M** (DB backstop) = **EUR 1.7B** total</w:t>
            </w:r>
          </w:p>
        </w:tc>
        <w:tc>
          <w:tcPr>
            <w:tcW w:type="dxa" w:w="1728"/>
          </w:tcPr>
          <w:p>
            <w:pPr/>
            <w:r>
              <w:rPr>
                <w:sz w:val="18"/>
              </w:rPr>
              <w:t>Multiple layers; EUR 143M in Layer 3, others later</w:t>
            </w:r>
          </w:p>
        </w:tc>
        <w:tc>
          <w:tcPr>
            <w:tcW w:type="dxa" w:w="1728"/>
          </w:tcPr>
          <w:p>
            <w:pPr/>
            <w:r>
              <w:rPr>
                <w:sz w:val="18"/>
              </w:rPr>
              <w:t>EUR 143M = ~4.8% of ~EUR 3B DF; total commitment = ~57% of DF</w:t>
            </w:r>
          </w:p>
        </w:tc>
        <w:tc>
          <w:tcPr>
            <w:tcW w:type="dxa" w:w="1728"/>
          </w:tcPr>
          <w:p>
            <w:pPr/>
            <w:r>
              <w:rPr>
                <w:sz w:val="18"/>
              </w:rPr>
              <w:t>By far the largest CCP/parent SITG commitment globally</w:t>
            </w:r>
          </w:p>
        </w:tc>
      </w:tr>
      <w:tr>
        <w:tc>
          <w:tcPr>
            <w:tcW w:type="dxa" w:w="1728"/>
          </w:tcPr>
          <w:p>
            <w:pPr/>
            <w:r>
              <w:rPr>
                <w:sz w:val="18"/>
              </w:rPr>
              <w:t>**ICE** (aggregate)</w:t>
            </w:r>
          </w:p>
        </w:tc>
        <w:tc>
          <w:tcPr>
            <w:tcW w:type="dxa" w:w="1728"/>
          </w:tcPr>
          <w:p>
            <w:pPr/>
            <w:r>
              <w:rPr>
                <w:sz w:val="18"/>
              </w:rPr>
              <w:t>&gt;**$410M** own capital + $200M default insurance = **$660M+**</w:t>
            </w:r>
          </w:p>
        </w:tc>
        <w:tc>
          <w:tcPr>
            <w:tcW w:type="dxa" w:w="1728"/>
          </w:tcPr>
          <w:p>
            <w:pPr/>
            <w:r>
              <w:rPr>
                <w:sz w:val="18"/>
              </w:rPr>
              <w:t>Before non-defaulting members' GF</w:t>
            </w:r>
          </w:p>
        </w:tc>
        <w:tc>
          <w:tcPr>
            <w:tcW w:type="dxa" w:w="1728"/>
          </w:tcPr>
          <w:p>
            <w:pPr/>
            <w:r>
              <w:rPr>
                <w:sz w:val="18"/>
              </w:rPr>
              <w:t>[varies by entity]</w:t>
            </w:r>
          </w:p>
        </w:tc>
        <w:tc>
          <w:tcPr>
            <w:tcW w:type="dxa" w:w="1728"/>
          </w:tcPr>
          <w:p>
            <w:pPr/>
            <w:r>
              <w:rPr>
                <w:sz w:val="18"/>
              </w:rPr>
              <w:t>Includes innovative default insurance layer</w:t>
            </w:r>
          </w:p>
        </w:tc>
      </w:tr>
      <w:tr>
        <w:tc>
          <w:tcPr>
            <w:tcW w:type="dxa" w:w="1728"/>
          </w:tcPr>
          <w:p>
            <w:pPr/>
            <w:r>
              <w:rPr>
                <w:sz w:val="18"/>
              </w:rPr>
              <w:t>**JSCC** (IRS)</w:t>
            </w:r>
          </w:p>
        </w:tc>
        <w:tc>
          <w:tcPr>
            <w:tcW w:type="dxa" w:w="1728"/>
          </w:tcPr>
          <w:p>
            <w:pPr/>
            <w:r>
              <w:rPr>
                <w:sz w:val="18"/>
              </w:rPr>
              <w:t>Up to JPY 4B (~$27M)</w:t>
            </w:r>
          </w:p>
        </w:tc>
        <w:tc>
          <w:tcPr>
            <w:tcW w:type="dxa" w:w="1728"/>
          </w:tcPr>
          <w:p>
            <w:pPr/>
            <w:r>
              <w:rPr>
                <w:sz w:val="18"/>
              </w:rPr>
              <w:t>Layers 3 and 4</w:t>
            </w:r>
          </w:p>
        </w:tc>
        <w:tc>
          <w:tcPr>
            <w:tcW w:type="dxa" w:w="1728"/>
          </w:tcPr>
          <w:p>
            <w:pPr/>
            <w:r>
              <w:rPr>
                <w:sz w:val="18"/>
              </w:rPr>
              <w:t>[data not available]</w:t>
            </w:r>
          </w:p>
        </w:tc>
        <w:tc>
          <w:tcPr>
            <w:tcW w:type="dxa" w:w="1728"/>
          </w:tcPr>
          <w:p>
            <w:pPr/>
            <w:r>
              <w:rPr>
                <w:sz w:val="18"/>
              </w:rPr>
              <w:t>Moderate for IRS</w:t>
            </w:r>
          </w:p>
        </w:tc>
      </w:tr>
      <w:tr>
        <w:tc>
          <w:tcPr>
            <w:tcW w:type="dxa" w:w="1728"/>
          </w:tcPr>
          <w:p>
            <w:pPr/>
            <w:r>
              <w:rPr>
                <w:sz w:val="18"/>
              </w:rPr>
              <w:t>**HKSCC**</w:t>
            </w:r>
          </w:p>
        </w:tc>
        <w:tc>
          <w:tcPr>
            <w:tcW w:type="dxa" w:w="1728"/>
          </w:tcPr>
          <w:p>
            <w:pPr/>
            <w:r>
              <w:rPr>
                <w:sz w:val="18"/>
              </w:rPr>
              <w:t>10% of GF size (~HKD 730M of HKD 7.3B)</w:t>
            </w:r>
          </w:p>
        </w:tc>
        <w:tc>
          <w:tcPr>
            <w:tcW w:type="dxa" w:w="1728"/>
          </w:tcPr>
          <w:p>
            <w:pPr/>
            <w:r>
              <w:rPr>
                <w:sz w:val="18"/>
              </w:rPr>
              <w:t>Layer 3</w:t>
            </w:r>
          </w:p>
        </w:tc>
        <w:tc>
          <w:tcPr>
            <w:tcW w:type="dxa" w:w="1728"/>
          </w:tcPr>
          <w:p>
            <w:pPr/>
            <w:r>
              <w:rPr>
                <w:sz w:val="18"/>
              </w:rPr>
              <w:t>10%</w:t>
            </w:r>
          </w:p>
        </w:tc>
        <w:tc>
          <w:tcPr>
            <w:tcW w:type="dxa" w:w="1728"/>
          </w:tcPr>
          <w:p>
            <w:pPr/>
            <w:r>
              <w:rPr>
                <w:sz w:val="18"/>
              </w:rPr>
              <w:t>Fixed percentage model</w:t>
            </w:r>
          </w:p>
        </w:tc>
      </w:tr>
      <w:tr>
        <w:tc>
          <w:tcPr>
            <w:tcW w:type="dxa" w:w="1728"/>
          </w:tcPr>
          <w:p>
            <w:pPr/>
            <w:r>
              <w:rPr>
                <w:sz w:val="18"/>
              </w:rPr>
              <w:t>**HKCC**</w:t>
            </w:r>
          </w:p>
        </w:tc>
        <w:tc>
          <w:tcPr>
            <w:tcW w:type="dxa" w:w="1728"/>
          </w:tcPr>
          <w:p>
            <w:pPr/>
            <w:r>
              <w:rPr>
                <w:sz w:val="18"/>
              </w:rPr>
              <w:t>10% of Reserve Fund</w:t>
            </w:r>
          </w:p>
        </w:tc>
        <w:tc>
          <w:tcPr>
            <w:tcW w:type="dxa" w:w="1728"/>
          </w:tcPr>
          <w:p>
            <w:pPr/>
            <w:r>
              <w:rPr>
                <w:sz w:val="18"/>
              </w:rPr>
              <w:t>Layer 4</w:t>
            </w:r>
          </w:p>
        </w:tc>
        <w:tc>
          <w:tcPr>
            <w:tcW w:type="dxa" w:w="1728"/>
          </w:tcPr>
          <w:p>
            <w:pPr/>
            <w:r>
              <w:rPr>
                <w:sz w:val="18"/>
              </w:rPr>
              <w:t>10%</w:t>
            </w:r>
          </w:p>
        </w:tc>
        <w:tc>
          <w:tcPr>
            <w:tcW w:type="dxa" w:w="1728"/>
          </w:tcPr>
          <w:p>
            <w:pPr/>
            <w:r>
              <w:rPr>
                <w:sz w:val="18"/>
              </w:rPr>
              <w:t>Fixed percentage model</w:t>
            </w:r>
          </w:p>
        </w:tc>
      </w:tr>
      <w:tr>
        <w:tc>
          <w:tcPr>
            <w:tcW w:type="dxa" w:w="1728"/>
          </w:tcPr>
          <w:p>
            <w:pPr/>
            <w:r>
              <w:rPr>
                <w:sz w:val="18"/>
              </w:rPr>
              <w:t>**CDP**</w:t>
            </w:r>
          </w:p>
        </w:tc>
        <w:tc>
          <w:tcPr>
            <w:tcW w:type="dxa" w:w="1728"/>
          </w:tcPr>
          <w:p>
            <w:pPr/>
            <w:r>
              <w:rPr>
                <w:sz w:val="18"/>
              </w:rPr>
              <w:t>&gt;=25% of Clearing Fund (~S$20M of S$80M)</w:t>
            </w:r>
          </w:p>
        </w:tc>
        <w:tc>
          <w:tcPr>
            <w:tcW w:type="dxa" w:w="1728"/>
          </w:tcPr>
          <w:p>
            <w:pPr/>
            <w:r>
              <w:rPr>
                <w:sz w:val="18"/>
              </w:rPr>
              <w:t>Layer 3</w:t>
            </w:r>
          </w:p>
        </w:tc>
        <w:tc>
          <w:tcPr>
            <w:tcW w:type="dxa" w:w="1728"/>
          </w:tcPr>
          <w:p>
            <w:pPr/>
            <w:r>
              <w:rPr>
                <w:sz w:val="18"/>
              </w:rPr>
              <w:t>&gt;=25%</w:t>
            </w:r>
          </w:p>
        </w:tc>
        <w:tc>
          <w:tcPr>
            <w:tcW w:type="dxa" w:w="1728"/>
          </w:tcPr>
          <w:p>
            <w:pPr/>
            <w:r>
              <w:rPr>
                <w:sz w:val="18"/>
              </w:rPr>
              <w:t>High SITG as percentage</w:t>
            </w:r>
          </w:p>
        </w:tc>
      </w:tr>
      <w:tr>
        <w:tc>
          <w:tcPr>
            <w:tcW w:type="dxa" w:w="1728"/>
          </w:tcPr>
          <w:p>
            <w:pPr/>
            <w:r>
              <w:rPr>
                <w:sz w:val="18"/>
              </w:rPr>
              <w:t>**ASX Clear** (Cash)</w:t>
            </w:r>
          </w:p>
        </w:tc>
        <w:tc>
          <w:tcPr>
            <w:tcW w:type="dxa" w:w="1728"/>
          </w:tcPr>
          <w:p>
            <w:pPr/>
            <w:r>
              <w:rPr>
                <w:sz w:val="18"/>
              </w:rPr>
              <w:t>**AUD 250M** (100% of default fund)</w:t>
            </w:r>
          </w:p>
        </w:tc>
        <w:tc>
          <w:tcPr>
            <w:tcW w:type="dxa" w:w="1728"/>
          </w:tcPr>
          <w:p>
            <w:pPr/>
            <w:r>
              <w:rPr>
                <w:sz w:val="18"/>
              </w:rPr>
              <w:t>Entire default fund is CCP-funded</w:t>
            </w:r>
          </w:p>
        </w:tc>
        <w:tc>
          <w:tcPr>
            <w:tcW w:type="dxa" w:w="1728"/>
          </w:tcPr>
          <w:p>
            <w:pPr/>
            <w:r>
              <w:rPr>
                <w:sz w:val="18"/>
              </w:rPr>
              <w:t>100%</w:t>
            </w:r>
          </w:p>
        </w:tc>
        <w:tc>
          <w:tcPr>
            <w:tcW w:type="dxa" w:w="1728"/>
          </w:tcPr>
          <w:p>
            <w:pPr/>
            <w:r>
              <w:rPr>
                <w:sz w:val="18"/>
              </w:rPr>
              <w:t>Unique: no participant DF contributions</w:t>
            </w:r>
          </w:p>
        </w:tc>
      </w:tr>
      <w:tr>
        <w:tc>
          <w:tcPr>
            <w:tcW w:type="dxa" w:w="1728"/>
          </w:tcPr>
          <w:p>
            <w:pPr/>
            <w:r>
              <w:rPr>
                <w:sz w:val="18"/>
              </w:rPr>
              <w:t>**ASX Clear (Futures)**</w:t>
            </w:r>
          </w:p>
        </w:tc>
        <w:tc>
          <w:tcPr>
            <w:tcW w:type="dxa" w:w="1728"/>
          </w:tcPr>
          <w:p>
            <w:pPr/>
            <w:r>
              <w:rPr>
                <w:sz w:val="18"/>
              </w:rPr>
              <w:t>**AUD 450M** (69% of AUD 650M total DF)</w:t>
            </w:r>
          </w:p>
        </w:tc>
        <w:tc>
          <w:tcPr>
            <w:tcW w:type="dxa" w:w="1728"/>
          </w:tcPr>
          <w:p>
            <w:pPr/>
            <w:r>
              <w:rPr>
                <w:sz w:val="18"/>
              </w:rPr>
              <w:t>Multiple tranches interspersed with participant contributions</w:t>
            </w:r>
          </w:p>
        </w:tc>
        <w:tc>
          <w:tcPr>
            <w:tcW w:type="dxa" w:w="1728"/>
          </w:tcPr>
          <w:p>
            <w:pPr/>
            <w:r>
              <w:rPr>
                <w:sz w:val="18"/>
              </w:rPr>
              <w:t>69%</w:t>
            </w:r>
          </w:p>
        </w:tc>
        <w:tc>
          <w:tcPr>
            <w:tcW w:type="dxa" w:w="1728"/>
          </w:tcPr>
          <w:p>
            <w:pPr/>
            <w:r>
              <w:rPr>
                <w:sz w:val="18"/>
              </w:rPr>
              <w:t>Highest CCP-funded proportion among major CCPs</w:t>
            </w:r>
          </w:p>
        </w:tc>
      </w:tr>
      <w:tr>
        <w:tc>
          <w:tcPr>
            <w:tcW w:type="dxa" w:w="1728"/>
          </w:tcPr>
          <w:p>
            <w:pPr/>
            <w:r>
              <w:rPr>
                <w:sz w:val="18"/>
              </w:rPr>
              <w:t>**Cboe Clear Europe**</w:t>
            </w:r>
          </w:p>
        </w:tc>
        <w:tc>
          <w:tcPr>
            <w:tcW w:type="dxa" w:w="1728"/>
          </w:tcPr>
          <w:p>
            <w:pPr/>
            <w:r>
              <w:rPr>
                <w:sz w:val="18"/>
              </w:rPr>
              <w:t>~EUR 6.8M</w:t>
            </w:r>
          </w:p>
        </w:tc>
        <w:tc>
          <w:tcPr>
            <w:tcW w:type="dxa" w:w="1728"/>
          </w:tcPr>
          <w:p>
            <w:pPr/>
            <w:r>
              <w:rPr>
                <w:sz w:val="18"/>
              </w:rPr>
              <w:t>Layer 3</w:t>
            </w:r>
          </w:p>
        </w:tc>
        <w:tc>
          <w:tcPr>
            <w:tcW w:type="dxa" w:w="1728"/>
          </w:tcPr>
          <w:p>
            <w:pPr/>
            <w:r>
              <w:rPr>
                <w:sz w:val="18"/>
              </w:rPr>
              <w:t>[data not available]</w:t>
            </w:r>
          </w:p>
        </w:tc>
        <w:tc>
          <w:tcPr>
            <w:tcW w:type="dxa" w:w="1728"/>
          </w:tcPr>
          <w:p>
            <w:pPr/>
            <w:r>
              <w:rPr>
                <w:sz w:val="18"/>
              </w:rPr>
              <w:t>Small SITG reflecting smaller scale</w:t>
            </w:r>
          </w:p>
        </w:tc>
      </w:tr>
      <w:tr>
        <w:tc>
          <w:tcPr>
            <w:tcW w:type="dxa" w:w="1728"/>
          </w:tcPr>
          <w:p>
            <w:pPr/>
            <w:r>
              <w:rPr>
                <w:sz w:val="18"/>
              </w:rPr>
              <w:t>**KRX**</w:t>
            </w:r>
          </w:p>
        </w:tc>
        <w:tc>
          <w:tcPr>
            <w:tcW w:type="dxa" w:w="1728"/>
          </w:tcPr>
          <w:p>
            <w:pPr/>
            <w:r>
              <w:rPr>
                <w:sz w:val="18"/>
              </w:rPr>
              <w:t>[data not available -- KRX own capital contribution]</w:t>
            </w:r>
          </w:p>
        </w:tc>
        <w:tc>
          <w:tcPr>
            <w:tcW w:type="dxa" w:w="1728"/>
          </w:tcPr>
          <w:p>
            <w:pPr/>
            <w:r>
              <w:rPr>
                <w:sz w:val="18"/>
              </w:rPr>
              <w:t>Layer 3 (before Joint Compensation Fund)</w:t>
            </w:r>
          </w:p>
        </w:tc>
        <w:tc>
          <w:tcPr>
            <w:tcW w:type="dxa" w:w="1728"/>
          </w:tcPr>
          <w:p>
            <w:pPr/>
            <w:r>
              <w:rPr>
                <w:sz w:val="18"/>
              </w:rPr>
              <w:t>[data not available]</w:t>
            </w:r>
          </w:p>
        </w:tc>
        <w:tc>
          <w:tcPr>
            <w:tcW w:type="dxa" w:w="1728"/>
          </w:tcPr>
          <w:p>
            <w:pPr/>
            <w:r>
              <w:rPr>
                <w:sz w:val="18"/>
              </w:rPr>
              <w:t>Follows "defaulter pays first"; SITG before mutualized resources</w:t>
            </w:r>
          </w:p>
        </w:tc>
      </w:tr>
    </w:tbl>
    <w:p/>
    <w:p>
      <w:pPr>
        <w:pStyle w:val="Heading3"/>
      </w:pPr>
      <w:r>
        <w:t>1.3 Key Observations</w:t>
      </w:r>
    </w:p>
    <w:p>
      <w:pPr>
        <w:pStyle w:val="ListNumber"/>
      </w:pPr>
      <w:r>
        <w:t>Eurex Clearing has the largest aggregate CCP/parent financial commitment at EUR 1.7 billion (including the Deutsche Borse Letter of Comfort), providing the most comprehensive loss-absorbing capacity beyond participant resources.</w:t>
      </w:r>
    </w:p>
    <w:p>
      <w:pPr>
        <w:pStyle w:val="ListNumber"/>
      </w:pPr>
      <w:r>
        <w:t>ASX has the most unique SITG model: ASX Clear's cash equities default fund is 100% funded by the CCP itself (AUD 250M), and ASX Clear (Futures) contributes 69% of the total default fund (AUD 450M of AUD 650M). This reflects the vertically integrated ownership model.</w:t>
      </w:r>
    </w:p>
    <w:p>
      <w:pPr>
        <w:pStyle w:val="ListNumber"/>
      </w:pPr>
      <w:r>
        <w:t>ICE introduced innovation with its default insurance layer (renewed for three-year terms), which adds $200M across its clearing houses between SITG and non-defaulting members' contributions. Aggregate ICE SITG + insurance exceeds $660M.</w:t>
      </w:r>
    </w:p>
    <w:p>
      <w:pPr>
        <w:pStyle w:val="ListNumber"/>
      </w:pPr>
      <w:r>
        <w:t>CME places distinct SITG amounts in its Base ($100M) and IRS ($150M) waterfalls, totaling $250M in pre-funded own resources.</w:t>
      </w:r>
    </w:p>
    <w:p>
      <w:pPr>
        <w:pStyle w:val="ListNumber"/>
      </w:pPr>
      <w:r>
        <w:t>U.S. user-owned CCPs (NSCC, OCC) have relatively smaller SITG amounts (estimated $25-76M), reflecting their cooperative ownership models where participants bear the primary mutualized risk.</w:t>
      </w:r>
    </w:p>
    <w:p>
      <w:pPr>
        <w:pStyle w:val="ListNumber"/>
      </w:pPr>
      <w:r>
        <w:t>HKEX uses a fixed-percentage model (10% of fund size) for its SITG across all three clearing houses, providing simplicity and proportionality.</w:t>
      </w:r>
    </w:p>
    <w:p>
      <w:pPr>
        <w:pStyle w:val="ListNumber"/>
      </w:pPr>
      <w:r>
        <w:t>Cover 2 is the predominant standard for systemically important CCPs (LCH, OCC, CME, Eurex, JSCC, HKEX), while Cover 1 is used by some smaller or less systemic CCPs.</w:t>
      </w:r>
    </w:p>
    <w:p>
      <w:r>
        <w:t>────────────────────────────────────────────────────────────</w:t>
      </w:r>
    </w:p>
    <w:p>
      <w:pPr>
        <w:pStyle w:val="Heading2"/>
      </w:pPr>
      <w:r>
        <w:t>2. Margin Methodology Comparison</w:t>
      </w:r>
    </w:p>
    <w:p>
      <w:pPr>
        <w:pStyle w:val="Heading3"/>
      </w:pPr>
      <w:r>
        <w:t>2.1 Summary Table</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r>
              <w:rPr>
                <w:b/>
                <w:sz w:val="18"/>
              </w:rPr>
              <w:t>CCP</w:t>
            </w:r>
          </w:p>
        </w:tc>
        <w:tc>
          <w:tcPr>
            <w:tcW w:type="dxa" w:w="960"/>
          </w:tcPr>
          <w:p>
            <w:pPr/>
            <w:r>
              <w:rPr>
                <w:b/>
                <w:sz w:val="18"/>
              </w:rPr>
              <w:t>Methodology</w:t>
            </w:r>
          </w:p>
        </w:tc>
        <w:tc>
          <w:tcPr>
            <w:tcW w:type="dxa" w:w="960"/>
          </w:tcPr>
          <w:p>
            <w:pPr/>
            <w:r>
              <w:rPr>
                <w:b/>
                <w:sz w:val="18"/>
              </w:rPr>
              <w:t>Risk Measure</w:t>
            </w:r>
          </w:p>
        </w:tc>
        <w:tc>
          <w:tcPr>
            <w:tcW w:type="dxa" w:w="960"/>
          </w:tcPr>
          <w:p>
            <w:pPr/>
            <w:r>
              <w:rPr>
                <w:b/>
                <w:sz w:val="18"/>
              </w:rPr>
              <w:t>Confidence Level</w:t>
            </w:r>
          </w:p>
        </w:tc>
        <w:tc>
          <w:tcPr>
            <w:tcW w:type="dxa" w:w="960"/>
          </w:tcPr>
          <w:p>
            <w:pPr/>
            <w:r>
              <w:rPr>
                <w:b/>
                <w:sz w:val="18"/>
              </w:rPr>
              <w:t>Lookback Period</w:t>
            </w:r>
          </w:p>
        </w:tc>
        <w:tc>
          <w:tcPr>
            <w:tcW w:type="dxa" w:w="960"/>
          </w:tcPr>
          <w:p>
            <w:pPr/>
            <w:r>
              <w:rPr>
                <w:b/>
                <w:sz w:val="18"/>
              </w:rPr>
              <w:t>Holding Period (ETD)</w:t>
            </w:r>
          </w:p>
        </w:tc>
        <w:tc>
          <w:tcPr>
            <w:tcW w:type="dxa" w:w="960"/>
          </w:tcPr>
          <w:p>
            <w:pPr/>
            <w:r>
              <w:rPr>
                <w:b/>
                <w:sz w:val="18"/>
              </w:rPr>
              <w:t>Holding Period (OTC)</w:t>
            </w:r>
          </w:p>
        </w:tc>
        <w:tc>
          <w:tcPr>
            <w:tcW w:type="dxa" w:w="960"/>
          </w:tcPr>
          <w:p>
            <w:pPr/>
            <w:r>
              <w:rPr>
                <w:b/>
                <w:sz w:val="18"/>
              </w:rPr>
              <w:t>Anti-Procyclicality</w:t>
            </w:r>
          </w:p>
        </w:tc>
        <w:tc>
          <w:tcPr>
            <w:tcW w:type="dxa" w:w="960"/>
          </w:tcPr>
          <w:p>
            <w:pPr/>
            <w:r>
              <w:rPr>
                <w:b/>
                <w:sz w:val="18"/>
              </w:rPr>
              <w:t>Cross-Margining</w:t>
            </w:r>
          </w:p>
        </w:tc>
      </w:tr>
      <w:tr>
        <w:tc>
          <w:tcPr>
            <w:tcW w:type="dxa" w:w="960"/>
          </w:tcPr>
          <w:p>
            <w:pPr/>
            <w:r>
              <w:rPr>
                <w:sz w:val="18"/>
              </w:rPr>
              <w:t>**NSCC**</w:t>
            </w:r>
          </w:p>
        </w:tc>
        <w:tc>
          <w:tcPr>
            <w:tcW w:type="dxa" w:w="960"/>
          </w:tcPr>
          <w:p>
            <w:pPr/>
            <w:r>
              <w:rPr>
                <w:sz w:val="18"/>
              </w:rPr>
              <w:t>Parametric VaR</w:t>
            </w:r>
          </w:p>
        </w:tc>
        <w:tc>
          <w:tcPr>
            <w:tcW w:type="dxa" w:w="960"/>
          </w:tcPr>
          <w:p>
            <w:pPr/>
            <w:r>
              <w:rPr>
                <w:sz w:val="18"/>
              </w:rPr>
              <w:t>VaR</w:t>
            </w:r>
          </w:p>
        </w:tc>
        <w:tc>
          <w:tcPr>
            <w:tcW w:type="dxa" w:w="960"/>
          </w:tcPr>
          <w:p>
            <w:pPr/>
            <w:r>
              <w:rPr>
                <w:sz w:val="18"/>
              </w:rPr>
              <w:t>99%</w:t>
            </w:r>
          </w:p>
        </w:tc>
        <w:tc>
          <w:tcPr>
            <w:tcW w:type="dxa" w:w="960"/>
          </w:tcPr>
          <w:p>
            <w:pPr/>
            <w:r>
              <w:rPr>
                <w:sz w:val="18"/>
              </w:rPr>
              <w:t>Historical price data</w:t>
            </w:r>
          </w:p>
        </w:tc>
        <w:tc>
          <w:tcPr>
            <w:tcW w:type="dxa" w:w="960"/>
          </w:tcPr>
          <w:p>
            <w:pPr/>
            <w:r>
              <w:rPr>
                <w:sz w:val="18"/>
              </w:rPr>
              <w:t>3-day MPOR</w:t>
            </w:r>
          </w:p>
        </w:tc>
        <w:tc>
          <w:tcPr>
            <w:tcW w:type="dxa" w:w="960"/>
          </w:tcPr>
          <w:p>
            <w:pPr/>
            <w:r>
              <w:rPr>
                <w:sz w:val="18"/>
              </w:rPr>
              <w:t>N/A</w:t>
            </w:r>
          </w:p>
        </w:tc>
        <w:tc>
          <w:tcPr>
            <w:tcW w:type="dxa" w:w="960"/>
          </w:tcPr>
          <w:p>
            <w:pPr/>
            <w:r>
              <w:rPr>
                <w:sz w:val="18"/>
              </w:rPr>
              <w:t>Anti-cyclical charges</w:t>
            </w:r>
          </w:p>
        </w:tc>
        <w:tc>
          <w:tcPr>
            <w:tcW w:type="dxa" w:w="960"/>
          </w:tcPr>
          <w:p>
            <w:pPr/>
            <w:r>
              <w:rPr>
                <w:sz w:val="18"/>
              </w:rPr>
              <w:t>Cross-guaranty with FICC, OCC</w:t>
            </w:r>
          </w:p>
        </w:tc>
      </w:tr>
      <w:tr>
        <w:tc>
          <w:tcPr>
            <w:tcW w:type="dxa" w:w="960"/>
          </w:tcPr>
          <w:p>
            <w:pPr/>
            <w:r>
              <w:rPr>
                <w:sz w:val="18"/>
              </w:rPr>
              <w:t>**FICC-GSD**</w:t>
            </w:r>
          </w:p>
        </w:tc>
        <w:tc>
          <w:tcPr>
            <w:tcW w:type="dxa" w:w="960"/>
          </w:tcPr>
          <w:p>
            <w:pPr/>
            <w:r>
              <w:rPr>
                <w:sz w:val="18"/>
              </w:rPr>
              <w:t>Historical simulation VaR</w:t>
            </w:r>
          </w:p>
        </w:tc>
        <w:tc>
          <w:tcPr>
            <w:tcW w:type="dxa" w:w="960"/>
          </w:tcPr>
          <w:p>
            <w:pPr/>
            <w:r>
              <w:rPr>
                <w:sz w:val="18"/>
              </w:rPr>
              <w:t>VaR</w:t>
            </w:r>
          </w:p>
        </w:tc>
        <w:tc>
          <w:tcPr>
            <w:tcW w:type="dxa" w:w="960"/>
          </w:tcPr>
          <w:p>
            <w:pPr/>
            <w:r>
              <w:rPr>
                <w:sz w:val="18"/>
              </w:rPr>
              <w:t>Cover 1 target</w:t>
            </w:r>
          </w:p>
        </w:tc>
        <w:tc>
          <w:tcPr>
            <w:tcW w:type="dxa" w:w="960"/>
          </w:tcPr>
          <w:p>
            <w:pPr/>
            <w:r>
              <w:rPr>
                <w:sz w:val="18"/>
              </w:rPr>
              <w:t>Historical data</w:t>
            </w:r>
          </w:p>
        </w:tc>
        <w:tc>
          <w:tcPr>
            <w:tcW w:type="dxa" w:w="960"/>
          </w:tcPr>
          <w:p>
            <w:pPr/>
            <w:r>
              <w:rPr>
                <w:sz w:val="18"/>
              </w:rPr>
              <w:t>3-day liquidation</w:t>
            </w:r>
          </w:p>
        </w:tc>
        <w:tc>
          <w:tcPr>
            <w:tcW w:type="dxa" w:w="960"/>
          </w:tcPr>
          <w:p>
            <w:pPr/>
            <w:r>
              <w:rPr>
                <w:sz w:val="18"/>
              </w:rPr>
              <w:t>N/A</w:t>
            </w:r>
          </w:p>
        </w:tc>
        <w:tc>
          <w:tcPr>
            <w:tcW w:type="dxa" w:w="960"/>
          </w:tcPr>
          <w:p>
            <w:pPr/>
            <w:r>
              <w:rPr>
                <w:sz w:val="18"/>
              </w:rPr>
              <w:t>Volatility Event Charge</w:t>
            </w:r>
          </w:p>
        </w:tc>
        <w:tc>
          <w:tcPr>
            <w:tcW w:type="dxa" w:w="960"/>
          </w:tcPr>
          <w:p>
            <w:pPr/>
            <w:r>
              <w:rPr>
                <w:sz w:val="18"/>
              </w:rPr>
              <w:t>Cross-margining with CME</w:t>
            </w:r>
          </w:p>
        </w:tc>
      </w:tr>
      <w:tr>
        <w:tc>
          <w:tcPr>
            <w:tcW w:type="dxa" w:w="960"/>
          </w:tcPr>
          <w:p>
            <w:pPr/>
            <w:r>
              <w:rPr>
                <w:sz w:val="18"/>
              </w:rPr>
              <w:t>**LCH** (SwapClear)</w:t>
            </w:r>
          </w:p>
        </w:tc>
        <w:tc>
          <w:tcPr>
            <w:tcW w:type="dxa" w:w="960"/>
          </w:tcPr>
          <w:p>
            <w:pPr/>
            <w:r>
              <w:rPr>
                <w:sz w:val="18"/>
              </w:rPr>
              <w:t>PAIRS (ES based on FHS with vol scaling)</w:t>
            </w:r>
          </w:p>
        </w:tc>
        <w:tc>
          <w:tcPr>
            <w:tcW w:type="dxa" w:w="960"/>
          </w:tcPr>
          <w:p>
            <w:pPr/>
            <w:r>
              <w:rPr>
                <w:sz w:val="18"/>
              </w:rPr>
              <w:t>Expected Shortfall</w:t>
            </w:r>
          </w:p>
        </w:tc>
        <w:tc>
          <w:tcPr>
            <w:tcW w:type="dxa" w:w="960"/>
          </w:tcPr>
          <w:p>
            <w:pPr/>
            <w:r>
              <w:rPr>
                <w:sz w:val="18"/>
              </w:rPr>
              <w:t>99.7%</w:t>
            </w:r>
          </w:p>
        </w:tc>
        <w:tc>
          <w:tcPr>
            <w:tcW w:type="dxa" w:w="960"/>
          </w:tcPr>
          <w:p>
            <w:pPr/>
            <w:r>
              <w:rPr>
                <w:sz w:val="18"/>
              </w:rPr>
              <w:t>10 years (with GFC window)</w:t>
            </w:r>
          </w:p>
        </w:tc>
        <w:tc>
          <w:tcPr>
            <w:tcW w:type="dxa" w:w="960"/>
          </w:tcPr>
          <w:p>
            <w:pPr/>
            <w:r>
              <w:rPr>
                <w:sz w:val="18"/>
              </w:rPr>
              <w:t>N/A</w:t>
            </w:r>
          </w:p>
        </w:tc>
        <w:tc>
          <w:tcPr>
            <w:tcW w:type="dxa" w:w="960"/>
          </w:tcPr>
          <w:p>
            <w:pPr/>
            <w:r>
              <w:rPr>
                <w:sz w:val="18"/>
              </w:rPr>
              <w:t>5 days (members); 7 days (clients)</w:t>
            </w:r>
          </w:p>
        </w:tc>
        <w:tc>
          <w:tcPr>
            <w:tcW w:type="dxa" w:w="960"/>
          </w:tcPr>
          <w:p>
            <w:pPr/>
            <w:r>
              <w:rPr>
                <w:sz w:val="18"/>
              </w:rPr>
              <w:t>Stress period floor (unscaled 10-yr + 2.5-yr GFC)</w:t>
            </w:r>
          </w:p>
        </w:tc>
        <w:tc>
          <w:tcPr>
            <w:tcW w:type="dxa" w:w="960"/>
          </w:tcPr>
          <w:p>
            <w:pPr/>
            <w:r>
              <w:rPr>
                <w:sz w:val="18"/>
              </w:rPr>
              <w:t>Within SwapClear service</w:t>
            </w:r>
          </w:p>
        </w:tc>
      </w:tr>
      <w:tr>
        <w:tc>
          <w:tcPr>
            <w:tcW w:type="dxa" w:w="960"/>
          </w:tcPr>
          <w:p>
            <w:pPr/>
            <w:r>
              <w:rPr>
                <w:sz w:val="18"/>
              </w:rPr>
              <w:t>**LCH** (CDSClear)</w:t>
            </w:r>
          </w:p>
        </w:tc>
        <w:tc>
          <w:tcPr>
            <w:tcW w:type="dxa" w:w="960"/>
          </w:tcPr>
          <w:p>
            <w:pPr/>
            <w:r>
              <w:rPr>
                <w:sz w:val="18"/>
              </w:rPr>
              <w:t>HS with scaled returns, ES</w:t>
            </w:r>
          </w:p>
        </w:tc>
        <w:tc>
          <w:tcPr>
            <w:tcW w:type="dxa" w:w="960"/>
          </w:tcPr>
          <w:p>
            <w:pPr/>
            <w:r>
              <w:rPr>
                <w:sz w:val="18"/>
              </w:rPr>
              <w:t>Expected Shortfall</w:t>
            </w:r>
          </w:p>
        </w:tc>
        <w:tc>
          <w:tcPr>
            <w:tcW w:type="dxa" w:w="960"/>
          </w:tcPr>
          <w:p>
            <w:pPr/>
            <w:r>
              <w:rPr>
                <w:sz w:val="18"/>
              </w:rPr>
              <w:t>99.7%</w:t>
            </w:r>
          </w:p>
        </w:tc>
        <w:tc>
          <w:tcPr>
            <w:tcW w:type="dxa" w:w="960"/>
          </w:tcPr>
          <w:p>
            <w:pPr/>
            <w:r>
              <w:rPr>
                <w:sz w:val="18"/>
              </w:rPr>
              <w:t>From April 2007</w:t>
            </w:r>
          </w:p>
        </w:tc>
        <w:tc>
          <w:tcPr>
            <w:tcW w:type="dxa" w:w="960"/>
          </w:tcPr>
          <w:p>
            <w:pPr/>
            <w:r>
              <w:rPr>
                <w:sz w:val="18"/>
              </w:rPr>
              <w:t>N/A</w:t>
            </w:r>
          </w:p>
        </w:tc>
        <w:tc>
          <w:tcPr>
            <w:tcW w:type="dxa" w:w="960"/>
          </w:tcPr>
          <w:p>
            <w:pPr/>
            <w:r>
              <w:rPr>
                <w:sz w:val="18"/>
              </w:rPr>
              <w:t>5 days</w:t>
            </w:r>
          </w:p>
        </w:tc>
        <w:tc>
          <w:tcPr>
            <w:tcW w:type="dxa" w:w="960"/>
          </w:tcPr>
          <w:p>
            <w:pPr/>
            <w:r>
              <w:rPr>
                <w:sz w:val="18"/>
              </w:rPr>
              <w:t>[data not available]</w:t>
            </w:r>
          </w:p>
        </w:tc>
        <w:tc>
          <w:tcPr>
            <w:tcW w:type="dxa" w:w="960"/>
          </w:tcPr>
          <w:p>
            <w:pPr/>
            <w:r>
              <w:rPr>
                <w:sz w:val="18"/>
              </w:rPr>
              <w:t>Within CDSClear service</w:t>
            </w:r>
          </w:p>
        </w:tc>
      </w:tr>
      <w:tr>
        <w:tc>
          <w:tcPr>
            <w:tcW w:type="dxa" w:w="960"/>
          </w:tcPr>
          <w:p>
            <w:pPr/>
            <w:r>
              <w:rPr>
                <w:sz w:val="18"/>
              </w:rPr>
              <w:t>**OCC**</w:t>
            </w:r>
          </w:p>
        </w:tc>
        <w:tc>
          <w:tcPr>
            <w:tcW w:type="dxa" w:w="960"/>
          </w:tcPr>
          <w:p>
            <w:pPr/>
            <w:r>
              <w:rPr>
                <w:sz w:val="18"/>
              </w:rPr>
              <w:t>STANS (Monte Carlo simulation)</w:t>
            </w:r>
          </w:p>
        </w:tc>
        <w:tc>
          <w:tcPr>
            <w:tcW w:type="dxa" w:w="960"/>
          </w:tcPr>
          <w:p>
            <w:pPr/>
            <w:r>
              <w:rPr>
                <w:sz w:val="18"/>
              </w:rPr>
              <w:t>Expected Shortfall</w:t>
            </w:r>
          </w:p>
        </w:tc>
        <w:tc>
          <w:tcPr>
            <w:tcW w:type="dxa" w:w="960"/>
          </w:tcPr>
          <w:p>
            <w:pPr/>
            <w:r>
              <w:rPr>
                <w:sz w:val="18"/>
              </w:rPr>
              <w:t>99% ES (99.5% for top 2 sub-portfolios)</w:t>
            </w:r>
          </w:p>
        </w:tc>
        <w:tc>
          <w:tcPr>
            <w:tcW w:type="dxa" w:w="960"/>
          </w:tcPr>
          <w:p>
            <w:pPr/>
            <w:r>
              <w:rPr>
                <w:sz w:val="18"/>
              </w:rPr>
              <w:t>Historical data (dynamic)</w:t>
            </w:r>
          </w:p>
        </w:tc>
        <w:tc>
          <w:tcPr>
            <w:tcW w:type="dxa" w:w="960"/>
          </w:tcPr>
          <w:p>
            <w:pPr/>
            <w:r>
              <w:rPr>
                <w:sz w:val="18"/>
              </w:rPr>
              <w:t>2 days</w:t>
            </w:r>
          </w:p>
        </w:tc>
        <w:tc>
          <w:tcPr>
            <w:tcW w:type="dxa" w:w="960"/>
          </w:tcPr>
          <w:p>
            <w:pPr/>
            <w:r>
              <w:rPr>
                <w:sz w:val="18"/>
              </w:rPr>
              <w:t>N/A</w:t>
            </w:r>
          </w:p>
        </w:tc>
        <w:tc>
          <w:tcPr>
            <w:tcW w:type="dxa" w:w="960"/>
          </w:tcPr>
          <w:p>
            <w:pPr/>
            <w:r>
              <w:rPr>
                <w:sz w:val="18"/>
              </w:rPr>
              <w:t>Floor based on historical averages</w:t>
            </w:r>
          </w:p>
        </w:tc>
        <w:tc>
          <w:tcPr>
            <w:tcW w:type="dxa" w:w="960"/>
          </w:tcPr>
          <w:p>
            <w:pPr/>
            <w:r>
              <w:rPr>
                <w:sz w:val="18"/>
              </w:rPr>
              <w:t>Cross-margin with CME (equity index options vs futures)</w:t>
            </w:r>
          </w:p>
        </w:tc>
      </w:tr>
      <w:tr>
        <w:tc>
          <w:tcPr>
            <w:tcW w:type="dxa" w:w="960"/>
          </w:tcPr>
          <w:p>
            <w:pPr/>
            <w:r>
              <w:rPr>
                <w:sz w:val="18"/>
              </w:rPr>
              <w:t>**CME** (Legacy SPAN)</w:t>
            </w:r>
          </w:p>
        </w:tc>
        <w:tc>
          <w:tcPr>
            <w:tcW w:type="dxa" w:w="960"/>
          </w:tcPr>
          <w:p>
            <w:pPr/>
            <w:r>
              <w:rPr>
                <w:sz w:val="18"/>
              </w:rPr>
              <w:t>16 parametric scenarios</w:t>
            </w:r>
          </w:p>
        </w:tc>
        <w:tc>
          <w:tcPr>
            <w:tcW w:type="dxa" w:w="960"/>
          </w:tcPr>
          <w:p>
            <w:pPr/>
            <w:r>
              <w:rPr>
                <w:sz w:val="18"/>
              </w:rPr>
              <w:t>Worst-case loss</w:t>
            </w:r>
          </w:p>
        </w:tc>
        <w:tc>
          <w:tcPr>
            <w:tcW w:type="dxa" w:w="960"/>
          </w:tcPr>
          <w:p>
            <w:pPr/>
            <w:r>
              <w:rPr>
                <w:sz w:val="18"/>
              </w:rPr>
              <w:t>~99%</w:t>
            </w:r>
          </w:p>
        </w:tc>
        <w:tc>
          <w:tcPr>
            <w:tcW w:type="dxa" w:w="960"/>
          </w:tcPr>
          <w:p>
            <w:pPr/>
            <w:r>
              <w:rPr>
                <w:sz w:val="18"/>
              </w:rPr>
              <w:t>Static parameter updates</w:t>
            </w:r>
          </w:p>
        </w:tc>
        <w:tc>
          <w:tcPr>
            <w:tcW w:type="dxa" w:w="960"/>
          </w:tcPr>
          <w:p>
            <w:pPr/>
            <w:r>
              <w:rPr>
                <w:sz w:val="18"/>
              </w:rPr>
              <w:t>1 day</w:t>
            </w:r>
          </w:p>
        </w:tc>
        <w:tc>
          <w:tcPr>
            <w:tcW w:type="dxa" w:w="960"/>
          </w:tcPr>
          <w:p>
            <w:pPr/>
            <w:r>
              <w:rPr>
                <w:sz w:val="18"/>
              </w:rPr>
              <w:t>5 days (OTC IRS)</w:t>
            </w:r>
          </w:p>
        </w:tc>
        <w:tc>
          <w:tcPr>
            <w:tcW w:type="dxa" w:w="960"/>
          </w:tcPr>
          <w:p>
            <w:pPr/>
            <w:r>
              <w:rPr>
                <w:sz w:val="18"/>
              </w:rPr>
              <w:t>APC measures</w:t>
            </w:r>
          </w:p>
        </w:tc>
        <w:tc>
          <w:tcPr>
            <w:tcW w:type="dxa" w:w="960"/>
          </w:tcPr>
          <w:p>
            <w:pPr/>
            <w:r>
              <w:rPr>
                <w:sz w:val="18"/>
              </w:rPr>
              <w:t>Cross-margin with OCC and FICC</w:t>
            </w:r>
          </w:p>
        </w:tc>
      </w:tr>
      <w:tr>
        <w:tc>
          <w:tcPr>
            <w:tcW w:type="dxa" w:w="960"/>
          </w:tcPr>
          <w:p>
            <w:pPr/>
            <w:r>
              <w:rPr>
                <w:sz w:val="18"/>
              </w:rPr>
              <w:t>**CME** (SPAN 2)</w:t>
            </w:r>
          </w:p>
        </w:tc>
        <w:tc>
          <w:tcPr>
            <w:tcW w:type="dxa" w:w="960"/>
          </w:tcPr>
          <w:p>
            <w:pPr/>
            <w:r>
              <w:rPr>
                <w:sz w:val="18"/>
              </w:rPr>
              <w:t>Historical VaR + ES</w:t>
            </w:r>
          </w:p>
        </w:tc>
        <w:tc>
          <w:tcPr>
            <w:tcW w:type="dxa" w:w="960"/>
          </w:tcPr>
          <w:p>
            <w:pPr/>
            <w:r>
              <w:rPr>
                <w:sz w:val="18"/>
              </w:rPr>
              <w:t>HVaR + ES</w:t>
            </w:r>
          </w:p>
        </w:tc>
        <w:tc>
          <w:tcPr>
            <w:tcW w:type="dxa" w:w="960"/>
          </w:tcPr>
          <w:p>
            <w:pPr/>
            <w:r>
              <w:rPr>
                <w:sz w:val="18"/>
              </w:rPr>
              <w:t>99.7%+ [unverified]</w:t>
            </w:r>
          </w:p>
        </w:tc>
        <w:tc>
          <w:tcPr>
            <w:tcW w:type="dxa" w:w="960"/>
          </w:tcPr>
          <w:p>
            <w:pPr/>
            <w:r>
              <w:rPr>
                <w:sz w:val="18"/>
              </w:rPr>
              <w:t>Historical data (dynamic)</w:t>
            </w:r>
          </w:p>
        </w:tc>
        <w:tc>
          <w:tcPr>
            <w:tcW w:type="dxa" w:w="960"/>
          </w:tcPr>
          <w:p>
            <w:pPr/>
            <w:r>
              <w:rPr>
                <w:sz w:val="18"/>
              </w:rPr>
              <w:t>1 day</w:t>
            </w:r>
          </w:p>
        </w:tc>
        <w:tc>
          <w:tcPr>
            <w:tcW w:type="dxa" w:w="960"/>
          </w:tcPr>
          <w:p>
            <w:pPr/>
            <w:r>
              <w:rPr>
                <w:sz w:val="18"/>
              </w:rPr>
              <w:t>5 days</w:t>
            </w:r>
          </w:p>
        </w:tc>
        <w:tc>
          <w:tcPr>
            <w:tcW w:type="dxa" w:w="960"/>
          </w:tcPr>
          <w:p>
            <w:pPr/>
            <w:r>
              <w:rPr>
                <w:sz w:val="18"/>
              </w:rPr>
              <w:t>Anti-procyclical features</w:t>
            </w:r>
          </w:p>
        </w:tc>
        <w:tc>
          <w:tcPr>
            <w:tcW w:type="dxa" w:w="960"/>
          </w:tcPr>
          <w:p>
            <w:pPr/>
            <w:r>
              <w:rPr>
                <w:sz w:val="18"/>
              </w:rPr>
              <w:t>Cross-margin with OCC and FICC</w:t>
            </w:r>
          </w:p>
        </w:tc>
      </w:tr>
      <w:tr>
        <w:tc>
          <w:tcPr>
            <w:tcW w:type="dxa" w:w="960"/>
          </w:tcPr>
          <w:p>
            <w:pPr/>
            <w:r>
              <w:rPr>
                <w:sz w:val="18"/>
              </w:rPr>
              <w:t>**Eurex** (Prisma)</w:t>
            </w:r>
          </w:p>
        </w:tc>
        <w:tc>
          <w:tcPr>
            <w:tcW w:type="dxa" w:w="960"/>
          </w:tcPr>
          <w:p>
            <w:pPr/>
            <w:r>
              <w:rPr>
                <w:sz w:val="18"/>
              </w:rPr>
              <w:t>Filtered Historical Simulation VaR</w:t>
            </w:r>
          </w:p>
        </w:tc>
        <w:tc>
          <w:tcPr>
            <w:tcW w:type="dxa" w:w="960"/>
          </w:tcPr>
          <w:p>
            <w:pPr/>
            <w:r>
              <w:rPr>
                <w:sz w:val="18"/>
              </w:rPr>
              <w:t>Max of FHS-VaR and stress-period VaR</w:t>
            </w:r>
          </w:p>
        </w:tc>
        <w:tc>
          <w:tcPr>
            <w:tcW w:type="dxa" w:w="960"/>
          </w:tcPr>
          <w:p>
            <w:pPr/>
            <w:r>
              <w:rPr>
                <w:sz w:val="18"/>
              </w:rPr>
              <w:t>99% (listed); 99.5% (OTC)</w:t>
            </w:r>
          </w:p>
        </w:tc>
        <w:tc>
          <w:tcPr>
            <w:tcW w:type="dxa" w:w="960"/>
          </w:tcPr>
          <w:p>
            <w:pPr/>
            <w:r>
              <w:rPr>
                <w:sz w:val="18"/>
              </w:rPr>
              <w:t>3 years (750 scenarios) + stress period (250 scenarios)</w:t>
            </w:r>
          </w:p>
        </w:tc>
        <w:tc>
          <w:tcPr>
            <w:tcW w:type="dxa" w:w="960"/>
          </w:tcPr>
          <w:p>
            <w:pPr/>
            <w:r>
              <w:rPr>
                <w:sz w:val="18"/>
              </w:rPr>
              <w:t>2-3 days</w:t>
            </w:r>
          </w:p>
        </w:tc>
        <w:tc>
          <w:tcPr>
            <w:tcW w:type="dxa" w:w="960"/>
          </w:tcPr>
          <w:p>
            <w:pPr/>
            <w:r>
              <w:rPr>
                <w:sz w:val="18"/>
              </w:rPr>
              <w:t>5 days</w:t>
            </w:r>
          </w:p>
        </w:tc>
        <w:tc>
          <w:tcPr>
            <w:tcW w:type="dxa" w:w="960"/>
          </w:tcPr>
          <w:p>
            <w:pPr/>
            <w:r>
              <w:rPr>
                <w:sz w:val="18"/>
              </w:rPr>
              <w:t>Stress period VaR floor; annual recalibration</w:t>
            </w:r>
          </w:p>
        </w:tc>
        <w:tc>
          <w:tcPr>
            <w:tcW w:type="dxa" w:w="960"/>
          </w:tcPr>
          <w:p>
            <w:pPr/>
            <w:r>
              <w:rPr>
                <w:sz w:val="18"/>
              </w:rPr>
              <w:t>Listed-OTC cross-margining within PFI01 (up to 70% savings)</w:t>
            </w:r>
          </w:p>
        </w:tc>
      </w:tr>
      <w:tr>
        <w:tc>
          <w:tcPr>
            <w:tcW w:type="dxa" w:w="960"/>
          </w:tcPr>
          <w:p>
            <w:pPr/>
            <w:r>
              <w:rPr>
                <w:sz w:val="18"/>
              </w:rPr>
              <w:t>**JSCC** (Listed)</w:t>
            </w:r>
          </w:p>
        </w:tc>
        <w:tc>
          <w:tcPr>
            <w:tcW w:type="dxa" w:w="960"/>
          </w:tcPr>
          <w:p>
            <w:pPr/>
            <w:r>
              <w:rPr>
                <w:sz w:val="18"/>
              </w:rPr>
              <w:t>Historical Simulation VaR + Alternative Simulation VaR</w:t>
            </w:r>
          </w:p>
        </w:tc>
        <w:tc>
          <w:tcPr>
            <w:tcW w:type="dxa" w:w="960"/>
          </w:tcPr>
          <w:p>
            <w:pPr/>
            <w:r>
              <w:rPr>
                <w:sz w:val="18"/>
              </w:rPr>
              <w:t>VaR</w:t>
            </w:r>
          </w:p>
        </w:tc>
        <w:tc>
          <w:tcPr>
            <w:tcW w:type="dxa" w:w="960"/>
          </w:tcPr>
          <w:p>
            <w:pPr/>
            <w:r>
              <w:rPr>
                <w:sz w:val="18"/>
              </w:rPr>
              <w:t>99%+</w:t>
            </w:r>
          </w:p>
        </w:tc>
        <w:tc>
          <w:tcPr>
            <w:tcW w:type="dxa" w:w="960"/>
          </w:tcPr>
          <w:p>
            <w:pPr/>
            <w:r>
              <w:rPr>
                <w:sz w:val="18"/>
              </w:rPr>
              <w:t>1,250+ data points</w:t>
            </w:r>
          </w:p>
        </w:tc>
        <w:tc>
          <w:tcPr>
            <w:tcW w:type="dxa" w:w="960"/>
          </w:tcPr>
          <w:p>
            <w:pPr/>
            <w:r>
              <w:rPr>
                <w:sz w:val="18"/>
              </w:rPr>
              <w:t>1-2 days</w:t>
            </w:r>
          </w:p>
        </w:tc>
        <w:tc>
          <w:tcPr>
            <w:tcW w:type="dxa" w:w="960"/>
          </w:tcPr>
          <w:p>
            <w:pPr/>
            <w:r>
              <w:rPr>
                <w:sz w:val="18"/>
              </w:rPr>
              <w:t>N/A</w:t>
            </w:r>
          </w:p>
        </w:tc>
        <w:tc>
          <w:tcPr>
            <w:tcW w:type="dxa" w:w="960"/>
          </w:tcPr>
          <w:p>
            <w:pPr/>
            <w:r>
              <w:rPr>
                <w:sz w:val="18"/>
              </w:rPr>
              <w:t>[data not available]</w:t>
            </w:r>
          </w:p>
        </w:tc>
        <w:tc>
          <w:tcPr>
            <w:tcW w:type="dxa" w:w="960"/>
          </w:tcPr>
          <w:p>
            <w:pPr/>
            <w:r>
              <w:rPr>
                <w:sz w:val="18"/>
              </w:rPr>
              <w:t>Cross-margin between IRS and listed derivatives (TONA futures, JGB futures)</w:t>
            </w:r>
          </w:p>
        </w:tc>
      </w:tr>
      <w:tr>
        <w:tc>
          <w:tcPr>
            <w:tcW w:type="dxa" w:w="960"/>
          </w:tcPr>
          <w:p>
            <w:pPr/>
            <w:r>
              <w:rPr>
                <w:sz w:val="18"/>
              </w:rPr>
              <w:t>**JSCC** (IRS)</w:t>
            </w:r>
          </w:p>
        </w:tc>
        <w:tc>
          <w:tcPr>
            <w:tcW w:type="dxa" w:w="960"/>
          </w:tcPr>
          <w:p>
            <w:pPr/>
            <w:r>
              <w:rPr>
                <w:sz w:val="18"/>
              </w:rPr>
              <w:t>Historical Simulation ES</w:t>
            </w:r>
          </w:p>
        </w:tc>
        <w:tc>
          <w:tcPr>
            <w:tcW w:type="dxa" w:w="960"/>
          </w:tcPr>
          <w:p>
            <w:pPr/>
            <w:r>
              <w:rPr>
                <w:sz w:val="18"/>
              </w:rPr>
              <w:t>Expected Shortfall</w:t>
            </w:r>
          </w:p>
        </w:tc>
        <w:tc>
          <w:tcPr>
            <w:tcW w:type="dxa" w:w="960"/>
          </w:tcPr>
          <w:p>
            <w:pPr/>
            <w:r>
              <w:rPr>
                <w:sz w:val="18"/>
              </w:rPr>
              <w:t>Average of worst 1%</w:t>
            </w:r>
          </w:p>
        </w:tc>
        <w:tc>
          <w:tcPr>
            <w:tcW w:type="dxa" w:w="960"/>
          </w:tcPr>
          <w:p>
            <w:pPr/>
            <w:r>
              <w:rPr>
                <w:sz w:val="18"/>
              </w:rPr>
              <w:t>1,250 business days</w:t>
            </w:r>
          </w:p>
        </w:tc>
        <w:tc>
          <w:tcPr>
            <w:tcW w:type="dxa" w:w="960"/>
          </w:tcPr>
          <w:p>
            <w:pPr/>
            <w:r>
              <w:rPr>
                <w:sz w:val="18"/>
              </w:rPr>
              <w:t>N/A</w:t>
            </w:r>
          </w:p>
        </w:tc>
        <w:tc>
          <w:tcPr>
            <w:tcW w:type="dxa" w:w="960"/>
          </w:tcPr>
          <w:p>
            <w:pPr/>
            <w:r>
              <w:rPr>
                <w:sz w:val="18"/>
              </w:rPr>
              <w:t>5 days (house); 7 days (client)</w:t>
            </w:r>
          </w:p>
        </w:tc>
        <w:tc>
          <w:tcPr>
            <w:tcW w:type="dxa" w:w="960"/>
          </w:tcPr>
          <w:p>
            <w:pPr/>
            <w:r>
              <w:rPr>
                <w:sz w:val="18"/>
              </w:rPr>
              <w:t>[data not available]</w:t>
            </w:r>
          </w:p>
        </w:tc>
        <w:tc>
          <w:tcPr>
            <w:tcW w:type="dxa" w:w="960"/>
          </w:tcPr>
          <w:p>
            <w:pPr/>
            <w:r>
              <w:rPr>
                <w:sz w:val="18"/>
              </w:rPr>
              <w:t>Cross-margin with listed derivatives</w:t>
            </w:r>
          </w:p>
        </w:tc>
      </w:tr>
      <w:tr>
        <w:tc>
          <w:tcPr>
            <w:tcW w:type="dxa" w:w="960"/>
          </w:tcPr>
          <w:p>
            <w:pPr/>
            <w:r>
              <w:rPr>
                <w:sz w:val="18"/>
              </w:rPr>
              <w:t>**HKSCC**</w:t>
            </w:r>
          </w:p>
        </w:tc>
        <w:tc>
          <w:tcPr>
            <w:tcW w:type="dxa" w:w="960"/>
          </w:tcPr>
          <w:p>
            <w:pPr/>
            <w:r>
              <w:rPr>
                <w:sz w:val="18"/>
              </w:rPr>
              <w:t>VaR-based portfolio margining (Tier P); flat-rate (Tier N)</w:t>
            </w:r>
          </w:p>
        </w:tc>
        <w:tc>
          <w:tcPr>
            <w:tcW w:type="dxa" w:w="960"/>
          </w:tcPr>
          <w:p>
            <w:pPr/>
            <w:r>
              <w:rPr>
                <w:sz w:val="18"/>
              </w:rPr>
              <w:t>VaR</w:t>
            </w:r>
          </w:p>
        </w:tc>
        <w:tc>
          <w:tcPr>
            <w:tcW w:type="dxa" w:w="960"/>
          </w:tcPr>
          <w:p>
            <w:pPr/>
            <w:r>
              <w:rPr>
                <w:sz w:val="18"/>
              </w:rPr>
              <w:t>[data not available]</w:t>
            </w:r>
          </w:p>
        </w:tc>
        <w:tc>
          <w:tcPr>
            <w:tcW w:type="dxa" w:w="960"/>
          </w:tcPr>
          <w:p>
            <w:pPr/>
            <w:r>
              <w:rPr>
                <w:sz w:val="18"/>
              </w:rPr>
              <w:t>[data not available]</w:t>
            </w:r>
          </w:p>
        </w:tc>
        <w:tc>
          <w:tcPr>
            <w:tcW w:type="dxa" w:w="960"/>
          </w:tcPr>
          <w:p>
            <w:pPr/>
            <w:r>
              <w:rPr>
                <w:sz w:val="18"/>
              </w:rPr>
              <w:t>Settlement exposure (T+2)</w:t>
            </w:r>
          </w:p>
        </w:tc>
        <w:tc>
          <w:tcPr>
            <w:tcW w:type="dxa" w:w="960"/>
          </w:tcPr>
          <w:p>
            <w:pPr/>
            <w:r>
              <w:rPr>
                <w:sz w:val="18"/>
              </w:rPr>
              <w:t>N/A</w:t>
            </w:r>
          </w:p>
        </w:tc>
        <w:tc>
          <w:tcPr>
            <w:tcW w:type="dxa" w:w="960"/>
          </w:tcPr>
          <w:p>
            <w:pPr/>
            <w:r>
              <w:rPr>
                <w:sz w:val="18"/>
              </w:rPr>
              <w:t>[data not available]</w:t>
            </w:r>
          </w:p>
        </w:tc>
        <w:tc>
          <w:tcPr>
            <w:tcW w:type="dxa" w:w="960"/>
          </w:tcPr>
          <w:p>
            <w:pPr/>
            <w:r>
              <w:rPr>
                <w:sz w:val="18"/>
              </w:rPr>
              <w:t>No</w:t>
            </w:r>
          </w:p>
        </w:tc>
      </w:tr>
      <w:tr>
        <w:tc>
          <w:tcPr>
            <w:tcW w:type="dxa" w:w="960"/>
          </w:tcPr>
          <w:p>
            <w:pPr/>
            <w:r>
              <w:rPr>
                <w:sz w:val="18"/>
              </w:rPr>
              <w:t>**HKCC/SEOCH**</w:t>
            </w:r>
          </w:p>
        </w:tc>
        <w:tc>
          <w:tcPr>
            <w:tcW w:type="dxa" w:w="960"/>
          </w:tcPr>
          <w:p>
            <w:pPr/>
            <w:r>
              <w:rPr>
                <w:sz w:val="18"/>
              </w:rPr>
              <w:t>PRiME (SPAN 1-compatible; 16 scenarios)</w:t>
            </w:r>
          </w:p>
        </w:tc>
        <w:tc>
          <w:tcPr>
            <w:tcW w:type="dxa" w:w="960"/>
          </w:tcPr>
          <w:p>
            <w:pPr/>
            <w:r>
              <w:rPr>
                <w:sz w:val="18"/>
              </w:rPr>
              <w:t>Worst-case loss</w:t>
            </w:r>
          </w:p>
        </w:tc>
        <w:tc>
          <w:tcPr>
            <w:tcW w:type="dxa" w:w="960"/>
          </w:tcPr>
          <w:p>
            <w:pPr/>
            <w:r>
              <w:rPr>
                <w:sz w:val="18"/>
              </w:rPr>
              <w:t>Calibrated</w:t>
            </w:r>
          </w:p>
        </w:tc>
        <w:tc>
          <w:tcPr>
            <w:tcW w:type="dxa" w:w="960"/>
          </w:tcPr>
          <w:p>
            <w:pPr/>
            <w:r>
              <w:rPr>
                <w:sz w:val="18"/>
              </w:rPr>
              <w:t>[data not available]</w:t>
            </w:r>
          </w:p>
        </w:tc>
        <w:tc>
          <w:tcPr>
            <w:tcW w:type="dxa" w:w="960"/>
          </w:tcPr>
          <w:p>
            <w:pPr/>
            <w:r>
              <w:rPr>
                <w:sz w:val="18"/>
              </w:rPr>
              <w:t>1 day</w:t>
            </w:r>
          </w:p>
        </w:tc>
        <w:tc>
          <w:tcPr>
            <w:tcW w:type="dxa" w:w="960"/>
          </w:tcPr>
          <w:p>
            <w:pPr/>
            <w:r>
              <w:rPr>
                <w:sz w:val="18"/>
              </w:rPr>
              <w:t>N/A</w:t>
            </w:r>
          </w:p>
        </w:tc>
        <w:tc>
          <w:tcPr>
            <w:tcW w:type="dxa" w:w="960"/>
          </w:tcPr>
          <w:p>
            <w:pPr/>
            <w:r>
              <w:rPr>
                <w:sz w:val="18"/>
              </w:rPr>
              <w:t>[data not available]</w:t>
            </w:r>
          </w:p>
        </w:tc>
        <w:tc>
          <w:tcPr>
            <w:tcW w:type="dxa" w:w="960"/>
          </w:tcPr>
          <w:p>
            <w:pPr/>
            <w:r>
              <w:rPr>
                <w:sz w:val="18"/>
              </w:rPr>
              <w:t>No</w:t>
            </w:r>
          </w:p>
        </w:tc>
      </w:tr>
      <w:tr>
        <w:tc>
          <w:tcPr>
            <w:tcW w:type="dxa" w:w="960"/>
          </w:tcPr>
          <w:p>
            <w:pPr/>
            <w:r>
              <w:rPr>
                <w:sz w:val="18"/>
              </w:rPr>
              <w:t>**CDP**</w:t>
            </w:r>
          </w:p>
        </w:tc>
        <w:tc>
          <w:tcPr>
            <w:tcW w:type="dxa" w:w="960"/>
          </w:tcPr>
          <w:p>
            <w:pPr/>
            <w:r>
              <w:rPr>
                <w:sz w:val="18"/>
              </w:rPr>
              <w:t>Risk-based VaR</w:t>
            </w:r>
          </w:p>
        </w:tc>
        <w:tc>
          <w:tcPr>
            <w:tcW w:type="dxa" w:w="960"/>
          </w:tcPr>
          <w:p>
            <w:pPr/>
            <w:r>
              <w:rPr>
                <w:sz w:val="18"/>
              </w:rPr>
              <w:t>VaR</w:t>
            </w:r>
          </w:p>
        </w:tc>
        <w:tc>
          <w:tcPr>
            <w:tcW w:type="dxa" w:w="960"/>
          </w:tcPr>
          <w:p>
            <w:pPr/>
            <w:r>
              <w:rPr>
                <w:sz w:val="18"/>
              </w:rPr>
              <w:t>99%</w:t>
            </w:r>
          </w:p>
        </w:tc>
        <w:tc>
          <w:tcPr>
            <w:tcW w:type="dxa" w:w="960"/>
          </w:tcPr>
          <w:p>
            <w:pPr/>
            <w:r>
              <w:rPr>
                <w:sz w:val="18"/>
              </w:rPr>
              <w:t>[data not available]</w:t>
            </w:r>
          </w:p>
        </w:tc>
        <w:tc>
          <w:tcPr>
            <w:tcW w:type="dxa" w:w="960"/>
          </w:tcPr>
          <w:p>
            <w:pPr/>
            <w:r>
              <w:rPr>
                <w:sz w:val="18"/>
              </w:rPr>
              <w:t>1-5 days</w:t>
            </w:r>
          </w:p>
        </w:tc>
        <w:tc>
          <w:tcPr>
            <w:tcW w:type="dxa" w:w="960"/>
          </w:tcPr>
          <w:p>
            <w:pPr/>
            <w:r>
              <w:rPr>
                <w:sz w:val="18"/>
              </w:rPr>
              <w:t>N/A</w:t>
            </w:r>
          </w:p>
        </w:tc>
        <w:tc>
          <w:tcPr>
            <w:tcW w:type="dxa" w:w="960"/>
          </w:tcPr>
          <w:p>
            <w:pPr/>
            <w:r>
              <w:rPr>
                <w:sz w:val="18"/>
              </w:rPr>
              <w:t>[data not available]</w:t>
            </w:r>
          </w:p>
        </w:tc>
        <w:tc>
          <w:tcPr>
            <w:tcW w:type="dxa" w:w="960"/>
          </w:tcPr>
          <w:p>
            <w:pPr/>
            <w:r>
              <w:rPr>
                <w:sz w:val="18"/>
              </w:rPr>
              <w:t>No</w:t>
            </w:r>
          </w:p>
        </w:tc>
      </w:tr>
      <w:tr>
        <w:tc>
          <w:tcPr>
            <w:tcW w:type="dxa" w:w="960"/>
          </w:tcPr>
          <w:p>
            <w:pPr/>
            <w:r>
              <w:rPr>
                <w:sz w:val="18"/>
              </w:rPr>
              <w:t>**Cboe Clear Europe**</w:t>
            </w:r>
          </w:p>
        </w:tc>
        <w:tc>
          <w:tcPr>
            <w:tcW w:type="dxa" w:w="960"/>
          </w:tcPr>
          <w:p>
            <w:pPr/>
            <w:r>
              <w:rPr>
                <w:sz w:val="18"/>
              </w:rPr>
              <w:t>Historical simulation CVaR</w:t>
            </w:r>
          </w:p>
        </w:tc>
        <w:tc>
          <w:tcPr>
            <w:tcW w:type="dxa" w:w="960"/>
          </w:tcPr>
          <w:p>
            <w:pPr/>
            <w:r>
              <w:rPr>
                <w:sz w:val="18"/>
              </w:rPr>
              <w:t>CVaR</w:t>
            </w:r>
          </w:p>
        </w:tc>
        <w:tc>
          <w:tcPr>
            <w:tcW w:type="dxa" w:w="960"/>
          </w:tcPr>
          <w:p>
            <w:pPr/>
            <w:r>
              <w:rPr>
                <w:sz w:val="18"/>
              </w:rPr>
              <w:t>99%</w:t>
            </w:r>
          </w:p>
        </w:tc>
        <w:tc>
          <w:tcPr>
            <w:tcW w:type="dxa" w:w="960"/>
          </w:tcPr>
          <w:p>
            <w:pPr/>
            <w:r>
              <w:rPr>
                <w:sz w:val="18"/>
              </w:rPr>
              <w:t>700 scenarios (~2.8 years)</w:t>
            </w:r>
          </w:p>
        </w:tc>
        <w:tc>
          <w:tcPr>
            <w:tcW w:type="dxa" w:w="960"/>
          </w:tcPr>
          <w:p>
            <w:pPr/>
            <w:r>
              <w:rPr>
                <w:sz w:val="18"/>
              </w:rPr>
              <w:t>2 days</w:t>
            </w:r>
          </w:p>
        </w:tc>
        <w:tc>
          <w:tcPr>
            <w:tcW w:type="dxa" w:w="960"/>
          </w:tcPr>
          <w:p>
            <w:pPr/>
            <w:r>
              <w:rPr>
                <w:sz w:val="18"/>
              </w:rPr>
              <w:t>N/A</w:t>
            </w:r>
          </w:p>
        </w:tc>
        <w:tc>
          <w:tcPr>
            <w:tcW w:type="dxa" w:w="960"/>
          </w:tcPr>
          <w:p>
            <w:pPr/>
            <w:r>
              <w:rPr>
                <w:sz w:val="18"/>
              </w:rPr>
              <w:t>Stressed Historical Simulation (StressHS)</w:t>
            </w:r>
          </w:p>
        </w:tc>
        <w:tc>
          <w:tcPr>
            <w:tcW w:type="dxa" w:w="960"/>
          </w:tcPr>
          <w:p>
            <w:pPr/>
            <w:r>
              <w:rPr>
                <w:sz w:val="18"/>
              </w:rPr>
              <w:t>Cross-product margining (equities, derivatives, SFT)</w:t>
            </w:r>
          </w:p>
        </w:tc>
      </w:tr>
      <w:tr>
        <w:tc>
          <w:tcPr>
            <w:tcW w:type="dxa" w:w="960"/>
          </w:tcPr>
          <w:p>
            <w:pPr/>
            <w:r>
              <w:rPr>
                <w:sz w:val="18"/>
              </w:rPr>
              <w:t>**ICE** (IRM 1)</w:t>
            </w:r>
          </w:p>
        </w:tc>
        <w:tc>
          <w:tcPr>
            <w:tcW w:type="dxa" w:w="960"/>
          </w:tcPr>
          <w:p>
            <w:pPr/>
            <w:r>
              <w:rPr>
                <w:sz w:val="18"/>
              </w:rPr>
              <w:t>Scenario-based (SPAN-like)</w:t>
            </w:r>
          </w:p>
        </w:tc>
        <w:tc>
          <w:tcPr>
            <w:tcW w:type="dxa" w:w="960"/>
          </w:tcPr>
          <w:p>
            <w:pPr/>
            <w:r>
              <w:rPr>
                <w:sz w:val="18"/>
              </w:rPr>
              <w:t>Worst-case loss</w:t>
            </w:r>
          </w:p>
        </w:tc>
        <w:tc>
          <w:tcPr>
            <w:tcW w:type="dxa" w:w="960"/>
          </w:tcPr>
          <w:p>
            <w:pPr/>
            <w:r>
              <w:rPr>
                <w:sz w:val="18"/>
              </w:rPr>
              <w:t>[data not available]</w:t>
            </w:r>
          </w:p>
        </w:tc>
        <w:tc>
          <w:tcPr>
            <w:tcW w:type="dxa" w:w="960"/>
          </w:tcPr>
          <w:p>
            <w:pPr/>
            <w:r>
              <w:rPr>
                <w:sz w:val="18"/>
              </w:rPr>
              <w:t>Static parameters</w:t>
            </w:r>
          </w:p>
        </w:tc>
        <w:tc>
          <w:tcPr>
            <w:tcW w:type="dxa" w:w="960"/>
          </w:tcPr>
          <w:p>
            <w:pPr/>
            <w:r>
              <w:rPr>
                <w:sz w:val="18"/>
              </w:rPr>
              <w:t>1 day</w:t>
            </w:r>
          </w:p>
        </w:tc>
        <w:tc>
          <w:tcPr>
            <w:tcW w:type="dxa" w:w="960"/>
          </w:tcPr>
          <w:p>
            <w:pPr/>
            <w:r>
              <w:rPr>
                <w:sz w:val="18"/>
              </w:rPr>
              <w:t>N/A</w:t>
            </w:r>
          </w:p>
        </w:tc>
        <w:tc>
          <w:tcPr>
            <w:tcW w:type="dxa" w:w="960"/>
          </w:tcPr>
          <w:p>
            <w:pPr/>
            <w:r>
              <w:rPr>
                <w:sz w:val="18"/>
              </w:rPr>
              <w:t>Limited</w:t>
            </w:r>
          </w:p>
        </w:tc>
        <w:tc>
          <w:tcPr>
            <w:tcW w:type="dxa" w:w="960"/>
          </w:tcPr>
          <w:p>
            <w:pPr/>
            <w:r>
              <w:rPr>
                <w:sz w:val="18"/>
              </w:rPr>
              <w:t>Within product segments</w:t>
            </w:r>
          </w:p>
        </w:tc>
      </w:tr>
      <w:tr>
        <w:tc>
          <w:tcPr>
            <w:tcW w:type="dxa" w:w="960"/>
          </w:tcPr>
          <w:p>
            <w:pPr/>
            <w:r>
              <w:rPr>
                <w:sz w:val="18"/>
              </w:rPr>
              <w:t>**ICE** (IRM 2)</w:t>
            </w:r>
          </w:p>
        </w:tc>
        <w:tc>
          <w:tcPr>
            <w:tcW w:type="dxa" w:w="960"/>
          </w:tcPr>
          <w:p>
            <w:pPr/>
            <w:r>
              <w:rPr>
                <w:sz w:val="18"/>
              </w:rPr>
              <w:t>Filtered Historical Simulation VaR</w:t>
            </w:r>
          </w:p>
        </w:tc>
        <w:tc>
          <w:tcPr>
            <w:tcW w:type="dxa" w:w="960"/>
          </w:tcPr>
          <w:p>
            <w:pPr/>
            <w:r>
              <w:rPr>
                <w:sz w:val="18"/>
              </w:rPr>
              <w:t>FHS-VaR</w:t>
            </w:r>
          </w:p>
        </w:tc>
        <w:tc>
          <w:tcPr>
            <w:tcW w:type="dxa" w:w="960"/>
          </w:tcPr>
          <w:p>
            <w:pPr/>
            <w:r>
              <w:rPr>
                <w:sz w:val="18"/>
              </w:rPr>
              <w:t>[data not available]</w:t>
            </w:r>
          </w:p>
        </w:tc>
        <w:tc>
          <w:tcPr>
            <w:tcW w:type="dxa" w:w="960"/>
          </w:tcPr>
          <w:p>
            <w:pPr/>
            <w:r>
              <w:rPr>
                <w:sz w:val="18"/>
              </w:rPr>
              <w:t>Historical data (dynamic)</w:t>
            </w:r>
          </w:p>
        </w:tc>
        <w:tc>
          <w:tcPr>
            <w:tcW w:type="dxa" w:w="960"/>
          </w:tcPr>
          <w:p>
            <w:pPr/>
            <w:r>
              <w:rPr>
                <w:sz w:val="18"/>
              </w:rPr>
              <w:t>1 day</w:t>
            </w:r>
          </w:p>
        </w:tc>
        <w:tc>
          <w:tcPr>
            <w:tcW w:type="dxa" w:w="960"/>
          </w:tcPr>
          <w:p>
            <w:pPr/>
            <w:r>
              <w:rPr>
                <w:sz w:val="18"/>
              </w:rPr>
              <w:t>N/A</w:t>
            </w:r>
          </w:p>
        </w:tc>
        <w:tc>
          <w:tcPr>
            <w:tcW w:type="dxa" w:w="960"/>
          </w:tcPr>
          <w:p>
            <w:pPr/>
            <w:r>
              <w:rPr>
                <w:sz w:val="18"/>
              </w:rPr>
              <w:t>Built-in anti-procyclical features</w:t>
            </w:r>
          </w:p>
        </w:tc>
        <w:tc>
          <w:tcPr>
            <w:tcW w:type="dxa" w:w="960"/>
          </w:tcPr>
          <w:p>
            <w:pPr/>
            <w:r>
              <w:rPr>
                <w:sz w:val="18"/>
              </w:rPr>
              <w:t>Portfolio-level</w:t>
            </w:r>
          </w:p>
        </w:tc>
      </w:tr>
      <w:tr>
        <w:tc>
          <w:tcPr>
            <w:tcW w:type="dxa" w:w="960"/>
          </w:tcPr>
          <w:p>
            <w:pPr/>
            <w:r>
              <w:rPr>
                <w:sz w:val="18"/>
              </w:rPr>
              <w:t>**ASX Clear** (Cash)</w:t>
            </w:r>
          </w:p>
        </w:tc>
        <w:tc>
          <w:tcPr>
            <w:tcW w:type="dxa" w:w="960"/>
          </w:tcPr>
          <w:p>
            <w:pPr/>
            <w:r>
              <w:rPr>
                <w:sz w:val="18"/>
              </w:rPr>
              <w:t>Filtered Historical Simulation VaR</w:t>
            </w:r>
          </w:p>
        </w:tc>
        <w:tc>
          <w:tcPr>
            <w:tcW w:type="dxa" w:w="960"/>
          </w:tcPr>
          <w:p>
            <w:pPr/>
            <w:r>
              <w:rPr>
                <w:sz w:val="18"/>
              </w:rPr>
              <w:t>FHSVaR</w:t>
            </w:r>
          </w:p>
        </w:tc>
        <w:tc>
          <w:tcPr>
            <w:tcW w:type="dxa" w:w="960"/>
          </w:tcPr>
          <w:p>
            <w:pPr/>
            <w:r>
              <w:rPr>
                <w:sz w:val="18"/>
              </w:rPr>
              <w:t>High confidence</w:t>
            </w:r>
          </w:p>
        </w:tc>
        <w:tc>
          <w:tcPr>
            <w:tcW w:type="dxa" w:w="960"/>
          </w:tcPr>
          <w:p>
            <w:pPr/>
            <w:r>
              <w:rPr>
                <w:sz w:val="18"/>
              </w:rPr>
              <w:t>Historical data</w:t>
            </w:r>
          </w:p>
        </w:tc>
        <w:tc>
          <w:tcPr>
            <w:tcW w:type="dxa" w:w="960"/>
          </w:tcPr>
          <w:p>
            <w:pPr/>
            <w:r>
              <w:rPr>
                <w:sz w:val="18"/>
              </w:rPr>
              <w:t>Settlement exposure</w:t>
            </w:r>
          </w:p>
        </w:tc>
        <w:tc>
          <w:tcPr>
            <w:tcW w:type="dxa" w:w="960"/>
          </w:tcPr>
          <w:p>
            <w:pPr/>
            <w:r>
              <w:rPr>
                <w:sz w:val="18"/>
              </w:rPr>
              <w:t>N/A</w:t>
            </w:r>
          </w:p>
        </w:tc>
        <w:tc>
          <w:tcPr>
            <w:tcW w:type="dxa" w:w="960"/>
          </w:tcPr>
          <w:p>
            <w:pPr/>
            <w:r>
              <w:rPr>
                <w:sz w:val="18"/>
              </w:rPr>
              <w:t>[data not available]</w:t>
            </w:r>
          </w:p>
        </w:tc>
        <w:tc>
          <w:tcPr>
            <w:tcW w:type="dxa" w:w="960"/>
          </w:tcPr>
          <w:p>
            <w:pPr/>
            <w:r>
              <w:rPr>
                <w:sz w:val="18"/>
              </w:rPr>
              <w:t>No</w:t>
            </w:r>
          </w:p>
        </w:tc>
      </w:tr>
      <w:tr>
        <w:tc>
          <w:tcPr>
            <w:tcW w:type="dxa" w:w="960"/>
          </w:tcPr>
          <w:p>
            <w:pPr/>
            <w:r>
              <w:rPr>
                <w:sz w:val="18"/>
              </w:rPr>
              <w:t>**ASX Clear (Futures)**</w:t>
            </w:r>
          </w:p>
        </w:tc>
        <w:tc>
          <w:tcPr>
            <w:tcW w:type="dxa" w:w="960"/>
          </w:tcPr>
          <w:p>
            <w:pPr/>
            <w:r>
              <w:rPr>
                <w:sz w:val="18"/>
              </w:rPr>
              <w:t>CME SPAN</w:t>
            </w:r>
          </w:p>
        </w:tc>
        <w:tc>
          <w:tcPr>
            <w:tcW w:type="dxa" w:w="960"/>
          </w:tcPr>
          <w:p>
            <w:pPr/>
            <w:r>
              <w:rPr>
                <w:sz w:val="18"/>
              </w:rPr>
              <w:t>Worst-case loss</w:t>
            </w:r>
          </w:p>
        </w:tc>
        <w:tc>
          <w:tcPr>
            <w:tcW w:type="dxa" w:w="960"/>
          </w:tcPr>
          <w:p>
            <w:pPr/>
            <w:r>
              <w:rPr>
                <w:sz w:val="18"/>
              </w:rPr>
              <w:t>3 std dev of 60-day distribution</w:t>
            </w:r>
          </w:p>
        </w:tc>
        <w:tc>
          <w:tcPr>
            <w:tcW w:type="dxa" w:w="960"/>
          </w:tcPr>
          <w:p>
            <w:pPr/>
            <w:r>
              <w:rPr>
                <w:sz w:val="18"/>
              </w:rPr>
              <w:t>Multiple lookback periods (7d, 120d, 12m)</w:t>
            </w:r>
          </w:p>
        </w:tc>
        <w:tc>
          <w:tcPr>
            <w:tcW w:type="dxa" w:w="960"/>
          </w:tcPr>
          <w:p>
            <w:pPr/>
            <w:r>
              <w:rPr>
                <w:sz w:val="18"/>
              </w:rPr>
              <w:t>1 day</w:t>
            </w:r>
          </w:p>
        </w:tc>
        <w:tc>
          <w:tcPr>
            <w:tcW w:type="dxa" w:w="960"/>
          </w:tcPr>
          <w:p>
            <w:pPr/>
            <w:r>
              <w:rPr>
                <w:sz w:val="18"/>
              </w:rPr>
              <w:t>5 days (OTC)</w:t>
            </w:r>
          </w:p>
        </w:tc>
        <w:tc>
          <w:tcPr>
            <w:tcW w:type="dxa" w:w="960"/>
          </w:tcPr>
          <w:p>
            <w:pPr/>
            <w:r>
              <w:rPr>
                <w:sz w:val="18"/>
              </w:rPr>
              <w:t>[data not available]</w:t>
            </w:r>
          </w:p>
        </w:tc>
        <w:tc>
          <w:tcPr>
            <w:tcW w:type="dxa" w:w="960"/>
          </w:tcPr>
          <w:p>
            <w:pPr/>
            <w:r>
              <w:rPr>
                <w:sz w:val="18"/>
              </w:rPr>
              <w:t>Within SPAN product groups</w:t>
            </w:r>
          </w:p>
        </w:tc>
      </w:tr>
      <w:tr>
        <w:tc>
          <w:tcPr>
            <w:tcW w:type="dxa" w:w="960"/>
          </w:tcPr>
          <w:p>
            <w:pPr/>
            <w:r>
              <w:rPr>
                <w:sz w:val="18"/>
              </w:rPr>
              <w:t>**KRX**</w:t>
            </w:r>
          </w:p>
        </w:tc>
        <w:tc>
          <w:tcPr>
            <w:tcW w:type="dxa" w:w="960"/>
          </w:tcPr>
          <w:p>
            <w:pPr/>
            <w:r>
              <w:rPr>
                <w:sz w:val="18"/>
              </w:rPr>
              <w:t>KRX-SPAN (modified SPAN)</w:t>
            </w:r>
          </w:p>
        </w:tc>
        <w:tc>
          <w:tcPr>
            <w:tcW w:type="dxa" w:w="960"/>
          </w:tcPr>
          <w:p>
            <w:pPr/>
            <w:r>
              <w:rPr>
                <w:sz w:val="18"/>
              </w:rPr>
              <w:t>Worst-case loss</w:t>
            </w:r>
          </w:p>
        </w:tc>
        <w:tc>
          <w:tcPr>
            <w:tcW w:type="dxa" w:w="960"/>
          </w:tcPr>
          <w:p>
            <w:pPr/>
            <w:r>
              <w:rPr>
                <w:sz w:val="18"/>
              </w:rPr>
              <w:t>Not disclosed</w:t>
            </w:r>
          </w:p>
        </w:tc>
        <w:tc>
          <w:tcPr>
            <w:tcW w:type="dxa" w:w="960"/>
          </w:tcPr>
          <w:p>
            <w:pPr/>
            <w:r>
              <w:rPr>
                <w:sz w:val="18"/>
              </w:rPr>
              <w:t>Historical data</w:t>
            </w:r>
          </w:p>
        </w:tc>
        <w:tc>
          <w:tcPr>
            <w:tcW w:type="dxa" w:w="960"/>
          </w:tcPr>
          <w:p>
            <w:pPr/>
            <w:r>
              <w:rPr>
                <w:sz w:val="18"/>
              </w:rPr>
              <w:t>1 day</w:t>
            </w:r>
          </w:p>
        </w:tc>
        <w:tc>
          <w:tcPr>
            <w:tcW w:type="dxa" w:w="960"/>
          </w:tcPr>
          <w:p>
            <w:pPr/>
            <w:r>
              <w:rPr>
                <w:sz w:val="18"/>
              </w:rPr>
              <w:t>N/A</w:t>
            </w:r>
          </w:p>
        </w:tc>
        <w:tc>
          <w:tcPr>
            <w:tcW w:type="dxa" w:w="960"/>
          </w:tcPr>
          <w:p>
            <w:pPr/>
            <w:r>
              <w:rPr>
                <w:sz w:val="18"/>
              </w:rPr>
              <w:t>Intraday margin at KOSPI 200 volatility ≥80%</w:t>
            </w:r>
          </w:p>
        </w:tc>
        <w:tc>
          <w:tcPr>
            <w:tcW w:type="dxa" w:w="960"/>
          </w:tcPr>
          <w:p>
            <w:pPr/>
            <w:r>
              <w:rPr>
                <w:sz w:val="18"/>
              </w:rPr>
              <w:t>Within KRX derivatives</w:t>
            </w:r>
          </w:p>
        </w:tc>
      </w:tr>
    </w:tbl>
    <w:p/>
    <w:p>
      <w:pPr>
        <w:pStyle w:val="Heading3"/>
      </w:pPr>
      <w:r>
        <w:t>2.2 Methodology Deep-Dive</w:t>
      </w:r>
    </w:p>
    <w:p>
      <w:r>
        <w:t>SPAN (CME Legacy / HKCC PRiME / ASX Clear (Futures))</w:t>
      </w:r>
    </w:p>
    <w:p>
      <w:pPr>
        <w:pStyle w:val="ListBullet"/>
      </w:pPr>
      <w:r>
        <w:t>Evaluates 16 hypothetical risk scenarios combining price and volatility shifts</w:t>
      </w:r>
    </w:p>
    <w:p>
      <w:pPr>
        <w:pStyle w:val="ListBullet"/>
      </w:pPr>
      <w:r>
        <w:t>Calculates worst-case loss within each combined commodity group</w:t>
      </w:r>
    </w:p>
    <w:p>
      <w:pPr>
        <w:pStyle w:val="ListBullet"/>
      </w:pPr>
      <w:r>
        <w:t>Adds intra-commodity spread charges and subtracts inter-commodity spread credits</w:t>
      </w:r>
    </w:p>
    <w:p>
      <w:pPr>
        <w:pStyle w:val="ListBullet"/>
      </w:pPr>
      <w:r>
        <w:t>Transparent and widely adopted (50+ exchanges globally), but limited by its parametric nature and inability to capture tail risk dynamically</w:t>
      </w:r>
    </w:p>
    <w:p>
      <w:pPr>
        <w:pStyle w:val="ListBullet"/>
      </w:pPr>
      <w:r>
        <w:t>Being replaced by SPAN 2 at CME; JSCC migrated away from SPAN to VaR in November 2023</w:t>
      </w:r>
    </w:p>
    <w:p>
      <w:r>
        <w:t>PRISMA / FHS (Eurex)</w:t>
      </w:r>
    </w:p>
    <w:p>
      <w:pPr>
        <w:pStyle w:val="ListBullet"/>
      </w:pPr>
      <w:r>
        <w:t>750 filtered historical scenarios + 250 stress period scenarios = 1,000 total</w:t>
      </w:r>
    </w:p>
    <w:p>
      <w:pPr>
        <w:pStyle w:val="ListBullet"/>
      </w:pPr>
      <w:r>
        <w:t>Volatility filtering ensures model reactivity to changing conditions</w:t>
      </w:r>
    </w:p>
    <w:p>
      <w:pPr>
        <w:pStyle w:val="ListBullet"/>
      </w:pPr>
      <w:r>
        <w:t>Forward-looking stress period VaR floor prevents margin erosion during calm periods</w:t>
      </w:r>
    </w:p>
    <w:p>
      <w:pPr>
        <w:pStyle w:val="ListBullet"/>
      </w:pPr>
      <w:r>
        <w:t>Cross-margining between listed fixed income (2-day HP) and OTC IRS (5-day HP) within PFI01 liquidation group -- unique feature delivering up to 70% margin savings</w:t>
      </w:r>
    </w:p>
    <w:p>
      <w:pPr>
        <w:pStyle w:val="ListBullet"/>
      </w:pPr>
      <w:r>
        <w:t>Annual margin floor recalibration (e.g., Prisma Release 15.0 effective June 2025)</w:t>
      </w:r>
    </w:p>
    <w:p>
      <w:r>
        <w:t>PAIRS (LCH)</w:t>
      </w:r>
    </w:p>
    <w:p>
      <w:pPr>
        <w:pStyle w:val="ListBullet"/>
      </w:pPr>
      <w:r>
        <w:t>Expected Shortfall (ES) at 99.7% confidence -- highest confidence level among major CCPs</w:t>
      </w:r>
    </w:p>
    <w:p>
      <w:pPr>
        <w:pStyle w:val="ListBullet"/>
      </w:pPr>
      <w:r>
        <w:t>10-year lookback with volatility scaling (EWMA-based) to reflect current conditions</w:t>
      </w:r>
    </w:p>
    <w:p>
      <w:pPr>
        <w:pStyle w:val="ListBullet"/>
      </w:pPr>
      <w:r>
        <w:t>Floor calibrated using unscaled 10-year lookback plus 2.5-year GFC window</w:t>
      </w:r>
    </w:p>
    <w:p>
      <w:pPr>
        <w:pStyle w:val="ListBullet"/>
      </w:pPr>
      <w:r>
        <w:t>Member MPOR of 5 days for SwapClear, 7 days for client clearing (additional 2 days for portfolio transfer)</w:t>
      </w:r>
    </w:p>
    <w:p>
      <w:pPr>
        <w:pStyle w:val="ListBullet"/>
      </w:pPr>
      <w:r>
        <w:t>Proven in managing the Lehman Brothers default (2008): used only 35% of Lehman's IM for a $9 trillion portfolio</w:t>
      </w:r>
    </w:p>
    <w:p>
      <w:r>
        <w:t>STANS (OCC)</w:t>
      </w:r>
    </w:p>
    <w:p>
      <w:pPr>
        <w:pStyle w:val="ListBullet"/>
      </w:pPr>
      <w:r>
        <w:t>World's first large-scale Monte Carlo-based margin methodology for derivatives clearing (2006)</w:t>
      </w:r>
    </w:p>
    <w:p>
      <w:pPr>
        <w:pStyle w:val="ListBullet"/>
      </w:pPr>
      <w:r>
        <w:t>99% Expected Shortfall with enhanced 99.5% ES for the two largest sub-portfolio exposures</w:t>
      </w:r>
    </w:p>
    <w:p>
      <w:pPr>
        <w:pStyle w:val="ListBullet"/>
      </w:pPr>
      <w:r>
        <w:t>2-day holding period (longer than CME's 1-day for comparable products)</w:t>
      </w:r>
    </w:p>
    <w:p>
      <w:pPr>
        <w:pStyle w:val="ListBullet"/>
      </w:pPr>
      <w:r>
        <w:t>Full portfolio margining capturing non-linearities, correlations, and tail risk</w:t>
      </w:r>
    </w:p>
    <w:p>
      <w:pPr>
        <w:pStyle w:val="ListBullet"/>
      </w:pPr>
      <w:r>
        <w:t>Being enhanced to address 0DTE option risks (Intraday Risk Charge approved April 2025)</w:t>
      </w:r>
    </w:p>
    <w:p>
      <w:r>
        <w:t>IRM 2 (ICE)</w:t>
      </w:r>
    </w:p>
    <w:p>
      <w:pPr>
        <w:pStyle w:val="ListBullet"/>
      </w:pPr>
      <w:r>
        <w:t>Next-generation Filtered Historical Simulation VaR replacing scenario-based IRM 1</w:t>
      </w:r>
    </w:p>
    <w:p>
      <w:pPr>
        <w:pStyle w:val="ListBullet"/>
      </w:pPr>
      <w:r>
        <w:t>Portfolio-level risk assessment capturing all relationships and diversifying effects</w:t>
      </w:r>
    </w:p>
    <w:p>
      <w:pPr>
        <w:pStyle w:val="ListBullet"/>
      </w:pPr>
      <w:r>
        <w:t>Built-in anti-procyclical features and seasonality adjustment</w:t>
      </w:r>
    </w:p>
    <w:p>
      <w:pPr>
        <w:pStyle w:val="ListBullet"/>
      </w:pPr>
      <w:r>
        <w:t>Phased rollout: live for ICE Clear U.S. equity index futures (Jan 2022), ICE Clear Europe freight and energy (Sep-Nov 2025), remaining products TBD</w:t>
      </w:r>
    </w:p>
    <w:p>
      <w:r>
        <w:t>VaR-based approaches (JSCC, HKSCC, CDP, Cboe Clear Europe)</w:t>
      </w:r>
    </w:p>
    <w:p>
      <w:pPr>
        <w:pStyle w:val="ListBullet"/>
      </w:pPr>
      <w:r>
        <w:t>JSCC migrated from SPAN to VaR (November 2023) using dual HS-VaR and AS-VaR methods, with 1,250+ data points -- a major modernization aligning with global trends</w:t>
      </w:r>
    </w:p>
    <w:p>
      <w:pPr>
        <w:pStyle w:val="ListBullet"/>
      </w:pPr>
      <w:r>
        <w:t>Cboe Clear Europe uses CVaR with 700 historical scenarios and real-time recalculation every 5 minutes</w:t>
      </w:r>
    </w:p>
    <w:p>
      <w:pPr>
        <w:pStyle w:val="ListBullet"/>
      </w:pPr>
      <w:r>
        <w:t>HKSCC uses VaR for large/mid-cap securities (Tier P) but flat-rate margins for smaller securities (Tier N)</w:t>
      </w:r>
    </w:p>
    <w:p>
      <w:pPr>
        <w:pStyle w:val="Heading3"/>
      </w:pPr>
      <w:r>
        <w:t>2.3 Key Observations</w:t>
      </w:r>
    </w:p>
    <w:p>
      <w:pPr>
        <w:pStyle w:val="ListNumber"/>
      </w:pPr>
      <w:r>
        <w:t>Global convergence toward VaR/ES models: SPAN is being phased out in favor of historical simulation VaR and Expected Shortfall approaches. CME (SPAN 2), JSCC (VaR), and ICE (IRM 2) have all migrated or are migrating away from parametric scenario-based methods.</w:t>
      </w:r>
    </w:p>
    <w:p>
      <w:pPr>
        <w:pStyle w:val="ListNumber"/>
      </w:pPr>
      <w:r>
        <w:t>LCH operates at the highest confidence level (99.7% ES with PAIRS), reflecting the systemic importance and complexity of OTC IRS clearing.</w:t>
      </w:r>
    </w:p>
    <w:p>
      <w:pPr>
        <w:pStyle w:val="ListNumber"/>
      </w:pPr>
      <w:r>
        <w:t>Eurex Prisma offers the most advanced cross-margining, enabling margin offsets between listed and OTC products within the same liquidation group -- a capability most other CCPs lack.</w:t>
      </w:r>
    </w:p>
    <w:p>
      <w:pPr>
        <w:pStyle w:val="ListNumber"/>
      </w:pPr>
      <w:r>
        <w:t>Holding periods vary significantly: 1 day (CME ETD, ICE ETD), 2 days (OCC, Eurex listed, Cboe Clear Europe), 3 days (NSCC), 5 days (OTC products at LCH, CME, Eurex, JSCC, ASX).</w:t>
      </w:r>
    </w:p>
    <w:p>
      <w:pPr>
        <w:pStyle w:val="ListNumber"/>
      </w:pPr>
      <w:r>
        <w:t>Anti-procyclicality measures are increasingly mandated: Eurex uses stress period VaR floors; Cboe Clear Europe uses Stressed Historical Simulation; CME SPAN 2 incorporates built-in anti-procyclical features. EMIR explicitly requires CCPs to implement anti-procyclicality tools.</w:t>
      </w:r>
    </w:p>
    <w:p>
      <w:r>
        <w:t>────────────────────────────────────────────────────────────</w:t>
      </w:r>
    </w:p>
    <w:p>
      <w:pPr>
        <w:pStyle w:val="Heading2"/>
      </w:pPr>
      <w:r>
        <w:t>3. Settlement Cycle Comparison</w:t>
      </w:r>
    </w:p>
    <w:p>
      <w:pPr>
        <w:pStyle w:val="Heading3"/>
      </w:pPr>
      <w:r>
        <w:t>3.1 Current Settlement Cycles by Region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Region/CCP</w:t>
            </w:r>
          </w:p>
        </w:tc>
        <w:tc>
          <w:tcPr>
            <w:tcW w:type="dxa" w:w="1728"/>
          </w:tcPr>
          <w:p>
            <w:pPr/>
            <w:r>
              <w:rPr>
                <w:b/>
                <w:sz w:val="18"/>
              </w:rPr>
              <w:t>Equities</w:t>
            </w:r>
          </w:p>
        </w:tc>
        <w:tc>
          <w:tcPr>
            <w:tcW w:type="dxa" w:w="1728"/>
          </w:tcPr>
          <w:p>
            <w:pPr/>
            <w:r>
              <w:rPr>
                <w:b/>
                <w:sz w:val="18"/>
              </w:rPr>
              <w:t>Government Bonds</w:t>
            </w:r>
          </w:p>
        </w:tc>
        <w:tc>
          <w:tcPr>
            <w:tcW w:type="dxa" w:w="1728"/>
          </w:tcPr>
          <w:p>
            <w:pPr/>
            <w:r>
              <w:rPr>
                <w:b/>
                <w:sz w:val="18"/>
              </w:rPr>
              <w:t>Derivatives (VM)</w:t>
            </w:r>
          </w:p>
        </w:tc>
        <w:tc>
          <w:tcPr>
            <w:tcW w:type="dxa" w:w="1728"/>
          </w:tcPr>
          <w:p>
            <w:pPr/>
            <w:r>
              <w:rPr>
                <w:b/>
                <w:sz w:val="18"/>
              </w:rPr>
              <w:t>OTC Derivatives</w:t>
            </w:r>
          </w:p>
        </w:tc>
      </w:tr>
      <w:tr>
        <w:tc>
          <w:tcPr>
            <w:tcW w:type="dxa" w:w="1728"/>
          </w:tcPr>
          <w:p>
            <w:pPr/>
            <w:r>
              <w:rPr>
                <w:sz w:val="18"/>
              </w:rPr>
              <w:t>**U.S.** (DTCC/NSCC)</w:t>
            </w:r>
          </w:p>
        </w:tc>
        <w:tc>
          <w:tcPr>
            <w:tcW w:type="dxa" w:w="1728"/>
          </w:tcPr>
          <w:p>
            <w:pPr/>
            <w:r>
              <w:rPr>
                <w:sz w:val="18"/>
              </w:rPr>
              <w:t>**T+1** (since May 28, 2024)</w:t>
            </w:r>
          </w:p>
        </w:tc>
        <w:tc>
          <w:tcPr>
            <w:tcW w:type="dxa" w:w="1728"/>
          </w:tcPr>
          <w:p>
            <w:pPr/>
            <w:r>
              <w:rPr>
                <w:sz w:val="18"/>
              </w:rPr>
              <w:t>T+1 (cash); T+0 (repos)</w:t>
            </w:r>
          </w:p>
        </w:tc>
        <w:tc>
          <w:tcPr>
            <w:tcW w:type="dxa" w:w="1728"/>
          </w:tcPr>
          <w:p>
            <w:pPr/>
            <w:r>
              <w:rPr>
                <w:sz w:val="18"/>
              </w:rPr>
              <w:t>Daily (T+0/T+1)</w:t>
            </w:r>
          </w:p>
        </w:tc>
        <w:tc>
          <w:tcPr>
            <w:tcW w:type="dxa" w:w="1728"/>
          </w:tcPr>
          <w:p>
            <w:pPr/>
            <w:r>
              <w:rPr>
                <w:sz w:val="18"/>
              </w:rPr>
              <w:t>Daily</w:t>
            </w:r>
          </w:p>
        </w:tc>
      </w:tr>
      <w:tr>
        <w:tc>
          <w:tcPr>
            <w:tcW w:type="dxa" w:w="1728"/>
          </w:tcPr>
          <w:p>
            <w:pPr/>
            <w:r>
              <w:rPr>
                <w:sz w:val="18"/>
              </w:rPr>
              <w:t>**U.S.** (OCC)</w:t>
            </w:r>
          </w:p>
        </w:tc>
        <w:tc>
          <w:tcPr>
            <w:tcW w:type="dxa" w:w="1728"/>
          </w:tcPr>
          <w:p>
            <w:pPr/>
            <w:r>
              <w:rPr>
                <w:sz w:val="18"/>
              </w:rPr>
              <w:t>T+1 (premium/exercise)</w:t>
            </w:r>
          </w:p>
        </w:tc>
        <w:tc>
          <w:tcPr>
            <w:tcW w:type="dxa" w:w="1728"/>
          </w:tcPr>
          <w:p>
            <w:pPr/>
            <w:r>
              <w:rPr>
                <w:sz w:val="18"/>
              </w:rPr>
              <w:t>N/A</w:t>
            </w:r>
          </w:p>
        </w:tc>
        <w:tc>
          <w:tcPr>
            <w:tcW w:type="dxa" w:w="1728"/>
          </w:tcPr>
          <w:p>
            <w:pPr/>
            <w:r>
              <w:rPr>
                <w:sz w:val="18"/>
              </w:rPr>
              <w:t>Daily</w:t>
            </w:r>
          </w:p>
        </w:tc>
        <w:tc>
          <w:tcPr>
            <w:tcW w:type="dxa" w:w="1728"/>
          </w:tcPr>
          <w:p>
            <w:pPr/>
            <w:r>
              <w:rPr>
                <w:sz w:val="18"/>
              </w:rPr>
              <w:t>N/A</w:t>
            </w:r>
          </w:p>
        </w:tc>
      </w:tr>
      <w:tr>
        <w:tc>
          <w:tcPr>
            <w:tcW w:type="dxa" w:w="1728"/>
          </w:tcPr>
          <w:p>
            <w:pPr/>
            <w:r>
              <w:rPr>
                <w:sz w:val="18"/>
              </w:rPr>
              <w:t>**EU** (Eurex/Clearstream)</w:t>
            </w:r>
          </w:p>
        </w:tc>
        <w:tc>
          <w:tcPr>
            <w:tcW w:type="dxa" w:w="1728"/>
          </w:tcPr>
          <w:p>
            <w:pPr/>
            <w:r>
              <w:rPr>
                <w:sz w:val="18"/>
              </w:rPr>
              <w:t>T+2 (CSDR standard)</w:t>
            </w:r>
          </w:p>
        </w:tc>
        <w:tc>
          <w:tcPr>
            <w:tcW w:type="dxa" w:w="1728"/>
          </w:tcPr>
          <w:p>
            <w:pPr/>
            <w:r>
              <w:rPr>
                <w:sz w:val="18"/>
              </w:rPr>
              <w:t>T+2</w:t>
            </w:r>
          </w:p>
        </w:tc>
        <w:tc>
          <w:tcPr>
            <w:tcW w:type="dxa" w:w="1728"/>
          </w:tcPr>
          <w:p>
            <w:pPr/>
            <w:r>
              <w:rPr>
                <w:sz w:val="18"/>
              </w:rPr>
              <w:t>Daily</w:t>
            </w:r>
          </w:p>
        </w:tc>
        <w:tc>
          <w:tcPr>
            <w:tcW w:type="dxa" w:w="1728"/>
          </w:tcPr>
          <w:p>
            <w:pPr/>
            <w:r>
              <w:rPr>
                <w:sz w:val="18"/>
              </w:rPr>
              <w:t>Daily</w:t>
            </w:r>
          </w:p>
        </w:tc>
      </w:tr>
      <w:tr>
        <w:tc>
          <w:tcPr>
            <w:tcW w:type="dxa" w:w="1728"/>
          </w:tcPr>
          <w:p>
            <w:pPr/>
            <w:r>
              <w:rPr>
                <w:sz w:val="18"/>
              </w:rPr>
              <w:t>**UK** (LCH Ltd)</w:t>
            </w:r>
          </w:p>
        </w:tc>
        <w:tc>
          <w:tcPr>
            <w:tcW w:type="dxa" w:w="1728"/>
          </w:tcPr>
          <w:p>
            <w:pPr/>
            <w:r>
              <w:rPr>
                <w:sz w:val="18"/>
              </w:rPr>
              <w:t>T+2 (under review for T+1)</w:t>
            </w:r>
          </w:p>
        </w:tc>
        <w:tc>
          <w:tcPr>
            <w:tcW w:type="dxa" w:w="1728"/>
          </w:tcPr>
          <w:p>
            <w:pPr/>
            <w:r>
              <w:rPr>
                <w:sz w:val="18"/>
              </w:rPr>
              <w:t>T+1 (gilts via RepoClear)</w:t>
            </w:r>
          </w:p>
        </w:tc>
        <w:tc>
          <w:tcPr>
            <w:tcW w:type="dxa" w:w="1728"/>
          </w:tcPr>
          <w:p>
            <w:pPr/>
            <w:r>
              <w:rPr>
                <w:sz w:val="18"/>
              </w:rPr>
              <w:t>Daily</w:t>
            </w:r>
          </w:p>
        </w:tc>
        <w:tc>
          <w:tcPr>
            <w:tcW w:type="dxa" w:w="1728"/>
          </w:tcPr>
          <w:p>
            <w:pPr/>
            <w:r>
              <w:rPr>
                <w:sz w:val="18"/>
              </w:rPr>
              <w:t>Daily</w:t>
            </w:r>
          </w:p>
        </w:tc>
      </w:tr>
      <w:tr>
        <w:tc>
          <w:tcPr>
            <w:tcW w:type="dxa" w:w="1728"/>
          </w:tcPr>
          <w:p>
            <w:pPr/>
            <w:r>
              <w:rPr>
                <w:sz w:val="18"/>
              </w:rPr>
              <w:t>**Japan** (JSCC)</w:t>
            </w:r>
          </w:p>
        </w:tc>
        <w:tc>
          <w:tcPr>
            <w:tcW w:type="dxa" w:w="1728"/>
          </w:tcPr>
          <w:p>
            <w:pPr/>
            <w:r>
              <w:rPr>
                <w:sz w:val="18"/>
              </w:rPr>
              <w:t>**T+2**</w:t>
            </w:r>
          </w:p>
        </w:tc>
        <w:tc>
          <w:tcPr>
            <w:tcW w:type="dxa" w:w="1728"/>
          </w:tcPr>
          <w:p>
            <w:pPr/>
            <w:r>
              <w:rPr>
                <w:sz w:val="18"/>
              </w:rPr>
              <w:t>**T+1** (since May 2018)</w:t>
            </w:r>
          </w:p>
        </w:tc>
        <w:tc>
          <w:tcPr>
            <w:tcW w:type="dxa" w:w="1728"/>
          </w:tcPr>
          <w:p>
            <w:pPr/>
            <w:r>
              <w:rPr>
                <w:sz w:val="18"/>
              </w:rPr>
              <w:t>Daily</w:t>
            </w:r>
          </w:p>
        </w:tc>
        <w:tc>
          <w:tcPr>
            <w:tcW w:type="dxa" w:w="1728"/>
          </w:tcPr>
          <w:p>
            <w:pPr/>
            <w:r>
              <w:rPr>
                <w:sz w:val="18"/>
              </w:rPr>
              <w:t>Per payment frequency</w:t>
            </w:r>
          </w:p>
        </w:tc>
      </w:tr>
      <w:tr>
        <w:tc>
          <w:tcPr>
            <w:tcW w:type="dxa" w:w="1728"/>
          </w:tcPr>
          <w:p>
            <w:pPr/>
            <w:r>
              <w:rPr>
                <w:sz w:val="18"/>
              </w:rPr>
              <w:t>**Hong Kong** (HKSCC)</w:t>
            </w:r>
          </w:p>
        </w:tc>
        <w:tc>
          <w:tcPr>
            <w:tcW w:type="dxa" w:w="1728"/>
          </w:tcPr>
          <w:p>
            <w:pPr/>
            <w:r>
              <w:rPr>
                <w:sz w:val="18"/>
              </w:rPr>
              <w:t>**T+2**</w:t>
            </w:r>
          </w:p>
        </w:tc>
        <w:tc>
          <w:tcPr>
            <w:tcW w:type="dxa" w:w="1728"/>
          </w:tcPr>
          <w:p>
            <w:pPr/>
            <w:r>
              <w:rPr>
                <w:sz w:val="18"/>
              </w:rPr>
              <w:t>T+2</w:t>
            </w:r>
          </w:p>
        </w:tc>
        <w:tc>
          <w:tcPr>
            <w:tcW w:type="dxa" w:w="1728"/>
          </w:tcPr>
          <w:p>
            <w:pPr/>
            <w:r>
              <w:rPr>
                <w:sz w:val="18"/>
              </w:rPr>
              <w:t>Daily</w:t>
            </w:r>
          </w:p>
        </w:tc>
        <w:tc>
          <w:tcPr>
            <w:tcW w:type="dxa" w:w="1728"/>
          </w:tcPr>
          <w:p>
            <w:pPr/>
            <w:r>
              <w:rPr>
                <w:sz w:val="18"/>
              </w:rPr>
              <w:t>Daily</w:t>
            </w:r>
          </w:p>
        </w:tc>
      </w:tr>
      <w:tr>
        <w:tc>
          <w:tcPr>
            <w:tcW w:type="dxa" w:w="1728"/>
          </w:tcPr>
          <w:p>
            <w:pPr/>
            <w:r>
              <w:rPr>
                <w:sz w:val="18"/>
              </w:rPr>
              <w:t>**Singapore** (CDP)</w:t>
            </w:r>
          </w:p>
        </w:tc>
        <w:tc>
          <w:tcPr>
            <w:tcW w:type="dxa" w:w="1728"/>
          </w:tcPr>
          <w:p>
            <w:pPr/>
            <w:r>
              <w:rPr>
                <w:sz w:val="18"/>
              </w:rPr>
              <w:t>**T+2**</w:t>
            </w:r>
          </w:p>
        </w:tc>
        <w:tc>
          <w:tcPr>
            <w:tcW w:type="dxa" w:w="1728"/>
          </w:tcPr>
          <w:p>
            <w:pPr/>
            <w:r>
              <w:rPr>
                <w:sz w:val="18"/>
              </w:rPr>
              <w:t>T+2</w:t>
            </w:r>
          </w:p>
        </w:tc>
        <w:tc>
          <w:tcPr>
            <w:tcW w:type="dxa" w:w="1728"/>
          </w:tcPr>
          <w:p>
            <w:pPr/>
            <w:r>
              <w:rPr>
                <w:sz w:val="18"/>
              </w:rPr>
              <w:t>Daily</w:t>
            </w:r>
          </w:p>
        </w:tc>
        <w:tc>
          <w:tcPr>
            <w:tcW w:type="dxa" w:w="1728"/>
          </w:tcPr>
          <w:p>
            <w:pPr/>
            <w:r>
              <w:rPr>
                <w:sz w:val="18"/>
              </w:rPr>
              <w:t>Daily</w:t>
            </w:r>
          </w:p>
        </w:tc>
      </w:tr>
      <w:tr>
        <w:tc>
          <w:tcPr>
            <w:tcW w:type="dxa" w:w="1728"/>
          </w:tcPr>
          <w:p>
            <w:pPr/>
            <w:r>
              <w:rPr>
                <w:sz w:val="18"/>
              </w:rPr>
              <w:t>**Australia** (ASX)</w:t>
            </w:r>
          </w:p>
        </w:tc>
        <w:tc>
          <w:tcPr>
            <w:tcW w:type="dxa" w:w="1728"/>
          </w:tcPr>
          <w:p>
            <w:pPr/>
            <w:r>
              <w:rPr>
                <w:sz w:val="18"/>
              </w:rPr>
              <w:t>**T+2** (since March 2016)</w:t>
            </w:r>
          </w:p>
        </w:tc>
        <w:tc>
          <w:tcPr>
            <w:tcW w:type="dxa" w:w="1728"/>
          </w:tcPr>
          <w:p>
            <w:pPr/>
            <w:r>
              <w:rPr>
                <w:sz w:val="18"/>
              </w:rPr>
              <w:t>T+2</w:t>
            </w:r>
          </w:p>
        </w:tc>
        <w:tc>
          <w:tcPr>
            <w:tcW w:type="dxa" w:w="1728"/>
          </w:tcPr>
          <w:p>
            <w:pPr/>
            <w:r>
              <w:rPr>
                <w:sz w:val="18"/>
              </w:rPr>
              <w:t>Daily</w:t>
            </w:r>
          </w:p>
        </w:tc>
        <w:tc>
          <w:tcPr>
            <w:tcW w:type="dxa" w:w="1728"/>
          </w:tcPr>
          <w:p>
            <w:pPr/>
            <w:r>
              <w:rPr>
                <w:sz w:val="18"/>
              </w:rPr>
              <w:t>Daily</w:t>
            </w:r>
          </w:p>
        </w:tc>
      </w:tr>
      <w:tr>
        <w:tc>
          <w:tcPr>
            <w:tcW w:type="dxa" w:w="1728"/>
          </w:tcPr>
          <w:p>
            <w:pPr/>
            <w:r>
              <w:rPr>
                <w:sz w:val="18"/>
              </w:rPr>
              <w:t>**South Korea** (KRX/KSD)</w:t>
            </w:r>
          </w:p>
        </w:tc>
        <w:tc>
          <w:tcPr>
            <w:tcW w:type="dxa" w:w="1728"/>
          </w:tcPr>
          <w:p>
            <w:pPr/>
            <w:r>
              <w:rPr>
                <w:sz w:val="18"/>
              </w:rPr>
              <w:t>**T+2**</w:t>
            </w:r>
          </w:p>
        </w:tc>
        <w:tc>
          <w:tcPr>
            <w:tcW w:type="dxa" w:w="1728"/>
          </w:tcPr>
          <w:p>
            <w:pPr/>
            <w:r>
              <w:rPr>
                <w:sz w:val="18"/>
              </w:rPr>
              <w:t>**T+1**</w:t>
            </w:r>
          </w:p>
        </w:tc>
        <w:tc>
          <w:tcPr>
            <w:tcW w:type="dxa" w:w="1728"/>
          </w:tcPr>
          <w:p>
            <w:pPr/>
            <w:r>
              <w:rPr>
                <w:sz w:val="18"/>
              </w:rPr>
              <w:t>Daily (T+0/T+1)</w:t>
            </w:r>
          </w:p>
        </w:tc>
        <w:tc>
          <w:tcPr>
            <w:tcW w:type="dxa" w:w="1728"/>
          </w:tcPr>
          <w:p>
            <w:pPr/>
            <w:r>
              <w:rPr>
                <w:sz w:val="18"/>
              </w:rPr>
              <w:t>Daily</w:t>
            </w:r>
          </w:p>
        </w:tc>
      </w:tr>
      <w:tr>
        <w:tc>
          <w:tcPr>
            <w:tcW w:type="dxa" w:w="1728"/>
          </w:tcPr>
          <w:p>
            <w:pPr/>
            <w:r>
              <w:rPr>
                <w:sz w:val="18"/>
              </w:rPr>
              <w:t>**Canada** (CDS)</w:t>
            </w:r>
          </w:p>
        </w:tc>
        <w:tc>
          <w:tcPr>
            <w:tcW w:type="dxa" w:w="1728"/>
          </w:tcPr>
          <w:p>
            <w:pPr/>
            <w:r>
              <w:rPr>
                <w:sz w:val="18"/>
              </w:rPr>
              <w:t>**T+1** (since May 27, 2024)</w:t>
            </w:r>
          </w:p>
        </w:tc>
        <w:tc>
          <w:tcPr>
            <w:tcW w:type="dxa" w:w="1728"/>
          </w:tcPr>
          <w:p>
            <w:pPr/>
            <w:r>
              <w:rPr>
                <w:sz w:val="18"/>
              </w:rPr>
              <w:t>T+1</w:t>
            </w:r>
          </w:p>
        </w:tc>
        <w:tc>
          <w:tcPr>
            <w:tcW w:type="dxa" w:w="1728"/>
          </w:tcPr>
          <w:p>
            <w:pPr/>
            <w:r>
              <w:rPr>
                <w:sz w:val="18"/>
              </w:rPr>
              <w:t>N/A</w:t>
            </w:r>
          </w:p>
        </w:tc>
        <w:tc>
          <w:tcPr>
            <w:tcW w:type="dxa" w:w="1728"/>
          </w:tcPr>
          <w:p>
            <w:pPr/>
            <w:r>
              <w:rPr>
                <w:sz w:val="18"/>
              </w:rPr>
              <w:t>N/A</w:t>
            </w:r>
          </w:p>
        </w:tc>
      </w:tr>
      <w:tr>
        <w:tc>
          <w:tcPr>
            <w:tcW w:type="dxa" w:w="1728"/>
          </w:tcPr>
          <w:p>
            <w:pPr/>
            <w:r>
              <w:rPr>
                <w:sz w:val="18"/>
              </w:rPr>
              <w:t>**China** (CSDC)</w:t>
            </w:r>
          </w:p>
        </w:tc>
        <w:tc>
          <w:tcPr>
            <w:tcW w:type="dxa" w:w="1728"/>
          </w:tcPr>
          <w:p>
            <w:pPr/>
            <w:r>
              <w:rPr>
                <w:sz w:val="18"/>
              </w:rPr>
              <w:t>**T+1** (A-shares)</w:t>
            </w:r>
          </w:p>
        </w:tc>
        <w:tc>
          <w:tcPr>
            <w:tcW w:type="dxa" w:w="1728"/>
          </w:tcPr>
          <w:p>
            <w:pPr/>
            <w:r>
              <w:rPr>
                <w:sz w:val="18"/>
              </w:rPr>
              <w:t>T+1</w:t>
            </w:r>
          </w:p>
        </w:tc>
        <w:tc>
          <w:tcPr>
            <w:tcW w:type="dxa" w:w="1728"/>
          </w:tcPr>
          <w:p>
            <w:pPr/>
            <w:r>
              <w:rPr>
                <w:sz w:val="18"/>
              </w:rPr>
              <w:t>Daily</w:t>
            </w:r>
          </w:p>
        </w:tc>
        <w:tc>
          <w:tcPr>
            <w:tcW w:type="dxa" w:w="1728"/>
          </w:tcPr>
          <w:p>
            <w:pPr/>
            <w:r>
              <w:rPr>
                <w:sz w:val="18"/>
              </w:rPr>
              <w:t>N/A</w:t>
            </w:r>
          </w:p>
        </w:tc>
      </w:tr>
      <w:tr>
        <w:tc>
          <w:tcPr>
            <w:tcW w:type="dxa" w:w="1728"/>
          </w:tcPr>
          <w:p>
            <w:pPr/>
            <w:r>
              <w:rPr>
                <w:sz w:val="18"/>
              </w:rPr>
              <w:t>**India** (CCIL)</w:t>
            </w:r>
          </w:p>
        </w:tc>
        <w:tc>
          <w:tcPr>
            <w:tcW w:type="dxa" w:w="1728"/>
          </w:tcPr>
          <w:p>
            <w:pPr/>
            <w:r>
              <w:rPr>
                <w:sz w:val="18"/>
              </w:rPr>
              <w:t>T+1 (since January 2023 for equities at NSCCL)</w:t>
            </w:r>
          </w:p>
        </w:tc>
        <w:tc>
          <w:tcPr>
            <w:tcW w:type="dxa" w:w="1728"/>
          </w:tcPr>
          <w:p>
            <w:pPr/>
            <w:r>
              <w:rPr>
                <w:sz w:val="18"/>
              </w:rPr>
              <w:t>T+1 (G-Sec outright)</w:t>
            </w:r>
          </w:p>
        </w:tc>
        <w:tc>
          <w:tcPr>
            <w:tcW w:type="dxa" w:w="1728"/>
          </w:tcPr>
          <w:p>
            <w:pPr/>
            <w:r>
              <w:rPr>
                <w:sz w:val="18"/>
              </w:rPr>
              <w:t>Daily</w:t>
            </w:r>
          </w:p>
        </w:tc>
        <w:tc>
          <w:tcPr>
            <w:tcW w:type="dxa" w:w="1728"/>
          </w:tcPr>
          <w:p>
            <w:pPr/>
            <w:r>
              <w:rPr>
                <w:sz w:val="18"/>
              </w:rPr>
              <w:t>Per maturity</w:t>
            </w:r>
          </w:p>
        </w:tc>
      </w:tr>
      <w:tr>
        <w:tc>
          <w:tcPr>
            <w:tcW w:type="dxa" w:w="1728"/>
          </w:tcPr>
          <w:p>
            <w:pPr/>
            <w:r>
              <w:rPr>
                <w:sz w:val="18"/>
              </w:rPr>
              <w:t>**Saudi Arabia** (Muqassa)</w:t>
            </w:r>
          </w:p>
        </w:tc>
        <w:tc>
          <w:tcPr>
            <w:tcW w:type="dxa" w:w="1728"/>
          </w:tcPr>
          <w:p>
            <w:pPr/>
            <w:r>
              <w:rPr>
                <w:sz w:val="18"/>
              </w:rPr>
              <w:t>**T+2**</w:t>
            </w:r>
          </w:p>
        </w:tc>
        <w:tc>
          <w:tcPr>
            <w:tcW w:type="dxa" w:w="1728"/>
          </w:tcPr>
          <w:p>
            <w:pPr/>
            <w:r>
              <w:rPr>
                <w:sz w:val="18"/>
              </w:rPr>
              <w:t>T+2</w:t>
            </w:r>
          </w:p>
        </w:tc>
        <w:tc>
          <w:tcPr>
            <w:tcW w:type="dxa" w:w="1728"/>
          </w:tcPr>
          <w:p>
            <w:pPr/>
            <w:r>
              <w:rPr>
                <w:sz w:val="18"/>
              </w:rPr>
              <w:t>Daily</w:t>
            </w:r>
          </w:p>
        </w:tc>
        <w:tc>
          <w:tcPr>
            <w:tcW w:type="dxa" w:w="1728"/>
          </w:tcPr>
          <w:p>
            <w:pPr/>
            <w:r>
              <w:rPr>
                <w:sz w:val="18"/>
              </w:rPr>
              <w:t>N/A</w:t>
            </w:r>
          </w:p>
        </w:tc>
      </w:tr>
    </w:tbl>
    <w:p/>
    <w:p>
      <w:pPr>
        <w:pStyle w:val="Heading3"/>
      </w:pPr>
      <w:r>
        <w:t>3.2 T+1 Transition Status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Market</w:t>
            </w:r>
          </w:p>
        </w:tc>
        <w:tc>
          <w:tcPr>
            <w:tcW w:type="dxa" w:w="1728"/>
          </w:tcPr>
          <w:p>
            <w:pPr/>
            <w:r>
              <w:rPr>
                <w:b/>
                <w:sz w:val="18"/>
              </w:rPr>
              <w:t>Current</w:t>
            </w:r>
          </w:p>
        </w:tc>
        <w:tc>
          <w:tcPr>
            <w:tcW w:type="dxa" w:w="1728"/>
          </w:tcPr>
          <w:p>
            <w:pPr/>
            <w:r>
              <w:rPr>
                <w:b/>
                <w:sz w:val="18"/>
              </w:rPr>
              <w:t>T+1 Status</w:t>
            </w:r>
          </w:p>
        </w:tc>
        <w:tc>
          <w:tcPr>
            <w:tcW w:type="dxa" w:w="1728"/>
          </w:tcPr>
          <w:p>
            <w:pPr/>
            <w:r>
              <w:rPr>
                <w:b/>
                <w:sz w:val="18"/>
              </w:rPr>
              <w:t>Target Date</w:t>
            </w:r>
          </w:p>
        </w:tc>
        <w:tc>
          <w:tcPr>
            <w:tcW w:type="dxa" w:w="1728"/>
          </w:tcPr>
          <w:p>
            <w:pPr/>
            <w:r>
              <w:rPr>
                <w:b/>
                <w:sz w:val="18"/>
              </w:rPr>
              <w:t>Notes</w:t>
            </w:r>
          </w:p>
        </w:tc>
      </w:tr>
      <w:tr>
        <w:tc>
          <w:tcPr>
            <w:tcW w:type="dxa" w:w="1728"/>
          </w:tcPr>
          <w:p>
            <w:pPr/>
            <w:r>
              <w:rPr>
                <w:sz w:val="18"/>
              </w:rPr>
              <w:t>**United States**</w:t>
            </w:r>
          </w:p>
        </w:tc>
        <w:tc>
          <w:tcPr>
            <w:tcW w:type="dxa" w:w="1728"/>
          </w:tcPr>
          <w:p>
            <w:pPr/>
            <w:r>
              <w:rPr>
                <w:sz w:val="18"/>
              </w:rPr>
              <w:t>T+1</w:t>
            </w:r>
          </w:p>
        </w:tc>
        <w:tc>
          <w:tcPr>
            <w:tcW w:type="dxa" w:w="1728"/>
          </w:tcPr>
          <w:p>
            <w:pPr/>
            <w:r>
              <w:rPr>
                <w:sz w:val="18"/>
              </w:rPr>
              <w:t>**Completed**</w:t>
            </w:r>
          </w:p>
        </w:tc>
        <w:tc>
          <w:tcPr>
            <w:tcW w:type="dxa" w:w="1728"/>
          </w:tcPr>
          <w:p>
            <w:pPr/>
            <w:r>
              <w:rPr>
                <w:sz w:val="18"/>
              </w:rPr>
              <w:t>May 28, 2024</w:t>
            </w:r>
          </w:p>
        </w:tc>
        <w:tc>
          <w:tcPr>
            <w:tcW w:type="dxa" w:w="1728"/>
          </w:tcPr>
          <w:p>
            <w:pPr/>
            <w:r>
              <w:rPr>
                <w:sz w:val="18"/>
              </w:rPr>
              <w:t>NSCC clearing fund reduced ~23% ($3B); affirmation rate reached ~95%</w:t>
            </w:r>
          </w:p>
        </w:tc>
      </w:tr>
      <w:tr>
        <w:tc>
          <w:tcPr>
            <w:tcW w:type="dxa" w:w="1728"/>
          </w:tcPr>
          <w:p>
            <w:pPr/>
            <w:r>
              <w:rPr>
                <w:sz w:val="18"/>
              </w:rPr>
              <w:t>**Canada**</w:t>
            </w:r>
          </w:p>
        </w:tc>
        <w:tc>
          <w:tcPr>
            <w:tcW w:type="dxa" w:w="1728"/>
          </w:tcPr>
          <w:p>
            <w:pPr/>
            <w:r>
              <w:rPr>
                <w:sz w:val="18"/>
              </w:rPr>
              <w:t>T+1</w:t>
            </w:r>
          </w:p>
        </w:tc>
        <w:tc>
          <w:tcPr>
            <w:tcW w:type="dxa" w:w="1728"/>
          </w:tcPr>
          <w:p>
            <w:pPr/>
            <w:r>
              <w:rPr>
                <w:sz w:val="18"/>
              </w:rPr>
              <w:t>**Completed**</w:t>
            </w:r>
          </w:p>
        </w:tc>
        <w:tc>
          <w:tcPr>
            <w:tcW w:type="dxa" w:w="1728"/>
          </w:tcPr>
          <w:p>
            <w:pPr/>
            <w:r>
              <w:rPr>
                <w:sz w:val="18"/>
              </w:rPr>
              <w:t>May 27, 2024</w:t>
            </w:r>
          </w:p>
        </w:tc>
        <w:tc>
          <w:tcPr>
            <w:tcW w:type="dxa" w:w="1728"/>
          </w:tcPr>
          <w:p>
            <w:pPr/>
            <w:r>
              <w:rPr>
                <w:sz w:val="18"/>
              </w:rPr>
              <w:t>Moved one day before US</w:t>
            </w:r>
          </w:p>
        </w:tc>
      </w:tr>
      <w:tr>
        <w:tc>
          <w:tcPr>
            <w:tcW w:type="dxa" w:w="1728"/>
          </w:tcPr>
          <w:p>
            <w:pPr/>
            <w:r>
              <w:rPr>
                <w:sz w:val="18"/>
              </w:rPr>
              <w:t>**India**</w:t>
            </w:r>
          </w:p>
        </w:tc>
        <w:tc>
          <w:tcPr>
            <w:tcW w:type="dxa" w:w="1728"/>
          </w:tcPr>
          <w:p>
            <w:pPr/>
            <w:r>
              <w:rPr>
                <w:sz w:val="18"/>
              </w:rPr>
              <w:t>T+1</w:t>
            </w:r>
          </w:p>
        </w:tc>
        <w:tc>
          <w:tcPr>
            <w:tcW w:type="dxa" w:w="1728"/>
          </w:tcPr>
          <w:p>
            <w:pPr/>
            <w:r>
              <w:rPr>
                <w:sz w:val="18"/>
              </w:rPr>
              <w:t>**Completed**</w:t>
            </w:r>
          </w:p>
        </w:tc>
        <w:tc>
          <w:tcPr>
            <w:tcW w:type="dxa" w:w="1728"/>
          </w:tcPr>
          <w:p>
            <w:pPr/>
            <w:r>
              <w:rPr>
                <w:sz w:val="18"/>
              </w:rPr>
              <w:t>January 27, 2023</w:t>
            </w:r>
          </w:p>
        </w:tc>
        <w:tc>
          <w:tcPr>
            <w:tcW w:type="dxa" w:w="1728"/>
          </w:tcPr>
          <w:p>
            <w:pPr/>
            <w:r>
              <w:rPr>
                <w:sz w:val="18"/>
              </w:rPr>
              <w:t>Pioneer -- first major market to adopt T+1</w:t>
            </w:r>
          </w:p>
        </w:tc>
      </w:tr>
      <w:tr>
        <w:tc>
          <w:tcPr>
            <w:tcW w:type="dxa" w:w="1728"/>
          </w:tcPr>
          <w:p>
            <w:pPr/>
            <w:r>
              <w:rPr>
                <w:sz w:val="18"/>
              </w:rPr>
              <w:t>**China**</w:t>
            </w:r>
          </w:p>
        </w:tc>
        <w:tc>
          <w:tcPr>
            <w:tcW w:type="dxa" w:w="1728"/>
          </w:tcPr>
          <w:p>
            <w:pPr/>
            <w:r>
              <w:rPr>
                <w:sz w:val="18"/>
              </w:rPr>
              <w:t>T+1</w:t>
            </w:r>
          </w:p>
        </w:tc>
        <w:tc>
          <w:tcPr>
            <w:tcW w:type="dxa" w:w="1728"/>
          </w:tcPr>
          <w:p>
            <w:pPr/>
            <w:r>
              <w:rPr>
                <w:sz w:val="18"/>
              </w:rPr>
              <w:t>**Already at T+1**</w:t>
            </w:r>
          </w:p>
        </w:tc>
        <w:tc>
          <w:tcPr>
            <w:tcW w:type="dxa" w:w="1728"/>
          </w:tcPr>
          <w:p>
            <w:pPr/>
            <w:r>
              <w:rPr>
                <w:sz w:val="18"/>
              </w:rPr>
              <w:t>N/A</w:t>
            </w:r>
          </w:p>
        </w:tc>
        <w:tc>
          <w:tcPr>
            <w:tcW w:type="dxa" w:w="1728"/>
          </w:tcPr>
          <w:p>
            <w:pPr/>
            <w:r>
              <w:rPr>
                <w:sz w:val="18"/>
              </w:rPr>
              <w:t>A-shares have operated at T+1 for decades</w:t>
            </w:r>
          </w:p>
        </w:tc>
      </w:tr>
      <w:tr>
        <w:tc>
          <w:tcPr>
            <w:tcW w:type="dxa" w:w="1728"/>
          </w:tcPr>
          <w:p>
            <w:pPr/>
            <w:r>
              <w:rPr>
                <w:sz w:val="18"/>
              </w:rPr>
              <w:t>**United Kingdom**</w:t>
            </w:r>
          </w:p>
        </w:tc>
        <w:tc>
          <w:tcPr>
            <w:tcW w:type="dxa" w:w="1728"/>
          </w:tcPr>
          <w:p>
            <w:pPr/>
            <w:r>
              <w:rPr>
                <w:sz w:val="18"/>
              </w:rPr>
              <w:t>T+2</w:t>
            </w:r>
          </w:p>
        </w:tc>
        <w:tc>
          <w:tcPr>
            <w:tcW w:type="dxa" w:w="1728"/>
          </w:tcPr>
          <w:p>
            <w:pPr/>
            <w:r>
              <w:rPr>
                <w:sz w:val="18"/>
              </w:rPr>
              <w:t>**Planning**</w:t>
            </w:r>
          </w:p>
        </w:tc>
        <w:tc>
          <w:tcPr>
            <w:tcW w:type="dxa" w:w="1728"/>
          </w:tcPr>
          <w:p>
            <w:pPr/>
            <w:r>
              <w:rPr>
                <w:sz w:val="18"/>
              </w:rPr>
              <w:t>Q4 2027 (proposed)</w:t>
            </w:r>
          </w:p>
        </w:tc>
        <w:tc>
          <w:tcPr>
            <w:tcW w:type="dxa" w:w="1728"/>
          </w:tcPr>
          <w:p>
            <w:pPr/>
            <w:r>
              <w:rPr>
                <w:sz w:val="18"/>
              </w:rPr>
              <w:t>UK Accelerated Settlement Taskforce report issued</w:t>
            </w:r>
          </w:p>
        </w:tc>
      </w:tr>
      <w:tr>
        <w:tc>
          <w:tcPr>
            <w:tcW w:type="dxa" w:w="1728"/>
          </w:tcPr>
          <w:p>
            <w:pPr/>
            <w:r>
              <w:rPr>
                <w:sz w:val="18"/>
              </w:rPr>
              <w:t>**European Union**</w:t>
            </w:r>
          </w:p>
        </w:tc>
        <w:tc>
          <w:tcPr>
            <w:tcW w:type="dxa" w:w="1728"/>
          </w:tcPr>
          <w:p>
            <w:pPr/>
            <w:r>
              <w:rPr>
                <w:sz w:val="18"/>
              </w:rPr>
              <w:t>T+2</w:t>
            </w:r>
          </w:p>
        </w:tc>
        <w:tc>
          <w:tcPr>
            <w:tcW w:type="dxa" w:w="1728"/>
          </w:tcPr>
          <w:p>
            <w:pPr/>
            <w:r>
              <w:rPr>
                <w:sz w:val="18"/>
              </w:rPr>
              <w:t>**Planning**</w:t>
            </w:r>
          </w:p>
        </w:tc>
        <w:tc>
          <w:tcPr>
            <w:tcW w:type="dxa" w:w="1728"/>
          </w:tcPr>
          <w:p>
            <w:pPr/>
            <w:r>
              <w:rPr>
                <w:sz w:val="18"/>
              </w:rPr>
              <w:t>October 11, 2027 (proposed)</w:t>
            </w:r>
          </w:p>
        </w:tc>
        <w:tc>
          <w:tcPr>
            <w:tcW w:type="dxa" w:w="1728"/>
          </w:tcPr>
          <w:p>
            <w:pPr/>
            <w:r>
              <w:rPr>
                <w:sz w:val="18"/>
              </w:rPr>
              <w:t>ESMA recommended T+1 by this date</w:t>
            </w:r>
          </w:p>
        </w:tc>
      </w:tr>
      <w:tr>
        <w:tc>
          <w:tcPr>
            <w:tcW w:type="dxa" w:w="1728"/>
          </w:tcPr>
          <w:p>
            <w:pPr/>
            <w:r>
              <w:rPr>
                <w:sz w:val="18"/>
              </w:rPr>
              <w:t>**Japan**</w:t>
            </w:r>
          </w:p>
        </w:tc>
        <w:tc>
          <w:tcPr>
            <w:tcW w:type="dxa" w:w="1728"/>
          </w:tcPr>
          <w:p>
            <w:pPr/>
            <w:r>
              <w:rPr>
                <w:sz w:val="18"/>
              </w:rPr>
              <w:t>T+2</w:t>
            </w:r>
          </w:p>
        </w:tc>
        <w:tc>
          <w:tcPr>
            <w:tcW w:type="dxa" w:w="1728"/>
          </w:tcPr>
          <w:p>
            <w:pPr/>
            <w:r>
              <w:rPr>
                <w:sz w:val="18"/>
              </w:rPr>
              <w:t>**Monitoring**</w:t>
            </w:r>
          </w:p>
        </w:tc>
        <w:tc>
          <w:tcPr>
            <w:tcW w:type="dxa" w:w="1728"/>
          </w:tcPr>
          <w:p>
            <w:pPr/>
            <w:r>
              <w:rPr>
                <w:sz w:val="18"/>
              </w:rPr>
              <w:t>No firm date</w:t>
            </w:r>
          </w:p>
        </w:tc>
        <w:tc>
          <w:tcPr>
            <w:tcW w:type="dxa" w:w="1728"/>
          </w:tcPr>
          <w:p>
            <w:pPr/>
            <w:r>
              <w:rPr>
                <w:sz w:val="18"/>
              </w:rPr>
              <w:t>JGBs already at T+1; equities T+1 under discussion</w:t>
            </w:r>
          </w:p>
        </w:tc>
      </w:tr>
      <w:tr>
        <w:tc>
          <w:tcPr>
            <w:tcW w:type="dxa" w:w="1728"/>
          </w:tcPr>
          <w:p>
            <w:pPr/>
            <w:r>
              <w:rPr>
                <w:sz w:val="18"/>
              </w:rPr>
              <w:t>**Hong Kong**</w:t>
            </w:r>
          </w:p>
        </w:tc>
        <w:tc>
          <w:tcPr>
            <w:tcW w:type="dxa" w:w="1728"/>
          </w:tcPr>
          <w:p>
            <w:pPr/>
            <w:r>
              <w:rPr>
                <w:sz w:val="18"/>
              </w:rPr>
              <w:t>T+2</w:t>
            </w:r>
          </w:p>
        </w:tc>
        <w:tc>
          <w:tcPr>
            <w:tcW w:type="dxa" w:w="1728"/>
          </w:tcPr>
          <w:p>
            <w:pPr/>
            <w:r>
              <w:rPr>
                <w:sz w:val="18"/>
              </w:rPr>
              <w:t>**Consulting**</w:t>
            </w:r>
          </w:p>
        </w:tc>
        <w:tc>
          <w:tcPr>
            <w:tcW w:type="dxa" w:w="1728"/>
          </w:tcPr>
          <w:p>
            <w:pPr/>
            <w:r>
              <w:rPr>
                <w:sz w:val="18"/>
              </w:rPr>
              <w:t>No firm date</w:t>
            </w:r>
          </w:p>
        </w:tc>
        <w:tc>
          <w:tcPr>
            <w:tcW w:type="dxa" w:w="1728"/>
          </w:tcPr>
          <w:p>
            <w:pPr/>
            <w:r>
              <w:rPr>
                <w:sz w:val="18"/>
              </w:rPr>
              <w:t>HKEX published discussion paper July 2025; systems ready by end-2025</w:t>
            </w:r>
          </w:p>
        </w:tc>
      </w:tr>
      <w:tr>
        <w:tc>
          <w:tcPr>
            <w:tcW w:type="dxa" w:w="1728"/>
          </w:tcPr>
          <w:p>
            <w:pPr/>
            <w:r>
              <w:rPr>
                <w:sz w:val="18"/>
              </w:rPr>
              <w:t>**Singapore**</w:t>
            </w:r>
          </w:p>
        </w:tc>
        <w:tc>
          <w:tcPr>
            <w:tcW w:type="dxa" w:w="1728"/>
          </w:tcPr>
          <w:p>
            <w:pPr/>
            <w:r>
              <w:rPr>
                <w:sz w:val="18"/>
              </w:rPr>
              <w:t>T+2</w:t>
            </w:r>
          </w:p>
        </w:tc>
        <w:tc>
          <w:tcPr>
            <w:tcW w:type="dxa" w:w="1728"/>
          </w:tcPr>
          <w:p>
            <w:pPr/>
            <w:r>
              <w:rPr>
                <w:sz w:val="18"/>
              </w:rPr>
              <w:t>**Considering**</w:t>
            </w:r>
          </w:p>
        </w:tc>
        <w:tc>
          <w:tcPr>
            <w:tcW w:type="dxa" w:w="1728"/>
          </w:tcPr>
          <w:p>
            <w:pPr/>
            <w:r>
              <w:rPr>
                <w:sz w:val="18"/>
              </w:rPr>
              <w:t>No firm date</w:t>
            </w:r>
          </w:p>
        </w:tc>
        <w:tc>
          <w:tcPr>
            <w:tcW w:type="dxa" w:w="1728"/>
          </w:tcPr>
          <w:p>
            <w:pPr/>
            <w:r>
              <w:rPr>
                <w:sz w:val="18"/>
              </w:rPr>
              <w:t>MAS engaged with CDP; cautious industry stance</w:t>
            </w:r>
          </w:p>
        </w:tc>
      </w:tr>
      <w:tr>
        <w:tc>
          <w:tcPr>
            <w:tcW w:type="dxa" w:w="1728"/>
          </w:tcPr>
          <w:p>
            <w:pPr/>
            <w:r>
              <w:rPr>
                <w:sz w:val="18"/>
              </w:rPr>
              <w:t>**Australia**</w:t>
            </w:r>
          </w:p>
        </w:tc>
        <w:tc>
          <w:tcPr>
            <w:tcW w:type="dxa" w:w="1728"/>
          </w:tcPr>
          <w:p>
            <w:pPr/>
            <w:r>
              <w:rPr>
                <w:sz w:val="18"/>
              </w:rPr>
              <w:t>T+2</w:t>
            </w:r>
          </w:p>
        </w:tc>
        <w:tc>
          <w:tcPr>
            <w:tcW w:type="dxa" w:w="1728"/>
          </w:tcPr>
          <w:p>
            <w:pPr/>
            <w:r>
              <w:rPr>
                <w:sz w:val="18"/>
              </w:rPr>
              <w:t>**Under review**</w:t>
            </w:r>
          </w:p>
        </w:tc>
        <w:tc>
          <w:tcPr>
            <w:tcW w:type="dxa" w:w="1728"/>
          </w:tcPr>
          <w:p>
            <w:pPr/>
            <w:r>
              <w:rPr>
                <w:sz w:val="18"/>
              </w:rPr>
              <w:t>No firm date</w:t>
            </w:r>
          </w:p>
        </w:tc>
        <w:tc>
          <w:tcPr>
            <w:tcW w:type="dxa" w:w="1728"/>
          </w:tcPr>
          <w:p>
            <w:pPr/>
            <w:r>
              <w:rPr>
                <w:sz w:val="18"/>
              </w:rPr>
              <w:t>Dependent on CHESS replacement progress</w:t>
            </w:r>
          </w:p>
        </w:tc>
      </w:tr>
      <w:tr>
        <w:tc>
          <w:tcPr>
            <w:tcW w:type="dxa" w:w="1728"/>
          </w:tcPr>
          <w:p>
            <w:pPr/>
            <w:r>
              <w:rPr>
                <w:sz w:val="18"/>
              </w:rPr>
              <w:t>**South Korea**</w:t>
            </w:r>
          </w:p>
        </w:tc>
        <w:tc>
          <w:tcPr>
            <w:tcW w:type="dxa" w:w="1728"/>
          </w:tcPr>
          <w:p>
            <w:pPr/>
            <w:r>
              <w:rPr>
                <w:sz w:val="18"/>
              </w:rPr>
              <w:t>T+2</w:t>
            </w:r>
          </w:p>
        </w:tc>
        <w:tc>
          <w:tcPr>
            <w:tcW w:type="dxa" w:w="1728"/>
          </w:tcPr>
          <w:p>
            <w:pPr/>
            <w:r>
              <w:rPr>
                <w:sz w:val="18"/>
              </w:rPr>
              <w:t>**Monitoring**</w:t>
            </w:r>
          </w:p>
        </w:tc>
        <w:tc>
          <w:tcPr>
            <w:tcW w:type="dxa" w:w="1728"/>
          </w:tcPr>
          <w:p>
            <w:pPr/>
            <w:r>
              <w:rPr>
                <w:sz w:val="18"/>
              </w:rPr>
              <w:t>No firm date</w:t>
            </w:r>
          </w:p>
        </w:tc>
        <w:tc>
          <w:tcPr>
            <w:tcW w:type="dxa" w:w="1728"/>
          </w:tcPr>
          <w:p>
            <w:pPr/>
            <w:r>
              <w:rPr>
                <w:sz w:val="18"/>
              </w:rPr>
              <w:t>KRX evaluating global trends</w:t>
            </w:r>
          </w:p>
        </w:tc>
      </w:tr>
    </w:tbl>
    <w:p/>
    <w:p>
      <w:pPr>
        <w:pStyle w:val="Heading3"/>
      </w:pPr>
      <w:r>
        <w:t>3.3 T+0 / Instant Settlement</w:t>
      </w:r>
    </w:p>
    <w:p>
      <w:pPr>
        <w:pStyle w:val="ListBullet"/>
      </w:pPr>
      <w:r>
        <w:t>India: Pioneer in shortened settlement. NSE's NSCCL achieved T+1 for equities in January 2023, making India the first major market. SEBI is now piloting T+0 and instant settlement for select securities.</w:t>
      </w:r>
    </w:p>
    <w:p>
      <w:pPr>
        <w:pStyle w:val="ListBullet"/>
      </w:pPr>
      <w:r>
        <w:t>China: CSDC effectively operates T+1 for A-shares (settlement next day), with some bond products settling T+0. China's pre-funding model ensures settlement certainty.</w:t>
      </w:r>
    </w:p>
    <w:p>
      <w:pPr>
        <w:pStyle w:val="ListBullet"/>
      </w:pPr>
      <w:r>
        <w:t>DLT Initiatives: DTCC's Project Ion processes 100,000+ equity transactions daily on R3 Corda in parallel production; CME is piloting tokenization with Google Cloud Universal Ledger (GCUL); Eurex Clearing launched DLT-enabled collateral mobilization with HQLAx (July 2025).</w:t>
      </w:r>
    </w:p>
    <w:p>
      <w:r>
        <w:t>────────────────────────────────────────────────────────────</w:t>
      </w:r>
    </w:p>
    <w:p>
      <w:pPr>
        <w:pStyle w:val="Heading2"/>
      </w:pPr>
      <w:r>
        <w:t>4. DVP Model Comparison</w:t>
      </w:r>
    </w:p>
    <w:p>
      <w:pPr>
        <w:pStyle w:val="Heading3"/>
      </w:pPr>
      <w:r>
        <w:t>4.1 DVP Models in Use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CCP/CSD</w:t>
            </w:r>
          </w:p>
        </w:tc>
        <w:tc>
          <w:tcPr>
            <w:tcW w:type="dxa" w:w="2160"/>
          </w:tcPr>
          <w:p>
            <w:pPr/>
            <w:r>
              <w:rPr>
                <w:b/>
                <w:sz w:val="18"/>
              </w:rPr>
              <w:t>BIS DVP Model</w:t>
            </w:r>
          </w:p>
        </w:tc>
        <w:tc>
          <w:tcPr>
            <w:tcW w:type="dxa" w:w="2160"/>
          </w:tcPr>
          <w:p>
            <w:pPr/>
            <w:r>
              <w:rPr>
                <w:b/>
                <w:sz w:val="18"/>
              </w:rPr>
              <w:t>Description</w:t>
            </w:r>
          </w:p>
        </w:tc>
        <w:tc>
          <w:tcPr>
            <w:tcW w:type="dxa" w:w="2160"/>
          </w:tcPr>
          <w:p>
            <w:pPr/>
            <w:r>
              <w:rPr>
                <w:b/>
                <w:sz w:val="18"/>
              </w:rPr>
              <w:t>Cash Settlement Medium</w:t>
            </w:r>
          </w:p>
        </w:tc>
      </w:tr>
      <w:tr>
        <w:tc>
          <w:tcPr>
            <w:tcW w:type="dxa" w:w="2160"/>
          </w:tcPr>
          <w:p>
            <w:pPr/>
            <w:r>
              <w:rPr>
                <w:sz w:val="18"/>
              </w:rPr>
              <w:t>**DTC** (DTCC)</w:t>
            </w:r>
          </w:p>
        </w:tc>
        <w:tc>
          <w:tcPr>
            <w:tcW w:type="dxa" w:w="2160"/>
          </w:tcPr>
          <w:p>
            <w:pPr/>
            <w:r>
              <w:rPr>
                <w:sz w:val="18"/>
              </w:rPr>
              <w:t>Model 2</w:t>
            </w:r>
          </w:p>
        </w:tc>
        <w:tc>
          <w:tcPr>
            <w:tcW w:type="dxa" w:w="2160"/>
          </w:tcPr>
          <w:p>
            <w:pPr/>
            <w:r>
              <w:rPr>
                <w:sz w:val="18"/>
              </w:rPr>
              <w:t>Gross securities transfers, net funds settlement</w:t>
            </w:r>
          </w:p>
        </w:tc>
        <w:tc>
          <w:tcPr>
            <w:tcW w:type="dxa" w:w="2160"/>
          </w:tcPr>
          <w:p>
            <w:pPr/>
            <w:r>
              <w:rPr>
                <w:sz w:val="18"/>
              </w:rPr>
              <w:t>Federal Reserve NSS (central bank money)</w:t>
            </w:r>
          </w:p>
        </w:tc>
      </w:tr>
      <w:tr>
        <w:tc>
          <w:tcPr>
            <w:tcW w:type="dxa" w:w="2160"/>
          </w:tcPr>
          <w:p>
            <w:pPr/>
            <w:r>
              <w:rPr>
                <w:sz w:val="18"/>
              </w:rPr>
              <w:t>**NSCC/CNS**</w:t>
            </w:r>
          </w:p>
        </w:tc>
        <w:tc>
          <w:tcPr>
            <w:tcW w:type="dxa" w:w="2160"/>
          </w:tcPr>
          <w:p>
            <w:pPr/>
            <w:r>
              <w:rPr>
                <w:sz w:val="18"/>
              </w:rPr>
              <w:t>Model 2</w:t>
            </w:r>
          </w:p>
        </w:tc>
        <w:tc>
          <w:tcPr>
            <w:tcW w:type="dxa" w:w="2160"/>
          </w:tcPr>
          <w:p>
            <w:pPr/>
            <w:r>
              <w:rPr>
                <w:sz w:val="18"/>
              </w:rPr>
              <w:t>Net delivery obligations through DTC, net money</w:t>
            </w:r>
          </w:p>
        </w:tc>
        <w:tc>
          <w:tcPr>
            <w:tcW w:type="dxa" w:w="2160"/>
          </w:tcPr>
          <w:p>
            <w:pPr/>
            <w:r>
              <w:rPr>
                <w:sz w:val="18"/>
              </w:rPr>
              <w:t>Federal Reserve NSS</w:t>
            </w:r>
          </w:p>
        </w:tc>
      </w:tr>
      <w:tr>
        <w:tc>
          <w:tcPr>
            <w:tcW w:type="dxa" w:w="2160"/>
          </w:tcPr>
          <w:p>
            <w:pPr/>
            <w:r>
              <w:rPr>
                <w:sz w:val="18"/>
              </w:rPr>
              <w:t>**FICC-GSD**</w:t>
            </w:r>
          </w:p>
        </w:tc>
        <w:tc>
          <w:tcPr>
            <w:tcW w:type="dxa" w:w="2160"/>
          </w:tcPr>
          <w:p>
            <w:pPr/>
            <w:r>
              <w:rPr>
                <w:sz w:val="18"/>
              </w:rPr>
              <w:t>Model 1 (Fedwire)</w:t>
            </w:r>
          </w:p>
        </w:tc>
        <w:tc>
          <w:tcPr>
            <w:tcW w:type="dxa" w:w="2160"/>
          </w:tcPr>
          <w:p>
            <w:pPr/>
            <w:r>
              <w:rPr>
                <w:sz w:val="18"/>
              </w:rPr>
              <w:t>Gross, real-time via Fedwire Securities</w:t>
            </w:r>
          </w:p>
        </w:tc>
        <w:tc>
          <w:tcPr>
            <w:tcW w:type="dxa" w:w="2160"/>
          </w:tcPr>
          <w:p>
            <w:pPr/>
            <w:r>
              <w:rPr>
                <w:sz w:val="18"/>
              </w:rPr>
              <w:t>Federal Reserve (central bank money)</w:t>
            </w:r>
          </w:p>
        </w:tc>
      </w:tr>
      <w:tr>
        <w:tc>
          <w:tcPr>
            <w:tcW w:type="dxa" w:w="2160"/>
          </w:tcPr>
          <w:p>
            <w:pPr/>
            <w:r>
              <w:rPr>
                <w:sz w:val="18"/>
              </w:rPr>
              <w:t>**LCH Ltd** (EquityClear)</w:t>
            </w:r>
          </w:p>
        </w:tc>
        <w:tc>
          <w:tcPr>
            <w:tcW w:type="dxa" w:w="2160"/>
          </w:tcPr>
          <w:p>
            <w:pPr/>
            <w:r>
              <w:rPr>
                <w:sz w:val="18"/>
              </w:rPr>
              <w:t>Model 3</w:t>
            </w:r>
          </w:p>
        </w:tc>
        <w:tc>
          <w:tcPr>
            <w:tcW w:type="dxa" w:w="2160"/>
          </w:tcPr>
          <w:p>
            <w:pPr/>
            <w:r>
              <w:rPr>
                <w:sz w:val="18"/>
              </w:rPr>
              <w:t>Net-net (multilateral net securities + net cash)</w:t>
            </w:r>
          </w:p>
        </w:tc>
        <w:tc>
          <w:tcPr>
            <w:tcW w:type="dxa" w:w="2160"/>
          </w:tcPr>
          <w:p>
            <w:pPr/>
            <w:r>
              <w:rPr>
                <w:sz w:val="18"/>
              </w:rPr>
              <w:t>PPS (commercial bank money); BoE reserves for GBP</w:t>
            </w:r>
          </w:p>
        </w:tc>
      </w:tr>
      <w:tr>
        <w:tc>
          <w:tcPr>
            <w:tcW w:type="dxa" w:w="2160"/>
          </w:tcPr>
          <w:p>
            <w:pPr/>
            <w:r>
              <w:rPr>
                <w:sz w:val="18"/>
              </w:rPr>
              <w:t>**LCH SA**</w:t>
            </w:r>
          </w:p>
        </w:tc>
        <w:tc>
          <w:tcPr>
            <w:tcW w:type="dxa" w:w="2160"/>
          </w:tcPr>
          <w:p>
            <w:pPr/>
            <w:r>
              <w:rPr>
                <w:sz w:val="18"/>
              </w:rPr>
              <w:t>Model 1 / Model 3</w:t>
            </w:r>
          </w:p>
        </w:tc>
        <w:tc>
          <w:tcPr>
            <w:tcW w:type="dxa" w:w="2160"/>
          </w:tcPr>
          <w:p>
            <w:pPr/>
            <w:r>
              <w:rPr>
                <w:sz w:val="18"/>
              </w:rPr>
              <w:t>Depends on CSD/settlement arrangement</w:t>
            </w:r>
          </w:p>
        </w:tc>
        <w:tc>
          <w:tcPr>
            <w:tcW w:type="dxa" w:w="2160"/>
          </w:tcPr>
          <w:p>
            <w:pPr/>
            <w:r>
              <w:rPr>
                <w:sz w:val="18"/>
              </w:rPr>
              <w:t>Banque de France / TARGET (central bank money for EUR)</w:t>
            </w:r>
          </w:p>
        </w:tc>
      </w:tr>
      <w:tr>
        <w:tc>
          <w:tcPr>
            <w:tcW w:type="dxa" w:w="2160"/>
          </w:tcPr>
          <w:p>
            <w:pPr/>
            <w:r>
              <w:rPr>
                <w:sz w:val="18"/>
              </w:rPr>
              <w:t>**OCC**</w:t>
            </w:r>
          </w:p>
        </w:tc>
        <w:tc>
          <w:tcPr>
            <w:tcW w:type="dxa" w:w="2160"/>
          </w:tcPr>
          <w:p>
            <w:pPr/>
            <w:r>
              <w:rPr>
                <w:sz w:val="18"/>
              </w:rPr>
              <w:t>Via NSCC Accord</w:t>
            </w:r>
          </w:p>
        </w:tc>
        <w:tc>
          <w:tcPr>
            <w:tcW w:type="dxa" w:w="2160"/>
          </w:tcPr>
          <w:p>
            <w:pPr/>
            <w:r>
              <w:rPr>
                <w:sz w:val="18"/>
              </w:rPr>
              <w:t>Exercise/assignment via NSCC/DTC</w:t>
            </w:r>
          </w:p>
        </w:tc>
        <w:tc>
          <w:tcPr>
            <w:tcW w:type="dxa" w:w="2160"/>
          </w:tcPr>
          <w:p>
            <w:pPr/>
            <w:r>
              <w:rPr>
                <w:sz w:val="18"/>
              </w:rPr>
              <w:t>Fedwire / commercial bank</w:t>
            </w:r>
          </w:p>
        </w:tc>
      </w:tr>
      <w:tr>
        <w:tc>
          <w:tcPr>
            <w:tcW w:type="dxa" w:w="2160"/>
          </w:tcPr>
          <w:p>
            <w:pPr/>
            <w:r>
              <w:rPr>
                <w:sz w:val="18"/>
              </w:rPr>
              <w:t>**CME**</w:t>
            </w:r>
          </w:p>
        </w:tc>
        <w:tc>
          <w:tcPr>
            <w:tcW w:type="dxa" w:w="2160"/>
          </w:tcPr>
          <w:p>
            <w:pPr/>
            <w:r>
              <w:rPr>
                <w:sz w:val="18"/>
              </w:rPr>
              <w:t>Model 1 (physical delivery)</w:t>
            </w:r>
          </w:p>
        </w:tc>
        <w:tc>
          <w:tcPr>
            <w:tcW w:type="dxa" w:w="2160"/>
          </w:tcPr>
          <w:p>
            <w:pPr/>
            <w:r>
              <w:rPr>
                <w:sz w:val="18"/>
              </w:rPr>
              <w:t>Gross DVP via Fedwire Securities (for Treasuries)</w:t>
            </w:r>
          </w:p>
        </w:tc>
        <w:tc>
          <w:tcPr>
            <w:tcW w:type="dxa" w:w="2160"/>
          </w:tcPr>
          <w:p>
            <w:pPr/>
            <w:r>
              <w:rPr>
                <w:sz w:val="18"/>
              </w:rPr>
              <w:t>BMO Harris, JPMorgan, Citibank (commercial bank money); Fed for Treasuries</w:t>
            </w:r>
          </w:p>
        </w:tc>
      </w:tr>
      <w:tr>
        <w:tc>
          <w:tcPr>
            <w:tcW w:type="dxa" w:w="2160"/>
          </w:tcPr>
          <w:p>
            <w:pPr/>
            <w:r>
              <w:rPr>
                <w:sz w:val="18"/>
              </w:rPr>
              <w:t>**Eurex Clearing**</w:t>
            </w:r>
          </w:p>
        </w:tc>
        <w:tc>
          <w:tcPr>
            <w:tcW w:type="dxa" w:w="2160"/>
          </w:tcPr>
          <w:p>
            <w:pPr/>
            <w:r>
              <w:rPr>
                <w:sz w:val="18"/>
              </w:rPr>
              <w:t>Model 1</w:t>
            </w:r>
          </w:p>
        </w:tc>
        <w:tc>
          <w:tcPr>
            <w:tcW w:type="dxa" w:w="2160"/>
          </w:tcPr>
          <w:p>
            <w:pPr/>
            <w:r>
              <w:rPr>
                <w:sz w:val="18"/>
              </w:rPr>
              <w:t>Gross DVP via Clearstream/T2S</w:t>
            </w:r>
          </w:p>
        </w:tc>
        <w:tc>
          <w:tcPr>
            <w:tcW w:type="dxa" w:w="2160"/>
          </w:tcPr>
          <w:p>
            <w:pPr/>
            <w:r>
              <w:rPr>
                <w:sz w:val="18"/>
              </w:rPr>
              <w:t>T2 / TARGET (central bank money for EUR); commercial bank also available</w:t>
            </w:r>
          </w:p>
        </w:tc>
      </w:tr>
      <w:tr>
        <w:tc>
          <w:tcPr>
            <w:tcW w:type="dxa" w:w="2160"/>
          </w:tcPr>
          <w:p>
            <w:pPr/>
            <w:r>
              <w:rPr>
                <w:sz w:val="18"/>
              </w:rPr>
              <w:t>**JSCC**</w:t>
            </w:r>
          </w:p>
        </w:tc>
        <w:tc>
          <w:tcPr>
            <w:tcW w:type="dxa" w:w="2160"/>
          </w:tcPr>
          <w:p>
            <w:pPr/>
            <w:r>
              <w:rPr>
                <w:sz w:val="18"/>
              </w:rPr>
              <w:t>Model 3</w:t>
            </w:r>
          </w:p>
        </w:tc>
        <w:tc>
          <w:tcPr>
            <w:tcW w:type="dxa" w:w="2160"/>
          </w:tcPr>
          <w:p>
            <w:pPr/>
            <w:r>
              <w:rPr>
                <w:sz w:val="18"/>
              </w:rPr>
              <w:t>Net securities (JASDEC) + net funds (BOJ-NET/settlement banks)</w:t>
            </w:r>
          </w:p>
        </w:tc>
        <w:tc>
          <w:tcPr>
            <w:tcW w:type="dxa" w:w="2160"/>
          </w:tcPr>
          <w:p>
            <w:pPr/>
            <w:r>
              <w:rPr>
                <w:sz w:val="18"/>
              </w:rPr>
              <w:t>BOJ-NET (central bank money for JGB); designated settlement banks (commercial)</w:t>
            </w:r>
          </w:p>
        </w:tc>
      </w:tr>
      <w:tr>
        <w:tc>
          <w:tcPr>
            <w:tcW w:type="dxa" w:w="2160"/>
          </w:tcPr>
          <w:p>
            <w:pPr/>
            <w:r>
              <w:rPr>
                <w:sz w:val="18"/>
              </w:rPr>
              <w:t>**HKSCC**</w:t>
            </w:r>
          </w:p>
        </w:tc>
        <w:tc>
          <w:tcPr>
            <w:tcW w:type="dxa" w:w="2160"/>
          </w:tcPr>
          <w:p>
            <w:pPr/>
            <w:r>
              <w:rPr>
                <w:sz w:val="18"/>
              </w:rPr>
              <w:t>Model 2 variant</w:t>
            </w:r>
          </w:p>
        </w:tc>
        <w:tc>
          <w:tcPr>
            <w:tcW w:type="dxa" w:w="2160"/>
          </w:tcPr>
          <w:p>
            <w:pPr/>
            <w:r>
              <w:rPr>
                <w:sz w:val="18"/>
              </w:rPr>
              <w:t>Net securities, RTGS cash via CHATS</w:t>
            </w:r>
          </w:p>
        </w:tc>
        <w:tc>
          <w:tcPr>
            <w:tcW w:type="dxa" w:w="2160"/>
          </w:tcPr>
          <w:p>
            <w:pPr/>
            <w:r>
              <w:rPr>
                <w:sz w:val="18"/>
              </w:rPr>
              <w:t>CHATS (RTGS, linked to central bank)</w:t>
            </w:r>
          </w:p>
        </w:tc>
      </w:tr>
      <w:tr>
        <w:tc>
          <w:tcPr>
            <w:tcW w:type="dxa" w:w="2160"/>
          </w:tcPr>
          <w:p>
            <w:pPr/>
            <w:r>
              <w:rPr>
                <w:sz w:val="18"/>
              </w:rPr>
              <w:t>**CDP** (Singapore)</w:t>
            </w:r>
          </w:p>
        </w:tc>
        <w:tc>
          <w:tcPr>
            <w:tcW w:type="dxa" w:w="2160"/>
          </w:tcPr>
          <w:p>
            <w:pPr/>
            <w:r>
              <w:rPr>
                <w:sz w:val="18"/>
              </w:rPr>
              <w:t>Model 3</w:t>
            </w:r>
          </w:p>
        </w:tc>
        <w:tc>
          <w:tcPr>
            <w:tcW w:type="dxa" w:w="2160"/>
          </w:tcPr>
          <w:p>
            <w:pPr/>
            <w:r>
              <w:rPr>
                <w:sz w:val="18"/>
              </w:rPr>
              <w:t>DVP through CDP post-trade system</w:t>
            </w:r>
          </w:p>
        </w:tc>
        <w:tc>
          <w:tcPr>
            <w:tcW w:type="dxa" w:w="2160"/>
          </w:tcPr>
          <w:p>
            <w:pPr/>
            <w:r>
              <w:rPr>
                <w:sz w:val="18"/>
              </w:rPr>
              <w:t>MAS settlement (central bank money) [unverified]</w:t>
            </w:r>
          </w:p>
        </w:tc>
      </w:tr>
      <w:tr>
        <w:tc>
          <w:tcPr>
            <w:tcW w:type="dxa" w:w="2160"/>
          </w:tcPr>
          <w:p>
            <w:pPr/>
            <w:r>
              <w:rPr>
                <w:sz w:val="18"/>
              </w:rPr>
              <w:t>**Cboe Clear Europe**</w:t>
            </w:r>
          </w:p>
        </w:tc>
        <w:tc>
          <w:tcPr>
            <w:tcW w:type="dxa" w:w="2160"/>
          </w:tcPr>
          <w:p>
            <w:pPr/>
            <w:r>
              <w:rPr>
                <w:sz w:val="18"/>
              </w:rPr>
              <w:t>Model 3</w:t>
            </w:r>
          </w:p>
        </w:tc>
        <w:tc>
          <w:tcPr>
            <w:tcW w:type="dxa" w:w="2160"/>
          </w:tcPr>
          <w:p>
            <w:pPr/>
            <w:r>
              <w:rPr>
                <w:sz w:val="18"/>
              </w:rPr>
              <w:t>Net-net through 15+ CSDs</w:t>
            </w:r>
          </w:p>
        </w:tc>
        <w:tc>
          <w:tcPr>
            <w:tcW w:type="dxa" w:w="2160"/>
          </w:tcPr>
          <w:p>
            <w:pPr/>
            <w:r>
              <w:rPr>
                <w:sz w:val="18"/>
              </w:rPr>
              <w:t>Via relevant national CSDs (various)</w:t>
            </w:r>
          </w:p>
        </w:tc>
      </w:tr>
      <w:tr>
        <w:tc>
          <w:tcPr>
            <w:tcW w:type="dxa" w:w="2160"/>
          </w:tcPr>
          <w:p>
            <w:pPr/>
            <w:r>
              <w:rPr>
                <w:sz w:val="18"/>
              </w:rPr>
              <w:t>**ASX Clear**</w:t>
            </w:r>
          </w:p>
        </w:tc>
        <w:tc>
          <w:tcPr>
            <w:tcW w:type="dxa" w:w="2160"/>
          </w:tcPr>
          <w:p>
            <w:pPr/>
            <w:r>
              <w:rPr>
                <w:sz w:val="18"/>
              </w:rPr>
              <w:t>Model 3</w:t>
            </w:r>
          </w:p>
        </w:tc>
        <w:tc>
          <w:tcPr>
            <w:tcW w:type="dxa" w:w="2160"/>
          </w:tcPr>
          <w:p>
            <w:pPr/>
            <w:r>
              <w:rPr>
                <w:sz w:val="18"/>
              </w:rPr>
              <w:t>Multilateral net batch via CHESS</w:t>
            </w:r>
          </w:p>
        </w:tc>
        <w:tc>
          <w:tcPr>
            <w:tcW w:type="dxa" w:w="2160"/>
          </w:tcPr>
          <w:p>
            <w:pPr/>
            <w:r>
              <w:rPr>
                <w:sz w:val="18"/>
              </w:rPr>
              <w:t>RBA (central bank money via RITS)</w:t>
            </w:r>
          </w:p>
        </w:tc>
      </w:tr>
      <w:tr>
        <w:tc>
          <w:tcPr>
            <w:tcW w:type="dxa" w:w="2160"/>
          </w:tcPr>
          <w:p>
            <w:pPr/>
            <w:r>
              <w:rPr>
                <w:sz w:val="18"/>
              </w:rPr>
              <w:t>**CSDC** (China)</w:t>
            </w:r>
          </w:p>
        </w:tc>
        <w:tc>
          <w:tcPr>
            <w:tcW w:type="dxa" w:w="2160"/>
          </w:tcPr>
          <w:p>
            <w:pPr/>
            <w:r>
              <w:rPr>
                <w:sz w:val="18"/>
              </w:rPr>
              <w:t>Model 3</w:t>
            </w:r>
          </w:p>
        </w:tc>
        <w:tc>
          <w:tcPr>
            <w:tcW w:type="dxa" w:w="2160"/>
          </w:tcPr>
          <w:p>
            <w:pPr/>
            <w:r>
              <w:rPr>
                <w:sz w:val="18"/>
              </w:rPr>
              <w:t>Net securities + net funds</w:t>
            </w:r>
          </w:p>
        </w:tc>
        <w:tc>
          <w:tcPr>
            <w:tcW w:type="dxa" w:w="2160"/>
          </w:tcPr>
          <w:p>
            <w:pPr/>
            <w:r>
              <w:rPr>
                <w:sz w:val="18"/>
              </w:rPr>
              <w:t>PBOC / designated banks</w:t>
            </w:r>
          </w:p>
        </w:tc>
      </w:tr>
      <w:tr>
        <w:tc>
          <w:tcPr>
            <w:tcW w:type="dxa" w:w="2160"/>
          </w:tcPr>
          <w:p>
            <w:pPr/>
            <w:r>
              <w:rPr>
                <w:sz w:val="18"/>
              </w:rPr>
              <w:t>**CDS** (Canada)</w:t>
            </w:r>
          </w:p>
        </w:tc>
        <w:tc>
          <w:tcPr>
            <w:tcW w:type="dxa" w:w="2160"/>
          </w:tcPr>
          <w:p>
            <w:pPr/>
            <w:r>
              <w:rPr>
                <w:sz w:val="18"/>
              </w:rPr>
              <w:t>Model 2</w:t>
            </w:r>
          </w:p>
        </w:tc>
        <w:tc>
          <w:tcPr>
            <w:tcW w:type="dxa" w:w="2160"/>
          </w:tcPr>
          <w:p>
            <w:pPr/>
            <w:r>
              <w:rPr>
                <w:sz w:val="18"/>
              </w:rPr>
              <w:t>Net securities, net funds via CDSX</w:t>
            </w:r>
          </w:p>
        </w:tc>
        <w:tc>
          <w:tcPr>
            <w:tcW w:type="dxa" w:w="2160"/>
          </w:tcPr>
          <w:p>
            <w:pPr/>
            <w:r>
              <w:rPr>
                <w:sz w:val="18"/>
              </w:rPr>
              <w:t>Bank of Canada (central bank money)</w:t>
            </w:r>
          </w:p>
        </w:tc>
      </w:tr>
      <w:tr>
        <w:tc>
          <w:tcPr>
            <w:tcW w:type="dxa" w:w="2160"/>
          </w:tcPr>
          <w:p>
            <w:pPr/>
            <w:r>
              <w:rPr>
                <w:sz w:val="18"/>
              </w:rPr>
              <w:t>**KRX/KSD**</w:t>
            </w:r>
          </w:p>
        </w:tc>
        <w:tc>
          <w:tcPr>
            <w:tcW w:type="dxa" w:w="2160"/>
          </w:tcPr>
          <w:p>
            <w:pPr/>
            <w:r>
              <w:rPr>
                <w:sz w:val="18"/>
              </w:rPr>
              <w:t>Model 3</w:t>
            </w:r>
          </w:p>
        </w:tc>
        <w:tc>
          <w:tcPr>
            <w:tcW w:type="dxa" w:w="2160"/>
          </w:tcPr>
          <w:p>
            <w:pPr/>
            <w:r>
              <w:rPr>
                <w:sz w:val="18"/>
              </w:rPr>
              <w:t>Net securities (KSD) + net funds (settlement banks)</w:t>
            </w:r>
          </w:p>
        </w:tc>
        <w:tc>
          <w:tcPr>
            <w:tcW w:type="dxa" w:w="2160"/>
          </w:tcPr>
          <w:p>
            <w:pPr/>
            <w:r>
              <w:rPr>
                <w:sz w:val="18"/>
              </w:rPr>
              <w:t>BOK (central bank money for gov bonds); commercial settlement banks</w:t>
            </w:r>
          </w:p>
        </w:tc>
      </w:tr>
    </w:tbl>
    <w:p/>
    <w:p>
      <w:pPr>
        <w:pStyle w:val="Heading3"/>
      </w:pPr>
      <w:r>
        <w:t>4.2 Central Bank Money vs Commercial Bank Money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Settlement Type</w:t>
            </w:r>
          </w:p>
        </w:tc>
        <w:tc>
          <w:tcPr>
            <w:tcW w:type="dxa" w:w="2160"/>
          </w:tcPr>
          <w:p>
            <w:pPr/>
            <w:r>
              <w:rPr>
                <w:b/>
                <w:sz w:val="18"/>
              </w:rPr>
              <w:t>CCPs/CSDs Using</w:t>
            </w:r>
          </w:p>
        </w:tc>
        <w:tc>
          <w:tcPr>
            <w:tcW w:type="dxa" w:w="2160"/>
          </w:tcPr>
          <w:p>
            <w:pPr/>
            <w:r>
              <w:rPr>
                <w:b/>
                <w:sz w:val="18"/>
              </w:rPr>
              <w:t>Advantages</w:t>
            </w:r>
          </w:p>
        </w:tc>
        <w:tc>
          <w:tcPr>
            <w:tcW w:type="dxa" w:w="2160"/>
          </w:tcPr>
          <w:p>
            <w:pPr/>
            <w:r>
              <w:rPr>
                <w:b/>
                <w:sz w:val="18"/>
              </w:rPr>
              <w:t>Disadvantages</w:t>
            </w:r>
          </w:p>
        </w:tc>
      </w:tr>
      <w:tr>
        <w:tc>
          <w:tcPr>
            <w:tcW w:type="dxa" w:w="2160"/>
          </w:tcPr>
          <w:p>
            <w:pPr/>
            <w:r>
              <w:rPr>
                <w:sz w:val="18"/>
              </w:rPr>
              <w:t>**Central Bank Money**</w:t>
            </w:r>
          </w:p>
        </w:tc>
        <w:tc>
          <w:tcPr>
            <w:tcW w:type="dxa" w:w="2160"/>
          </w:tcPr>
          <w:p>
            <w:pPr/>
            <w:r>
              <w:rPr>
                <w:sz w:val="18"/>
              </w:rPr>
              <w:t>DTC (via Fed NSS), FICC (Fedwire), Eurex (T2S/TARGET), JSCC-JGB (BOJ-NET), ASX (RITS), CDS Canada (BoC)</w:t>
            </w:r>
          </w:p>
        </w:tc>
        <w:tc>
          <w:tcPr>
            <w:tcW w:type="dxa" w:w="2160"/>
          </w:tcPr>
          <w:p>
            <w:pPr/>
            <w:r>
              <w:rPr>
                <w:sz w:val="18"/>
              </w:rPr>
              <w:t>Eliminates commercial bank credit risk; highest safety per PFMI Principle 9</w:t>
            </w:r>
          </w:p>
        </w:tc>
        <w:tc>
          <w:tcPr>
            <w:tcW w:type="dxa" w:w="2160"/>
          </w:tcPr>
          <w:p>
            <w:pPr/>
            <w:r>
              <w:rPr>
                <w:sz w:val="18"/>
              </w:rPr>
              <w:t>Limited operating hours; currency-specific</w:t>
            </w:r>
          </w:p>
        </w:tc>
      </w:tr>
      <w:tr>
        <w:tc>
          <w:tcPr>
            <w:tcW w:type="dxa" w:w="2160"/>
          </w:tcPr>
          <w:p>
            <w:pPr/>
            <w:r>
              <w:rPr>
                <w:sz w:val="18"/>
              </w:rPr>
              <w:t>**Commercial Bank Money**</w:t>
            </w:r>
          </w:p>
        </w:tc>
        <w:tc>
          <w:tcPr>
            <w:tcW w:type="dxa" w:w="2160"/>
          </w:tcPr>
          <w:p>
            <w:pPr/>
            <w:r>
              <w:rPr>
                <w:sz w:val="18"/>
              </w:rPr>
              <w:t>LCH Ltd (PPS), CME (settlement banks), CDP [unverified], most cross-border settlements</w:t>
            </w:r>
          </w:p>
        </w:tc>
        <w:tc>
          <w:tcPr>
            <w:tcW w:type="dxa" w:w="2160"/>
          </w:tcPr>
          <w:p>
            <w:pPr/>
            <w:r>
              <w:rPr>
                <w:sz w:val="18"/>
              </w:rPr>
              <w:t>Greater flexibility; multi-currency; extended hours</w:t>
            </w:r>
          </w:p>
        </w:tc>
        <w:tc>
          <w:tcPr>
            <w:tcW w:type="dxa" w:w="2160"/>
          </w:tcPr>
          <w:p>
            <w:pPr/>
            <w:r>
              <w:rPr>
                <w:sz w:val="18"/>
              </w:rPr>
              <w:t>Introduces settlement bank credit risk</w:t>
            </w:r>
          </w:p>
        </w:tc>
      </w:tr>
      <w:tr>
        <w:tc>
          <w:tcPr>
            <w:tcW w:type="dxa" w:w="2160"/>
          </w:tcPr>
          <w:p>
            <w:pPr/>
            <w:r>
              <w:rPr>
                <w:sz w:val="18"/>
              </w:rPr>
              <w:t>**Hybrid**</w:t>
            </w:r>
          </w:p>
        </w:tc>
        <w:tc>
          <w:tcPr>
            <w:tcW w:type="dxa" w:w="2160"/>
          </w:tcPr>
          <w:p>
            <w:pPr/>
            <w:r>
              <w:rPr>
                <w:sz w:val="18"/>
              </w:rPr>
              <w:t>Most major CCPs use both depending on product and currency</w:t>
            </w:r>
          </w:p>
        </w:tc>
        <w:tc>
          <w:tcPr>
            <w:tcW w:type="dxa" w:w="2160"/>
          </w:tcPr>
          <w:p>
            <w:pPr/>
            <w:r>
              <w:rPr>
                <w:sz w:val="18"/>
              </w:rPr>
              <w:t>Balances safety and operational flexibility</w:t>
            </w:r>
          </w:p>
        </w:tc>
        <w:tc>
          <w:tcPr>
            <w:tcW w:type="dxa" w:w="2160"/>
          </w:tcPr>
          <w:p>
            <w:pPr/>
            <w:r>
              <w:rPr>
                <w:sz w:val="18"/>
              </w:rPr>
              <w:t>More complex to manage</w:t>
            </w:r>
          </w:p>
        </w:tc>
      </w:tr>
    </w:tbl>
    <w:p/>
    <w:p>
      <w:r>
        <w:t>────────────────────────────────────────────────────────────</w:t>
      </w:r>
    </w:p>
    <w:p>
      <w:pPr>
        <w:pStyle w:val="Heading2"/>
      </w:pPr>
      <w:r>
        <w:t>5. Interoperability Map</w:t>
      </w:r>
    </w:p>
    <w:p>
      <w:pPr>
        <w:pStyle w:val="Heading3"/>
      </w:pPr>
      <w:r>
        <w:t>5.1 CCP Interoperability Arrangements</w:t>
      </w:r>
    </w:p>
    <w:p>
      <w:r>
        <w:t>CCP interoperability -- where two or more CCPs clear the same product and maintain mutual risk exposures -- is primarily a European phenomenon.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 1</w:t>
            </w:r>
          </w:p>
        </w:tc>
        <w:tc>
          <w:tcPr>
            <w:tcW w:type="dxa" w:w="1728"/>
          </w:tcPr>
          <w:p>
            <w:pPr/>
            <w:r>
              <w:rPr>
                <w:b/>
                <w:sz w:val="18"/>
              </w:rPr>
              <w:t>CCP 2</w:t>
            </w:r>
          </w:p>
        </w:tc>
        <w:tc>
          <w:tcPr>
            <w:tcW w:type="dxa" w:w="1728"/>
          </w:tcPr>
          <w:p>
            <w:pPr/>
            <w:r>
              <w:rPr>
                <w:b/>
                <w:sz w:val="18"/>
              </w:rPr>
              <w:t>Products</w:t>
            </w:r>
          </w:p>
        </w:tc>
        <w:tc>
          <w:tcPr>
            <w:tcW w:type="dxa" w:w="1728"/>
          </w:tcPr>
          <w:p>
            <w:pPr/>
            <w:r>
              <w:rPr>
                <w:b/>
                <w:sz w:val="18"/>
              </w:rPr>
              <w:t>Venue(s)</w:t>
            </w:r>
          </w:p>
        </w:tc>
        <w:tc>
          <w:tcPr>
            <w:tcW w:type="dxa" w:w="1728"/>
          </w:tcPr>
          <w:p>
            <w:pPr/>
            <w:r>
              <w:rPr>
                <w:b/>
                <w:sz w:val="18"/>
              </w:rPr>
              <w:t>Status</w:t>
            </w:r>
          </w:p>
        </w:tc>
      </w:tr>
      <w:tr>
        <w:tc>
          <w:tcPr>
            <w:tcW w:type="dxa" w:w="1728"/>
          </w:tcPr>
          <w:p>
            <w:pPr/>
            <w:r>
              <w:rPr>
                <w:sz w:val="18"/>
              </w:rPr>
              <w:t>**LCH Ltd** (EquityClear)</w:t>
            </w:r>
          </w:p>
        </w:tc>
        <w:tc>
          <w:tcPr>
            <w:tcW w:type="dxa" w:w="1728"/>
          </w:tcPr>
          <w:p>
            <w:pPr/>
            <w:r>
              <w:rPr>
                <w:sz w:val="18"/>
              </w:rPr>
              <w:t>**SIX x-clear**</w:t>
            </w:r>
          </w:p>
        </w:tc>
        <w:tc>
          <w:tcPr>
            <w:tcW w:type="dxa" w:w="1728"/>
          </w:tcPr>
          <w:p>
            <w:pPr/>
            <w:r>
              <w:rPr>
                <w:sz w:val="18"/>
              </w:rPr>
              <w:t>Cash equities</w:t>
            </w:r>
          </w:p>
        </w:tc>
        <w:tc>
          <w:tcPr>
            <w:tcW w:type="dxa" w:w="1728"/>
          </w:tcPr>
          <w:p>
            <w:pPr/>
            <w:r>
              <w:rPr>
                <w:sz w:val="18"/>
              </w:rPr>
              <w:t>SIX Swiss Exchange</w:t>
            </w:r>
          </w:p>
        </w:tc>
        <w:tc>
          <w:tcPr>
            <w:tcW w:type="dxa" w:w="1728"/>
          </w:tcPr>
          <w:p>
            <w:pPr/>
            <w:r>
              <w:rPr>
                <w:sz w:val="18"/>
              </w:rPr>
              <w:t>Active</w:t>
            </w:r>
          </w:p>
        </w:tc>
      </w:tr>
      <w:tr>
        <w:tc>
          <w:tcPr>
            <w:tcW w:type="dxa" w:w="1728"/>
          </w:tcPr>
          <w:p>
            <w:pPr/>
            <w:r>
              <w:rPr>
                <w:sz w:val="18"/>
              </w:rPr>
              <w:t>**LCH Ltd** (EquityClear)</w:t>
            </w:r>
          </w:p>
        </w:tc>
        <w:tc>
          <w:tcPr>
            <w:tcW w:type="dxa" w:w="1728"/>
          </w:tcPr>
          <w:p>
            <w:pPr/>
            <w:r>
              <w:rPr>
                <w:sz w:val="18"/>
              </w:rPr>
              <w:t>**Cboe Clear Europe**</w:t>
            </w:r>
          </w:p>
        </w:tc>
        <w:tc>
          <w:tcPr>
            <w:tcW w:type="dxa" w:w="1728"/>
          </w:tcPr>
          <w:p>
            <w:pPr/>
            <w:r>
              <w:rPr>
                <w:sz w:val="18"/>
              </w:rPr>
              <w:t>Cash equities</w:t>
            </w:r>
          </w:p>
        </w:tc>
        <w:tc>
          <w:tcPr>
            <w:tcW w:type="dxa" w:w="1728"/>
          </w:tcPr>
          <w:p>
            <w:pPr/>
            <w:r>
              <w:rPr>
                <w:sz w:val="18"/>
              </w:rPr>
              <w:t>Cboe Europe, other MTFs</w:t>
            </w:r>
          </w:p>
        </w:tc>
        <w:tc>
          <w:tcPr>
            <w:tcW w:type="dxa" w:w="1728"/>
          </w:tcPr>
          <w:p>
            <w:pPr/>
            <w:r>
              <w:rPr>
                <w:sz w:val="18"/>
              </w:rPr>
              <w:t>Active</w:t>
            </w:r>
          </w:p>
        </w:tc>
      </w:tr>
      <w:tr>
        <w:tc>
          <w:tcPr>
            <w:tcW w:type="dxa" w:w="1728"/>
          </w:tcPr>
          <w:p>
            <w:pPr/>
            <w:r>
              <w:rPr>
                <w:sz w:val="18"/>
              </w:rPr>
              <w:t>**SIX x-clear**</w:t>
            </w:r>
          </w:p>
        </w:tc>
        <w:tc>
          <w:tcPr>
            <w:tcW w:type="dxa" w:w="1728"/>
          </w:tcPr>
          <w:p>
            <w:pPr/>
            <w:r>
              <w:rPr>
                <w:sz w:val="18"/>
              </w:rPr>
              <w:t>**Cboe Clear Europe**</w:t>
            </w:r>
          </w:p>
        </w:tc>
        <w:tc>
          <w:tcPr>
            <w:tcW w:type="dxa" w:w="1728"/>
          </w:tcPr>
          <w:p>
            <w:pPr/>
            <w:r>
              <w:rPr>
                <w:sz w:val="18"/>
              </w:rPr>
              <w:t>Cash equities</w:t>
            </w:r>
          </w:p>
        </w:tc>
        <w:tc>
          <w:tcPr>
            <w:tcW w:type="dxa" w:w="1728"/>
          </w:tcPr>
          <w:p>
            <w:pPr/>
            <w:r>
              <w:rPr>
                <w:sz w:val="18"/>
              </w:rPr>
              <w:t>Multiple European venues</w:t>
            </w:r>
          </w:p>
        </w:tc>
        <w:tc>
          <w:tcPr>
            <w:tcW w:type="dxa" w:w="1728"/>
          </w:tcPr>
          <w:p>
            <w:pPr/>
            <w:r>
              <w:rPr>
                <w:sz w:val="18"/>
              </w:rPr>
              <w:t>Active</w:t>
            </w:r>
          </w:p>
        </w:tc>
      </w:tr>
    </w:tbl>
    <w:p/>
    <w:p>
      <w:r>
        <w:t>No interoperability links exist for:</w:t>
      </w:r>
    </w:p>
    <w:p>
      <w:pPr>
        <w:pStyle w:val="ListBullet"/>
      </w:pPr>
      <w:r>
        <w:t>U.S. CCPs (DTCC, CME, OCC, ICE) -- concentrated domestic structure</w:t>
      </w:r>
    </w:p>
    <w:p>
      <w:pPr>
        <w:pStyle w:val="ListBullet"/>
      </w:pPr>
      <w:r>
        <w:t>Asian CCPs (JSCC, HKEX clearing houses, CDP) -- domestic monopoly models</w:t>
      </w:r>
    </w:p>
    <w:p>
      <w:pPr>
        <w:pStyle w:val="ListBullet"/>
      </w:pPr>
      <w:r>
        <w:t>OTC derivatives clearing -- each CCP operates independently</w:t>
      </w:r>
    </w:p>
    <w:p>
      <w:pPr>
        <w:pStyle w:val="Heading3"/>
      </w:pPr>
      <w:r>
        <w:t>5.2 CSD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CSD/ICSD</w:t>
            </w:r>
          </w:p>
        </w:tc>
        <w:tc>
          <w:tcPr>
            <w:tcW w:type="dxa" w:w="2880"/>
          </w:tcPr>
          <w:p>
            <w:pPr/>
            <w:r>
              <w:rPr>
                <w:b/>
                <w:sz w:val="18"/>
              </w:rPr>
              <w:t>Type</w:t>
            </w:r>
          </w:p>
        </w:tc>
        <w:tc>
          <w:tcPr>
            <w:tcW w:type="dxa" w:w="2880"/>
          </w:tcPr>
          <w:p>
            <w:pPr/>
            <w:r>
              <w:rPr>
                <w:b/>
                <w:sz w:val="18"/>
              </w:rPr>
              <w:t>Key Links</w:t>
            </w:r>
          </w:p>
        </w:tc>
      </w:tr>
      <w:tr>
        <w:tc>
          <w:tcPr>
            <w:tcW w:type="dxa" w:w="2880"/>
          </w:tcPr>
          <w:p>
            <w:pPr/>
            <w:r>
              <w:rPr>
                <w:sz w:val="18"/>
              </w:rPr>
              <w:t>**DTC** (DTCC)</w:t>
            </w:r>
          </w:p>
        </w:tc>
        <w:tc>
          <w:tcPr>
            <w:tcW w:type="dxa" w:w="2880"/>
          </w:tcPr>
          <w:p>
            <w:pPr/>
            <w:r>
              <w:rPr>
                <w:sz w:val="18"/>
              </w:rPr>
              <w:t>Domestic CSD (U.S.)</w:t>
            </w:r>
          </w:p>
        </w:tc>
        <w:tc>
          <w:tcPr>
            <w:tcW w:type="dxa" w:w="2880"/>
          </w:tcPr>
          <w:p>
            <w:pPr/>
            <w:r>
              <w:rPr>
                <w:sz w:val="18"/>
              </w:rPr>
              <w:t>Fedwire Securities; operational links with Euroclear Bank, Clearstream, CDS Canada</w:t>
            </w:r>
          </w:p>
        </w:tc>
      </w:tr>
      <w:tr>
        <w:tc>
          <w:tcPr>
            <w:tcW w:type="dxa" w:w="2880"/>
          </w:tcPr>
          <w:p>
            <w:pPr/>
            <w:r>
              <w:rPr>
                <w:sz w:val="18"/>
              </w:rPr>
              <w:t>**Euroclear Bank**</w:t>
            </w:r>
          </w:p>
        </w:tc>
        <w:tc>
          <w:tcPr>
            <w:tcW w:type="dxa" w:w="2880"/>
          </w:tcPr>
          <w:p>
            <w:pPr/>
            <w:r>
              <w:rPr>
                <w:sz w:val="18"/>
              </w:rPr>
              <w:t>ICSD</w:t>
            </w:r>
          </w:p>
        </w:tc>
        <w:tc>
          <w:tcPr>
            <w:tcW w:type="dxa" w:w="2880"/>
          </w:tcPr>
          <w:p>
            <w:pPr/>
            <w:r>
              <w:rPr>
                <w:sz w:val="18"/>
              </w:rPr>
              <w:t>Bridge with Clearstream; links to 48 domestic markets; T2S (connected Sep 2023)</w:t>
            </w:r>
          </w:p>
        </w:tc>
      </w:tr>
      <w:tr>
        <w:tc>
          <w:tcPr>
            <w:tcW w:type="dxa" w:w="2880"/>
          </w:tcPr>
          <w:p>
            <w:pPr/>
            <w:r>
              <w:rPr>
                <w:sz w:val="18"/>
              </w:rPr>
              <w:t>**Clearstream** (CBL/Europe)</w:t>
            </w:r>
          </w:p>
        </w:tc>
        <w:tc>
          <w:tcPr>
            <w:tcW w:type="dxa" w:w="2880"/>
          </w:tcPr>
          <w:p>
            <w:pPr/>
            <w:r>
              <w:rPr>
                <w:sz w:val="18"/>
              </w:rPr>
              <w:t>ICSD + CSD</w:t>
            </w:r>
          </w:p>
        </w:tc>
        <w:tc>
          <w:tcPr>
            <w:tcW w:type="dxa" w:w="2880"/>
          </w:tcPr>
          <w:p>
            <w:pPr/>
            <w:r>
              <w:rPr>
                <w:sz w:val="18"/>
              </w:rPr>
              <w:t>Bridge with Euroclear Bank; T2S (50%+ of T2S volume); 60 markets access</w:t>
            </w:r>
          </w:p>
        </w:tc>
      </w:tr>
      <w:tr>
        <w:tc>
          <w:tcPr>
            <w:tcW w:type="dxa" w:w="2880"/>
          </w:tcPr>
          <w:p>
            <w:pPr/>
            <w:r>
              <w:rPr>
                <w:sz w:val="18"/>
              </w:rPr>
              <w:t>**T2S** (ECB)</w:t>
            </w:r>
          </w:p>
        </w:tc>
        <w:tc>
          <w:tcPr>
            <w:tcW w:type="dxa" w:w="2880"/>
          </w:tcPr>
          <w:p>
            <w:pPr/>
            <w:r>
              <w:rPr>
                <w:sz w:val="18"/>
              </w:rPr>
              <w:t>Settlement platform</w:t>
            </w:r>
          </w:p>
        </w:tc>
        <w:tc>
          <w:tcPr>
            <w:tcW w:type="dxa" w:w="2880"/>
          </w:tcPr>
          <w:p>
            <w:pPr/>
            <w:r>
              <w:rPr>
                <w:sz w:val="18"/>
              </w:rPr>
              <w:t>24 CSDs from 23 European countries; central bank money settlement</w:t>
            </w:r>
          </w:p>
        </w:tc>
      </w:tr>
      <w:tr>
        <w:tc>
          <w:tcPr>
            <w:tcW w:type="dxa" w:w="2880"/>
          </w:tcPr>
          <w:p>
            <w:pPr/>
            <w:r>
              <w:rPr>
                <w:sz w:val="18"/>
              </w:rPr>
              <w:t>**JASDEC**</w:t>
            </w:r>
          </w:p>
        </w:tc>
        <w:tc>
          <w:tcPr>
            <w:tcW w:type="dxa" w:w="2880"/>
          </w:tcPr>
          <w:p>
            <w:pPr/>
            <w:r>
              <w:rPr>
                <w:sz w:val="18"/>
              </w:rPr>
              <w:t>CSD (Japan)</w:t>
            </w:r>
          </w:p>
        </w:tc>
        <w:tc>
          <w:tcPr>
            <w:tcW w:type="dxa" w:w="2880"/>
          </w:tcPr>
          <w:p>
            <w:pPr/>
            <w:r>
              <w:rPr>
                <w:sz w:val="18"/>
              </w:rPr>
              <w:t>Links with Euroclear, Clearstream for cross-border settlement</w:t>
            </w:r>
          </w:p>
        </w:tc>
      </w:tr>
      <w:tr>
        <w:tc>
          <w:tcPr>
            <w:tcW w:type="dxa" w:w="2880"/>
          </w:tcPr>
          <w:p>
            <w:pPr/>
            <w:r>
              <w:rPr>
                <w:sz w:val="18"/>
              </w:rPr>
              <w:t>**HKSCC/CCASS**</w:t>
            </w:r>
          </w:p>
        </w:tc>
        <w:tc>
          <w:tcPr>
            <w:tcW w:type="dxa" w:w="2880"/>
          </w:tcPr>
          <w:p>
            <w:pPr/>
            <w:r>
              <w:rPr>
                <w:sz w:val="18"/>
              </w:rPr>
              <w:t>CSD (Hong Kong)</w:t>
            </w:r>
          </w:p>
        </w:tc>
        <w:tc>
          <w:tcPr>
            <w:tcW w:type="dxa" w:w="2880"/>
          </w:tcPr>
          <w:p>
            <w:pPr/>
            <w:r>
              <w:rPr>
                <w:sz w:val="18"/>
              </w:rPr>
              <w:t>ChinaClear (Stock Connect); Euroclear (Bond Connect)</w:t>
            </w:r>
          </w:p>
        </w:tc>
      </w:tr>
      <w:tr>
        <w:tc>
          <w:tcPr>
            <w:tcW w:type="dxa" w:w="2880"/>
          </w:tcPr>
          <w:p>
            <w:pPr/>
            <w:r>
              <w:rPr>
                <w:sz w:val="18"/>
              </w:rPr>
              <w:t>**CSDC/ChinaClear**</w:t>
            </w:r>
          </w:p>
        </w:tc>
        <w:tc>
          <w:tcPr>
            <w:tcW w:type="dxa" w:w="2880"/>
          </w:tcPr>
          <w:p>
            <w:pPr/>
            <w:r>
              <w:rPr>
                <w:sz w:val="18"/>
              </w:rPr>
              <w:t>CSD (China)</w:t>
            </w:r>
          </w:p>
        </w:tc>
        <w:tc>
          <w:tcPr>
            <w:tcW w:type="dxa" w:w="2880"/>
          </w:tcPr>
          <w:p>
            <w:pPr/>
            <w:r>
              <w:rPr>
                <w:sz w:val="18"/>
              </w:rPr>
              <w:t>HKSCC (Stock Connect); Euroclear (Bond Connect); expanding global links</w:t>
            </w:r>
          </w:p>
        </w:tc>
      </w:tr>
      <w:tr>
        <w:tc>
          <w:tcPr>
            <w:tcW w:type="dxa" w:w="2880"/>
          </w:tcPr>
          <w:p>
            <w:pPr/>
            <w:r>
              <w:rPr>
                <w:sz w:val="18"/>
              </w:rPr>
              <w:t>**KSD** (Korea)</w:t>
            </w:r>
          </w:p>
        </w:tc>
        <w:tc>
          <w:tcPr>
            <w:tcW w:type="dxa" w:w="2880"/>
          </w:tcPr>
          <w:p>
            <w:pPr/>
            <w:r>
              <w:rPr>
                <w:sz w:val="18"/>
              </w:rPr>
              <w:t>CSD (Korea)</w:t>
            </w:r>
          </w:p>
        </w:tc>
        <w:tc>
          <w:tcPr>
            <w:tcW w:type="dxa" w:w="2880"/>
          </w:tcPr>
          <w:p>
            <w:pPr/>
            <w:r>
              <w:rPr>
                <w:sz w:val="18"/>
              </w:rPr>
              <w:t>Links with Euroclear, Clearstream, DTC for cross-border settlement</w:t>
            </w:r>
          </w:p>
        </w:tc>
      </w:tr>
    </w:tbl>
    <w:p/>
    <w:p>
      <w:pPr>
        <w:pStyle w:val="Heading3"/>
      </w:pPr>
      <w:r>
        <w:t>5.3 Cross-Border Clearing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Arrangement</w:t>
            </w:r>
          </w:p>
        </w:tc>
        <w:tc>
          <w:tcPr>
            <w:tcW w:type="dxa" w:w="2880"/>
          </w:tcPr>
          <w:p>
            <w:pPr/>
            <w:r>
              <w:rPr>
                <w:b/>
                <w:sz w:val="18"/>
              </w:rPr>
              <w:t>Participants</w:t>
            </w:r>
          </w:p>
        </w:tc>
        <w:tc>
          <w:tcPr>
            <w:tcW w:type="dxa" w:w="2880"/>
          </w:tcPr>
          <w:p>
            <w:pPr/>
            <w:r>
              <w:rPr>
                <w:b/>
                <w:sz w:val="18"/>
              </w:rPr>
              <w:t>Description</w:t>
            </w:r>
          </w:p>
        </w:tc>
      </w:tr>
      <w:tr>
        <w:tc>
          <w:tcPr>
            <w:tcW w:type="dxa" w:w="2880"/>
          </w:tcPr>
          <w:p>
            <w:pPr/>
            <w:r>
              <w:rPr>
                <w:sz w:val="18"/>
              </w:rPr>
              <w:t>**Stock Connect** (Shanghai/Shenzhen-Hong Kong)</w:t>
            </w:r>
          </w:p>
        </w:tc>
        <w:tc>
          <w:tcPr>
            <w:tcW w:type="dxa" w:w="2880"/>
          </w:tcPr>
          <w:p>
            <w:pPr/>
            <w:r>
              <w:rPr>
                <w:sz w:val="18"/>
              </w:rPr>
              <w:t>HKSCC, ChinaClear</w:t>
            </w:r>
          </w:p>
        </w:tc>
        <w:tc>
          <w:tcPr>
            <w:tcW w:type="dxa" w:w="2880"/>
          </w:tcPr>
          <w:p>
            <w:pPr/>
            <w:r>
              <w:rPr>
                <w:sz w:val="18"/>
              </w:rPr>
              <w:t>Mutual market access for equities; HKSCC as sole clearing participant of ChinaClear for northbound; ChinaClear as clearing agency participant of HKSCC for southbound</w:t>
            </w:r>
          </w:p>
        </w:tc>
      </w:tr>
      <w:tr>
        <w:tc>
          <w:tcPr>
            <w:tcW w:type="dxa" w:w="2880"/>
          </w:tcPr>
          <w:p>
            <w:pPr/>
            <w:r>
              <w:rPr>
                <w:sz w:val="18"/>
              </w:rPr>
              <w:t>**Bond Connect**</w:t>
            </w:r>
          </w:p>
        </w:tc>
        <w:tc>
          <w:tcPr>
            <w:tcW w:type="dxa" w:w="2880"/>
          </w:tcPr>
          <w:p>
            <w:pPr/>
            <w:r>
              <w:rPr>
                <w:sz w:val="18"/>
              </w:rPr>
              <w:t>CMU (HKMA), CFETS, ChinaClear</w:t>
            </w:r>
          </w:p>
        </w:tc>
        <w:tc>
          <w:tcPr>
            <w:tcW w:type="dxa" w:w="2880"/>
          </w:tcPr>
          <w:p>
            <w:pPr/>
            <w:r>
              <w:rPr>
                <w:sz w:val="18"/>
              </w:rPr>
              <w:t>Northbound and southbound bond market access; multi-currency settlement (CNY, HKD, USD, EUR)</w:t>
            </w:r>
          </w:p>
        </w:tc>
      </w:tr>
      <w:tr>
        <w:tc>
          <w:tcPr>
            <w:tcW w:type="dxa" w:w="2880"/>
          </w:tcPr>
          <w:p>
            <w:pPr/>
            <w:r>
              <w:rPr>
                <w:sz w:val="18"/>
              </w:rPr>
              <w:t>**Swap Connect**</w:t>
            </w:r>
          </w:p>
        </w:tc>
        <w:tc>
          <w:tcPr>
            <w:tcW w:type="dxa" w:w="2880"/>
          </w:tcPr>
          <w:p>
            <w:pPr/>
            <w:r>
              <w:rPr>
                <w:sz w:val="18"/>
              </w:rPr>
              <w:t>OTC Clear (HKEX), CFETS</w:t>
            </w:r>
          </w:p>
        </w:tc>
        <w:tc>
          <w:tcPr>
            <w:tcW w:type="dxa" w:w="2880"/>
          </w:tcPr>
          <w:p>
            <w:pPr/>
            <w:r>
              <w:rPr>
                <w:sz w:val="18"/>
              </w:rPr>
              <w:t>Northbound IRS mutual access; launched May 2023; tenor extended to 30 years</w:t>
            </w:r>
          </w:p>
        </w:tc>
      </w:tr>
      <w:tr>
        <w:tc>
          <w:tcPr>
            <w:tcW w:type="dxa" w:w="2880"/>
          </w:tcPr>
          <w:p>
            <w:pPr/>
            <w:r>
              <w:rPr>
                <w:sz w:val="18"/>
              </w:rPr>
              <w:t>**CME-FICC Cross-Margining**</w:t>
            </w:r>
          </w:p>
        </w:tc>
        <w:tc>
          <w:tcPr>
            <w:tcW w:type="dxa" w:w="2880"/>
          </w:tcPr>
          <w:p>
            <w:pPr/>
            <w:r>
              <w:rPr>
                <w:sz w:val="18"/>
              </w:rPr>
              <w:t>CME Clearing, FICC (DTCC)</w:t>
            </w:r>
          </w:p>
        </w:tc>
        <w:tc>
          <w:tcPr>
            <w:tcW w:type="dxa" w:w="2880"/>
          </w:tcPr>
          <w:p>
            <w:pPr/>
            <w:r>
              <w:rPr>
                <w:sz w:val="18"/>
              </w:rPr>
              <w:t>Capital efficiencies for U.S. Treasury cash and futures positions; launched Jan 2024; customer extension proposed</w:t>
            </w:r>
          </w:p>
        </w:tc>
      </w:tr>
      <w:tr>
        <w:tc>
          <w:tcPr>
            <w:tcW w:type="dxa" w:w="2880"/>
          </w:tcPr>
          <w:p>
            <w:pPr/>
            <w:r>
              <w:rPr>
                <w:sz w:val="18"/>
              </w:rPr>
              <w:t>**CME-OCC Cross-Margining**</w:t>
            </w:r>
          </w:p>
        </w:tc>
        <w:tc>
          <w:tcPr>
            <w:tcW w:type="dxa" w:w="2880"/>
          </w:tcPr>
          <w:p>
            <w:pPr/>
            <w:r>
              <w:rPr>
                <w:sz w:val="18"/>
              </w:rPr>
              <w:t>CME Clearing, OCC</w:t>
            </w:r>
          </w:p>
        </w:tc>
        <w:tc>
          <w:tcPr>
            <w:tcW w:type="dxa" w:w="2880"/>
          </w:tcPr>
          <w:p>
            <w:pPr/>
            <w:r>
              <w:rPr>
                <w:sz w:val="18"/>
              </w:rPr>
              <w:t>Equity index options (OCC) vs equity index futures (CME); established 1989</w:t>
            </w:r>
          </w:p>
        </w:tc>
      </w:tr>
      <w:tr>
        <w:tc>
          <w:tcPr>
            <w:tcW w:type="dxa" w:w="2880"/>
          </w:tcPr>
          <w:p>
            <w:pPr/>
            <w:r>
              <w:rPr>
                <w:sz w:val="18"/>
              </w:rPr>
              <w:t>**DTCC Cross-Guaranty**</w:t>
            </w:r>
          </w:p>
        </w:tc>
        <w:tc>
          <w:tcPr>
            <w:tcW w:type="dxa" w:w="2880"/>
          </w:tcPr>
          <w:p>
            <w:pPr/>
            <w:r>
              <w:rPr>
                <w:sz w:val="18"/>
              </w:rPr>
              <w:t>NSCC, FICC, DTC, OCC</w:t>
            </w:r>
          </w:p>
        </w:tc>
        <w:tc>
          <w:tcPr>
            <w:tcW w:type="dxa" w:w="2880"/>
          </w:tcPr>
          <w:p>
            <w:pPr/>
            <w:r>
              <w:rPr>
                <w:sz w:val="18"/>
              </w:rPr>
              <w:t>Mutual support among DTCC subsidiaries + OCC in member default scenarios</w:t>
            </w:r>
          </w:p>
        </w:tc>
      </w:tr>
      <w:tr>
        <w:tc>
          <w:tcPr>
            <w:tcW w:type="dxa" w:w="2880"/>
          </w:tcPr>
          <w:p>
            <w:pPr/>
            <w:r>
              <w:rPr>
                <w:sz w:val="18"/>
              </w:rPr>
              <w:t>**Canton Network**</w:t>
            </w:r>
          </w:p>
        </w:tc>
        <w:tc>
          <w:tcPr>
            <w:tcW w:type="dxa" w:w="2880"/>
          </w:tcPr>
          <w:p>
            <w:pPr/>
            <w:r>
              <w:rPr>
                <w:sz w:val="18"/>
              </w:rPr>
              <w:t>DTCC, Euroclear, others</w:t>
            </w:r>
          </w:p>
        </w:tc>
        <w:tc>
          <w:tcPr>
            <w:tcW w:type="dxa" w:w="2880"/>
          </w:tcPr>
          <w:p>
            <w:pPr/>
            <w:r>
              <w:rPr>
                <w:sz w:val="18"/>
              </w:rPr>
              <w:t>DLT-based cross-border tokenization and collateral infrastructure</w:t>
            </w:r>
          </w:p>
        </w:tc>
      </w:tr>
    </w:tbl>
    <w:p/>
    <w:p>
      <w:r>
        <w:t>────────────────────────────────────────────────────────────</w:t>
      </w:r>
    </w:p>
    <w:p>
      <w:pPr>
        <w:pStyle w:val="Heading2"/>
      </w:pPr>
      <w:r>
        <w:t>6. PFMI Compliance Status</w:t>
      </w:r>
    </w:p>
    <w:p>
      <w:pPr>
        <w:pStyle w:val="Heading3"/>
      </w:pPr>
      <w:r>
        <w:t>6.1 Compliance Overview</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PFMI Self-Assessment</w:t>
            </w:r>
          </w:p>
        </w:tc>
        <w:tc>
          <w:tcPr>
            <w:tcW w:type="dxa" w:w="1728"/>
          </w:tcPr>
          <w:p>
            <w:pPr/>
            <w:r>
              <w:rPr>
                <w:b/>
                <w:sz w:val="18"/>
              </w:rPr>
              <w:t>QCCP Status</w:t>
            </w:r>
          </w:p>
        </w:tc>
        <w:tc>
          <w:tcPr>
            <w:tcW w:type="dxa" w:w="1728"/>
          </w:tcPr>
          <w:p>
            <w:pPr/>
            <w:r>
              <w:rPr>
                <w:b/>
                <w:sz w:val="18"/>
              </w:rPr>
              <w:t>Cover Standard</w:t>
            </w:r>
          </w:p>
        </w:tc>
        <w:tc>
          <w:tcPr>
            <w:tcW w:type="dxa" w:w="1728"/>
          </w:tcPr>
          <w:p>
            <w:pPr/>
            <w:r>
              <w:rPr>
                <w:b/>
                <w:sz w:val="18"/>
              </w:rPr>
              <w:t>Key Gaps / Issues</w:t>
            </w:r>
          </w:p>
        </w:tc>
      </w:tr>
      <w:tr>
        <w:tc>
          <w:tcPr>
            <w:tcW w:type="dxa" w:w="1728"/>
          </w:tcPr>
          <w:p>
            <w:pPr/>
            <w:r>
              <w:rPr>
                <w:sz w:val="18"/>
              </w:rPr>
              <w:t>**NSCC** (DTCC)</w:t>
            </w:r>
          </w:p>
        </w:tc>
        <w:tc>
          <w:tcPr>
            <w:tcW w:type="dxa" w:w="1728"/>
          </w:tcPr>
          <w:p>
            <w:pPr/>
            <w:r>
              <w:rPr>
                <w:sz w:val="18"/>
              </w:rPr>
              <w:t>Yes (Q1 2025)</w:t>
            </w:r>
          </w:p>
        </w:tc>
        <w:tc>
          <w:tcPr>
            <w:tcW w:type="dxa" w:w="1728"/>
          </w:tcPr>
          <w:p>
            <w:pPr/>
            <w:r>
              <w:rPr>
                <w:sz w:val="18"/>
              </w:rPr>
              <w:t>Yes (Basel III)</w:t>
            </w:r>
          </w:p>
        </w:tc>
        <w:tc>
          <w:tcPr>
            <w:tcW w:type="dxa" w:w="1728"/>
          </w:tcPr>
          <w:p>
            <w:pPr/>
            <w:r>
              <w:rPr>
                <w:sz w:val="18"/>
              </w:rPr>
              <w:t>Cover 1</w:t>
            </w:r>
          </w:p>
        </w:tc>
        <w:tc>
          <w:tcPr>
            <w:tcW w:type="dxa" w:w="1728"/>
          </w:tcPr>
          <w:p>
            <w:pPr/>
            <w:r>
              <w:rPr>
                <w:sz w:val="18"/>
              </w:rPr>
              <w:t>Ongoing focus on cyber resilience, recovery planning</w:t>
            </w:r>
          </w:p>
        </w:tc>
      </w:tr>
      <w:tr>
        <w:tc>
          <w:tcPr>
            <w:tcW w:type="dxa" w:w="1728"/>
          </w:tcPr>
          <w:p>
            <w:pPr/>
            <w:r>
              <w:rPr>
                <w:sz w:val="18"/>
              </w:rPr>
              <w:t>**FICC** (DTCC)</w:t>
            </w:r>
          </w:p>
        </w:tc>
        <w:tc>
          <w:tcPr>
            <w:tcW w:type="dxa" w:w="1728"/>
          </w:tcPr>
          <w:p>
            <w:pPr/>
            <w:r>
              <w:rPr>
                <w:sz w:val="18"/>
              </w:rPr>
              <w:t>Yes</w:t>
            </w:r>
          </w:p>
        </w:tc>
        <w:tc>
          <w:tcPr>
            <w:tcW w:type="dxa" w:w="1728"/>
          </w:tcPr>
          <w:p>
            <w:pPr/>
            <w:r>
              <w:rPr>
                <w:sz w:val="18"/>
              </w:rPr>
              <w:t>Yes</w:t>
            </w:r>
          </w:p>
        </w:tc>
        <w:tc>
          <w:tcPr>
            <w:tcW w:type="dxa" w:w="1728"/>
          </w:tcPr>
          <w:p>
            <w:pPr/>
            <w:r>
              <w:rPr>
                <w:sz w:val="18"/>
              </w:rPr>
              <w:t>Cover 1</w:t>
            </w:r>
          </w:p>
        </w:tc>
        <w:tc>
          <w:tcPr>
            <w:tcW w:type="dxa" w:w="1728"/>
          </w:tcPr>
          <w:p>
            <w:pPr/>
            <w:r>
              <w:rPr>
                <w:sz w:val="18"/>
              </w:rPr>
              <w:t>Treasury clearing mandate implementation (2026-2027)</w:t>
            </w:r>
          </w:p>
        </w:tc>
      </w:tr>
      <w:tr>
        <w:tc>
          <w:tcPr>
            <w:tcW w:type="dxa" w:w="1728"/>
          </w:tcPr>
          <w:p>
            <w:pPr/>
            <w:r>
              <w:rPr>
                <w:sz w:val="18"/>
              </w:rPr>
              <w:t>**DTC** (DTCC)</w:t>
            </w:r>
          </w:p>
        </w:tc>
        <w:tc>
          <w:tcPr>
            <w:tcW w:type="dxa" w:w="1728"/>
          </w:tcPr>
          <w:p>
            <w:pPr/>
            <w:r>
              <w:rPr>
                <w:sz w:val="18"/>
              </w:rPr>
              <w:t>Yes (Q1 2024)</w:t>
            </w:r>
          </w:p>
        </w:tc>
        <w:tc>
          <w:tcPr>
            <w:tcW w:type="dxa" w:w="1728"/>
          </w:tcPr>
          <w:p>
            <w:pPr/>
            <w:r>
              <w:rPr>
                <w:sz w:val="18"/>
              </w:rPr>
              <w:t>Yes</w:t>
            </w:r>
          </w:p>
        </w:tc>
        <w:tc>
          <w:tcPr>
            <w:tcW w:type="dxa" w:w="1728"/>
          </w:tcPr>
          <w:p>
            <w:pPr/>
            <w:r>
              <w:rPr>
                <w:sz w:val="18"/>
              </w:rPr>
              <w:t>N/A (CSD)</w:t>
            </w:r>
          </w:p>
        </w:tc>
        <w:tc>
          <w:tcPr>
            <w:tcW w:type="dxa" w:w="1728"/>
          </w:tcPr>
          <w:p>
            <w:pPr/>
            <w:r>
              <w:rPr>
                <w:sz w:val="18"/>
              </w:rPr>
              <w:t>Settlement transformation underway</w:t>
            </w:r>
          </w:p>
        </w:tc>
      </w:tr>
      <w:tr>
        <w:tc>
          <w:tcPr>
            <w:tcW w:type="dxa" w:w="1728"/>
          </w:tcPr>
          <w:p>
            <w:pPr/>
            <w:r>
              <w:rPr>
                <w:sz w:val="18"/>
              </w:rPr>
              <w:t>**LCH Ltd**</w:t>
            </w:r>
          </w:p>
        </w:tc>
        <w:tc>
          <w:tcPr>
            <w:tcW w:type="dxa" w:w="1728"/>
          </w:tcPr>
          <w:p>
            <w:pPr/>
            <w:r>
              <w:rPr>
                <w:sz w:val="18"/>
              </w:rPr>
              <w:t>Yes (Q3 2024)</w:t>
            </w:r>
          </w:p>
        </w:tc>
        <w:tc>
          <w:tcPr>
            <w:tcW w:type="dxa" w:w="1728"/>
          </w:tcPr>
          <w:p>
            <w:pPr/>
            <w:r>
              <w:rPr>
                <w:sz w:val="18"/>
              </w:rPr>
              <w:t>Yes (multi-jurisdictional)</w:t>
            </w:r>
          </w:p>
        </w:tc>
        <w:tc>
          <w:tcPr>
            <w:tcW w:type="dxa" w:w="1728"/>
          </w:tcPr>
          <w:p>
            <w:pPr/>
            <w:r>
              <w:rPr>
                <w:sz w:val="18"/>
              </w:rPr>
              <w:t>Cover 2</w:t>
            </w:r>
          </w:p>
        </w:tc>
        <w:tc>
          <w:tcPr>
            <w:tcW w:type="dxa" w:w="1728"/>
          </w:tcPr>
          <w:p>
            <w:pPr/>
            <w:r>
              <w:rPr>
                <w:sz w:val="18"/>
              </w:rPr>
              <w:t>Post-Brexit equivalence (extended to June 2028); EU Tier 2 classification</w:t>
            </w:r>
          </w:p>
        </w:tc>
      </w:tr>
      <w:tr>
        <w:tc>
          <w:tcPr>
            <w:tcW w:type="dxa" w:w="1728"/>
          </w:tcPr>
          <w:p>
            <w:pPr/>
            <w:r>
              <w:rPr>
                <w:sz w:val="18"/>
              </w:rPr>
              <w:t>**LCH SA**</w:t>
            </w:r>
          </w:p>
        </w:tc>
        <w:tc>
          <w:tcPr>
            <w:tcW w:type="dxa" w:w="1728"/>
          </w:tcPr>
          <w:p>
            <w:pPr/>
            <w:r>
              <w:rPr>
                <w:sz w:val="18"/>
              </w:rPr>
              <w:t>Yes (Q1 2025)</w:t>
            </w:r>
          </w:p>
        </w:tc>
        <w:tc>
          <w:tcPr>
            <w:tcW w:type="dxa" w:w="1728"/>
          </w:tcPr>
          <w:p>
            <w:pPr/>
            <w:r>
              <w:rPr>
                <w:sz w:val="18"/>
              </w:rPr>
              <w:t>Yes (EU-authorized)</w:t>
            </w:r>
          </w:p>
        </w:tc>
        <w:tc>
          <w:tcPr>
            <w:tcW w:type="dxa" w:w="1728"/>
          </w:tcPr>
          <w:p>
            <w:pPr/>
            <w:r>
              <w:rPr>
                <w:sz w:val="18"/>
              </w:rPr>
              <w:t>Cover 2</w:t>
            </w:r>
          </w:p>
        </w:tc>
        <w:tc>
          <w:tcPr>
            <w:tcW w:type="dxa" w:w="1728"/>
          </w:tcPr>
          <w:p>
            <w:pPr/>
            <w:r>
              <w:rPr>
                <w:sz w:val="18"/>
              </w:rPr>
              <w:t>Service realignment after Euronext departure</w:t>
            </w:r>
          </w:p>
        </w:tc>
      </w:tr>
      <w:tr>
        <w:tc>
          <w:tcPr>
            <w:tcW w:type="dxa" w:w="1728"/>
          </w:tcPr>
          <w:p>
            <w:pPr/>
            <w:r>
              <w:rPr>
                <w:sz w:val="18"/>
              </w:rPr>
              <w:t>**OCC**</w:t>
            </w:r>
          </w:p>
        </w:tc>
        <w:tc>
          <w:tcPr>
            <w:tcW w:type="dxa" w:w="1728"/>
          </w:tcPr>
          <w:p>
            <w:pPr/>
            <w:r>
              <w:rPr>
                <w:sz w:val="18"/>
              </w:rPr>
              <w:t>Yes</w:t>
            </w:r>
          </w:p>
        </w:tc>
        <w:tc>
          <w:tcPr>
            <w:tcW w:type="dxa" w:w="1728"/>
          </w:tcPr>
          <w:p>
            <w:pPr/>
            <w:r>
              <w:rPr>
                <w:sz w:val="18"/>
              </w:rPr>
              <w:t>Yes</w:t>
            </w:r>
          </w:p>
        </w:tc>
        <w:tc>
          <w:tcPr>
            <w:tcW w:type="dxa" w:w="1728"/>
          </w:tcPr>
          <w:p>
            <w:pPr/>
            <w:r>
              <w:rPr>
                <w:sz w:val="18"/>
              </w:rPr>
              <w:t>Cover 2</w:t>
            </w:r>
          </w:p>
        </w:tc>
        <w:tc>
          <w:tcPr>
            <w:tcW w:type="dxa" w:w="1728"/>
          </w:tcPr>
          <w:p>
            <w:pPr/>
            <w:r>
              <w:rPr>
                <w:sz w:val="18"/>
              </w:rPr>
              <w:t>2019-2021 Clearing Fund underfunding ($200-588M); SEC/CFTC penalties ($22M); Renaissance tech modernization</w:t>
            </w:r>
          </w:p>
        </w:tc>
      </w:tr>
      <w:tr>
        <w:tc>
          <w:tcPr>
            <w:tcW w:type="dxa" w:w="1728"/>
          </w:tcPr>
          <w:p>
            <w:pPr/>
            <w:r>
              <w:rPr>
                <w:sz w:val="18"/>
              </w:rPr>
              <w:t>**CME Clearing**</w:t>
            </w:r>
          </w:p>
        </w:tc>
        <w:tc>
          <w:tcPr>
            <w:tcW w:type="dxa" w:w="1728"/>
          </w:tcPr>
          <w:p>
            <w:pPr/>
            <w:r>
              <w:rPr>
                <w:sz w:val="18"/>
              </w:rPr>
              <w:t>Yes (Nov 2023)</w:t>
            </w:r>
          </w:p>
        </w:tc>
        <w:tc>
          <w:tcPr>
            <w:tcW w:type="dxa" w:w="1728"/>
          </w:tcPr>
          <w:p>
            <w:pPr/>
            <w:r>
              <w:rPr>
                <w:sz w:val="18"/>
              </w:rPr>
              <w:t>Yes (ESMA-recognized)</w:t>
            </w:r>
          </w:p>
        </w:tc>
        <w:tc>
          <w:tcPr>
            <w:tcW w:type="dxa" w:w="1728"/>
          </w:tcPr>
          <w:p>
            <w:pPr/>
            <w:r>
              <w:rPr>
                <w:sz w:val="18"/>
              </w:rPr>
              <w:t>Cover 2</w:t>
            </w:r>
          </w:p>
        </w:tc>
        <w:tc>
          <w:tcPr>
            <w:tcW w:type="dxa" w:w="1728"/>
          </w:tcPr>
          <w:p>
            <w:pPr/>
            <w:r>
              <w:rPr>
                <w:sz w:val="18"/>
              </w:rPr>
              <w:t>Nov 2025 data center outage; SPAN-to-SPAN 2 transition</w:t>
            </w:r>
          </w:p>
        </w:tc>
      </w:tr>
      <w:tr>
        <w:tc>
          <w:tcPr>
            <w:tcW w:type="dxa" w:w="1728"/>
          </w:tcPr>
          <w:p>
            <w:pPr/>
            <w:r>
              <w:rPr>
                <w:sz w:val="18"/>
              </w:rPr>
              <w:t>**Eurex Clearing**</w:t>
            </w:r>
          </w:p>
        </w:tc>
        <w:tc>
          <w:tcPr>
            <w:tcW w:type="dxa" w:w="1728"/>
          </w:tcPr>
          <w:p>
            <w:pPr/>
            <w:r>
              <w:rPr>
                <w:sz w:val="18"/>
              </w:rPr>
              <w:t>Yes</w:t>
            </w:r>
          </w:p>
        </w:tc>
        <w:tc>
          <w:tcPr>
            <w:tcW w:type="dxa" w:w="1728"/>
          </w:tcPr>
          <w:p>
            <w:pPr/>
            <w:r>
              <w:rPr>
                <w:sz w:val="18"/>
              </w:rPr>
              <w:t>Yes (EU-authorized, CFTC DCO)</w:t>
            </w:r>
          </w:p>
        </w:tc>
        <w:tc>
          <w:tcPr>
            <w:tcW w:type="dxa" w:w="1728"/>
          </w:tcPr>
          <w:p>
            <w:pPr/>
            <w:r>
              <w:rPr>
                <w:sz w:val="18"/>
              </w:rPr>
              <w:t>Cover 2</w:t>
            </w:r>
          </w:p>
        </w:tc>
        <w:tc>
          <w:tcPr>
            <w:tcW w:type="dxa" w:w="1728"/>
          </w:tcPr>
          <w:p>
            <w:pPr/>
            <w:r>
              <w:rPr>
                <w:sz w:val="18"/>
              </w:rPr>
              <w:t>EMIR 3.0 active account compliance; Prisma Bonds migration</w:t>
            </w:r>
          </w:p>
        </w:tc>
      </w:tr>
      <w:tr>
        <w:tc>
          <w:tcPr>
            <w:tcW w:type="dxa" w:w="1728"/>
          </w:tcPr>
          <w:p>
            <w:pPr/>
            <w:r>
              <w:rPr>
                <w:sz w:val="18"/>
              </w:rPr>
              <w:t>**JSCC**</w:t>
            </w:r>
          </w:p>
        </w:tc>
        <w:tc>
          <w:tcPr>
            <w:tcW w:type="dxa" w:w="1728"/>
          </w:tcPr>
          <w:p>
            <w:pPr/>
            <w:r>
              <w:rPr>
                <w:sz w:val="18"/>
              </w:rPr>
              <w:t>Yes (Mar 2025)</w:t>
            </w:r>
          </w:p>
        </w:tc>
        <w:tc>
          <w:tcPr>
            <w:tcW w:type="dxa" w:w="1728"/>
          </w:tcPr>
          <w:p>
            <w:pPr/>
            <w:r>
              <w:rPr>
                <w:sz w:val="18"/>
              </w:rPr>
              <w:t>Yes (EU, CFTC exempt DCO, multi-jurisdictional)</w:t>
            </w:r>
          </w:p>
        </w:tc>
        <w:tc>
          <w:tcPr>
            <w:tcW w:type="dxa" w:w="1728"/>
          </w:tcPr>
          <w:p>
            <w:pPr/>
            <w:r>
              <w:rPr>
                <w:sz w:val="18"/>
              </w:rPr>
              <w:t>Cover 2</w:t>
            </w:r>
          </w:p>
        </w:tc>
        <w:tc>
          <w:tcPr>
            <w:tcW w:type="dxa" w:w="1728"/>
          </w:tcPr>
          <w:p>
            <w:pPr/>
            <w:r>
              <w:rPr>
                <w:sz w:val="18"/>
              </w:rPr>
              <w:t>SPAN-to-VaR migration completed; default fund consolidation under consideration</w:t>
            </w:r>
          </w:p>
        </w:tc>
      </w:tr>
      <w:tr>
        <w:tc>
          <w:tcPr>
            <w:tcW w:type="dxa" w:w="1728"/>
          </w:tcPr>
          <w:p>
            <w:pPr/>
            <w:r>
              <w:rPr>
                <w:sz w:val="18"/>
              </w:rPr>
              <w:t>**HKSCC/HKCC/SEOCH**</w:t>
            </w:r>
          </w:p>
        </w:tc>
        <w:tc>
          <w:tcPr>
            <w:tcW w:type="dxa" w:w="1728"/>
          </w:tcPr>
          <w:p>
            <w:pPr/>
            <w:r>
              <w:rPr>
                <w:sz w:val="18"/>
              </w:rPr>
              <w:t>Yes (2024)</w:t>
            </w:r>
          </w:p>
        </w:tc>
        <w:tc>
          <w:tcPr>
            <w:tcW w:type="dxa" w:w="1728"/>
          </w:tcPr>
          <w:p>
            <w:pPr/>
            <w:r>
              <w:rPr>
                <w:sz w:val="18"/>
              </w:rPr>
              <w:t>[unverified -- ESMA recognition pending confirmation]</w:t>
            </w:r>
          </w:p>
        </w:tc>
        <w:tc>
          <w:tcPr>
            <w:tcW w:type="dxa" w:w="1728"/>
          </w:tcPr>
          <w:p>
            <w:pPr/>
            <w:r>
              <w:rPr>
                <w:sz w:val="18"/>
              </w:rPr>
              <w:t>Cover 2</w:t>
            </w:r>
          </w:p>
        </w:tc>
        <w:tc>
          <w:tcPr>
            <w:tcW w:type="dxa" w:w="1728"/>
          </w:tcPr>
          <w:p>
            <w:pPr/>
            <w:r>
              <w:rPr>
                <w:sz w:val="18"/>
              </w:rPr>
              <w:t>T+1 transition planning; USM implementation</w:t>
            </w:r>
          </w:p>
        </w:tc>
      </w:tr>
      <w:tr>
        <w:tc>
          <w:tcPr>
            <w:tcW w:type="dxa" w:w="1728"/>
          </w:tcPr>
          <w:p>
            <w:pPr/>
            <w:r>
              <w:rPr>
                <w:sz w:val="18"/>
              </w:rPr>
              <w:t>**CDP** (Singapore)</w:t>
            </w:r>
          </w:p>
        </w:tc>
        <w:tc>
          <w:tcPr>
            <w:tcW w:type="dxa" w:w="1728"/>
          </w:tcPr>
          <w:p>
            <w:pPr/>
            <w:r>
              <w:rPr>
                <w:sz w:val="18"/>
              </w:rPr>
              <w:t>Yes</w:t>
            </w:r>
          </w:p>
        </w:tc>
        <w:tc>
          <w:tcPr>
            <w:tcW w:type="dxa" w:w="1728"/>
          </w:tcPr>
          <w:p>
            <w:pPr/>
            <w:r>
              <w:rPr>
                <w:sz w:val="18"/>
              </w:rPr>
              <w:t>[data not available]</w:t>
            </w:r>
          </w:p>
        </w:tc>
        <w:tc>
          <w:tcPr>
            <w:tcW w:type="dxa" w:w="1728"/>
          </w:tcPr>
          <w:p>
            <w:pPr/>
            <w:r>
              <w:rPr>
                <w:sz w:val="18"/>
              </w:rPr>
              <w:t>[data not available]</w:t>
            </w:r>
          </w:p>
        </w:tc>
        <w:tc>
          <w:tcPr>
            <w:tcW w:type="dxa" w:w="1728"/>
          </w:tcPr>
          <w:p>
            <w:pPr/>
            <w:r>
              <w:rPr>
                <w:sz w:val="18"/>
              </w:rPr>
              <w:t>Small clearing fund relative to market size</w:t>
            </w:r>
          </w:p>
        </w:tc>
      </w:tr>
      <w:tr>
        <w:tc>
          <w:tcPr>
            <w:tcW w:type="dxa" w:w="1728"/>
          </w:tcPr>
          <w:p>
            <w:pPr/>
            <w:r>
              <w:rPr>
                <w:sz w:val="18"/>
              </w:rPr>
              <w:t>**Cboe Clear Europe**</w:t>
            </w:r>
          </w:p>
        </w:tc>
        <w:tc>
          <w:tcPr>
            <w:tcW w:type="dxa" w:w="1728"/>
          </w:tcPr>
          <w:p>
            <w:pPr/>
            <w:r>
              <w:rPr>
                <w:sz w:val="18"/>
              </w:rPr>
              <w:t>Yes</w:t>
            </w:r>
          </w:p>
        </w:tc>
        <w:tc>
          <w:tcPr>
            <w:tcW w:type="dxa" w:w="1728"/>
          </w:tcPr>
          <w:p>
            <w:pPr/>
            <w:r>
              <w:rPr>
                <w:sz w:val="18"/>
              </w:rPr>
              <w:t>Yes (EU-authorized)</w:t>
            </w:r>
          </w:p>
        </w:tc>
        <w:tc>
          <w:tcPr>
            <w:tcW w:type="dxa" w:w="1728"/>
          </w:tcPr>
          <w:p>
            <w:pPr/>
            <w:r>
              <w:rPr>
                <w:sz w:val="18"/>
              </w:rPr>
              <w:t>Cover 1 or Cover 2 (per EMIR)</w:t>
            </w:r>
          </w:p>
        </w:tc>
        <w:tc>
          <w:tcPr>
            <w:tcW w:type="dxa" w:w="1728"/>
          </w:tcPr>
          <w:p>
            <w:pPr/>
            <w:r>
              <w:rPr>
                <w:sz w:val="18"/>
              </w:rPr>
              <w:t>SFT clearing launch (Mar 2025); small SITG</w:t>
            </w:r>
          </w:p>
        </w:tc>
      </w:tr>
      <w:tr>
        <w:tc>
          <w:tcPr>
            <w:tcW w:type="dxa" w:w="1728"/>
          </w:tcPr>
          <w:p>
            <w:pPr/>
            <w:r>
              <w:rPr>
                <w:sz w:val="18"/>
              </w:rPr>
              <w:t>**ICE Clear U.S.**</w:t>
            </w:r>
          </w:p>
        </w:tc>
        <w:tc>
          <w:tcPr>
            <w:tcW w:type="dxa" w:w="1728"/>
          </w:tcPr>
          <w:p>
            <w:pPr/>
            <w:r>
              <w:rPr>
                <w:sz w:val="18"/>
              </w:rPr>
              <w:t>Yes</w:t>
            </w:r>
          </w:p>
        </w:tc>
        <w:tc>
          <w:tcPr>
            <w:tcW w:type="dxa" w:w="1728"/>
          </w:tcPr>
          <w:p>
            <w:pPr/>
            <w:r>
              <w:rPr>
                <w:sz w:val="18"/>
              </w:rPr>
              <w:t>Yes [unverified]</w:t>
            </w:r>
          </w:p>
        </w:tc>
        <w:tc>
          <w:tcPr>
            <w:tcW w:type="dxa" w:w="1728"/>
          </w:tcPr>
          <w:p>
            <w:pPr/>
            <w:r>
              <w:rPr>
                <w:sz w:val="18"/>
              </w:rPr>
              <w:t>Cover 2</w:t>
            </w:r>
          </w:p>
        </w:tc>
        <w:tc>
          <w:tcPr>
            <w:tcW w:type="dxa" w:w="1728"/>
          </w:tcPr>
          <w:p>
            <w:pPr/>
            <w:r>
              <w:rPr>
                <w:sz w:val="18"/>
              </w:rPr>
              <w:t>IRM 2 rollout ongoing</w:t>
            </w:r>
          </w:p>
        </w:tc>
      </w:tr>
      <w:tr>
        <w:tc>
          <w:tcPr>
            <w:tcW w:type="dxa" w:w="1728"/>
          </w:tcPr>
          <w:p>
            <w:pPr/>
            <w:r>
              <w:rPr>
                <w:sz w:val="18"/>
              </w:rPr>
              <w:t>**ICE Clear Europe**</w:t>
            </w:r>
          </w:p>
        </w:tc>
        <w:tc>
          <w:tcPr>
            <w:tcW w:type="dxa" w:w="1728"/>
          </w:tcPr>
          <w:p>
            <w:pPr/>
            <w:r>
              <w:rPr>
                <w:sz w:val="18"/>
              </w:rPr>
              <w:t>Yes</w:t>
            </w:r>
          </w:p>
        </w:tc>
        <w:tc>
          <w:tcPr>
            <w:tcW w:type="dxa" w:w="1728"/>
          </w:tcPr>
          <w:p>
            <w:pPr/>
            <w:r>
              <w:rPr>
                <w:sz w:val="18"/>
              </w:rPr>
              <w:t>Yes (UK/EU recognized)</w:t>
            </w:r>
          </w:p>
        </w:tc>
        <w:tc>
          <w:tcPr>
            <w:tcW w:type="dxa" w:w="1728"/>
          </w:tcPr>
          <w:p>
            <w:pPr/>
            <w:r>
              <w:rPr>
                <w:sz w:val="18"/>
              </w:rPr>
              <w:t>Cover 2</w:t>
            </w:r>
          </w:p>
        </w:tc>
        <w:tc>
          <w:tcPr>
            <w:tcW w:type="dxa" w:w="1728"/>
          </w:tcPr>
          <w:p>
            <w:pPr/>
            <w:r>
              <w:rPr>
                <w:sz w:val="18"/>
              </w:rPr>
              <w:t>IRM 2 rollout ongoing</w:t>
            </w:r>
          </w:p>
        </w:tc>
      </w:tr>
      <w:tr>
        <w:tc>
          <w:tcPr>
            <w:tcW w:type="dxa" w:w="1728"/>
          </w:tcPr>
          <w:p>
            <w:pPr/>
            <w:r>
              <w:rPr>
                <w:sz w:val="18"/>
              </w:rPr>
              <w:t>**ICE Clear Credit**</w:t>
            </w:r>
          </w:p>
        </w:tc>
        <w:tc>
          <w:tcPr>
            <w:tcW w:type="dxa" w:w="1728"/>
          </w:tcPr>
          <w:p>
            <w:pPr/>
            <w:r>
              <w:rPr>
                <w:sz w:val="18"/>
              </w:rPr>
              <w:t>Yes</w:t>
            </w:r>
          </w:p>
        </w:tc>
        <w:tc>
          <w:tcPr>
            <w:tcW w:type="dxa" w:w="1728"/>
          </w:tcPr>
          <w:p>
            <w:pPr/>
            <w:r>
              <w:rPr>
                <w:sz w:val="18"/>
              </w:rPr>
              <w:t>Yes (SIFMU)</w:t>
            </w:r>
          </w:p>
        </w:tc>
        <w:tc>
          <w:tcPr>
            <w:tcW w:type="dxa" w:w="1728"/>
          </w:tcPr>
          <w:p>
            <w:pPr/>
            <w:r>
              <w:rPr>
                <w:sz w:val="18"/>
              </w:rPr>
              <w:t>Cover 2</w:t>
            </w:r>
          </w:p>
        </w:tc>
        <w:tc>
          <w:tcPr>
            <w:tcW w:type="dxa" w:w="1728"/>
          </w:tcPr>
          <w:p>
            <w:pPr/>
            <w:r>
              <w:rPr>
                <w:sz w:val="18"/>
              </w:rPr>
              <w:t>U.S. Treasury clearing launched Feb 2026</w:t>
            </w:r>
          </w:p>
        </w:tc>
      </w:tr>
      <w:tr>
        <w:tc>
          <w:tcPr>
            <w:tcW w:type="dxa" w:w="1728"/>
          </w:tcPr>
          <w:p>
            <w:pPr/>
            <w:r>
              <w:rPr>
                <w:sz w:val="18"/>
              </w:rPr>
              <w:t>**ASX Clear / Clear (Futures)**</w:t>
            </w:r>
          </w:p>
        </w:tc>
        <w:tc>
          <w:tcPr>
            <w:tcW w:type="dxa" w:w="1728"/>
          </w:tcPr>
          <w:p>
            <w:pPr/>
            <w:r>
              <w:rPr>
                <w:sz w:val="18"/>
              </w:rPr>
              <w:t>Yes</w:t>
            </w:r>
          </w:p>
        </w:tc>
        <w:tc>
          <w:tcPr>
            <w:tcW w:type="dxa" w:w="1728"/>
          </w:tcPr>
          <w:p>
            <w:pPr/>
            <w:r>
              <w:rPr>
                <w:sz w:val="18"/>
              </w:rPr>
              <w:t>Yes (ESMA-recognized)</w:t>
            </w:r>
          </w:p>
        </w:tc>
        <w:tc>
          <w:tcPr>
            <w:tcW w:type="dxa" w:w="1728"/>
          </w:tcPr>
          <w:p>
            <w:pPr/>
            <w:r>
              <w:rPr>
                <w:sz w:val="18"/>
              </w:rPr>
              <w:t>Cover 2</w:t>
            </w:r>
          </w:p>
        </w:tc>
        <w:tc>
          <w:tcPr>
            <w:tcW w:type="dxa" w:w="1728"/>
          </w:tcPr>
          <w:p>
            <w:pPr/>
            <w:r>
              <w:rPr>
                <w:sz w:val="18"/>
              </w:rPr>
              <w:t>**RBA downgraded to "not observed" on Operational Risk** (2024/25); CHESS failure (Dec 2024); ASIC Inquiry launched (Jun 2025); credit stress test errors identified</w:t>
            </w:r>
          </w:p>
        </w:tc>
      </w:tr>
      <w:tr>
        <w:tc>
          <w:tcPr>
            <w:tcW w:type="dxa" w:w="1728"/>
          </w:tcPr>
          <w:p>
            <w:pPr/>
            <w:r>
              <w:rPr>
                <w:sz w:val="18"/>
              </w:rPr>
              <w:t>**KRX**</w:t>
            </w:r>
          </w:p>
        </w:tc>
        <w:tc>
          <w:tcPr>
            <w:tcW w:type="dxa" w:w="1728"/>
          </w:tcPr>
          <w:p>
            <w:pPr/>
            <w:r>
              <w:rPr>
                <w:sz w:val="18"/>
              </w:rPr>
              <w:t>Yes (IMF FSAP 2014)</w:t>
            </w:r>
          </w:p>
        </w:tc>
        <w:tc>
          <w:tcPr>
            <w:tcW w:type="dxa" w:w="1728"/>
          </w:tcPr>
          <w:p>
            <w:pPr/>
            <w:r>
              <w:rPr>
                <w:sz w:val="18"/>
              </w:rPr>
              <w:t>Yes [unverified]</w:t>
            </w:r>
          </w:p>
        </w:tc>
        <w:tc>
          <w:tcPr>
            <w:tcW w:type="dxa" w:w="1728"/>
          </w:tcPr>
          <w:p>
            <w:pPr/>
            <w:r>
              <w:rPr>
                <w:sz w:val="18"/>
              </w:rPr>
              <w:t>Cover 2 [unverified]</w:t>
            </w:r>
          </w:p>
        </w:tc>
        <w:tc>
          <w:tcPr>
            <w:tcW w:type="dxa" w:w="1728"/>
          </w:tcPr>
          <w:p>
            <w:pPr/>
            <w:r>
              <w:rPr>
                <w:sz w:val="18"/>
              </w:rPr>
              <w:t>No dedicated CCP R&amp;R regime; margin methodology modernization pending</w:t>
            </w:r>
          </w:p>
        </w:tc>
      </w:tr>
      <w:tr>
        <w:tc>
          <w:tcPr>
            <w:tcW w:type="dxa" w:w="1728"/>
          </w:tcPr>
          <w:p>
            <w:pPr/>
            <w:r>
              <w:rPr>
                <w:sz w:val="18"/>
              </w:rPr>
              <w:t>**CCIL** (India)</w:t>
            </w:r>
          </w:p>
        </w:tc>
        <w:tc>
          <w:tcPr>
            <w:tcW w:type="dxa" w:w="1728"/>
          </w:tcPr>
          <w:p>
            <w:pPr/>
            <w:r>
              <w:rPr>
                <w:sz w:val="18"/>
              </w:rPr>
              <w:t>Yes</w:t>
            </w:r>
          </w:p>
        </w:tc>
        <w:tc>
          <w:tcPr>
            <w:tcW w:type="dxa" w:w="1728"/>
          </w:tcPr>
          <w:p>
            <w:pPr/>
            <w:r>
              <w:rPr>
                <w:sz w:val="18"/>
              </w:rPr>
              <w:t>Yes (RBI-designated)</w:t>
            </w:r>
          </w:p>
        </w:tc>
        <w:tc>
          <w:tcPr>
            <w:tcW w:type="dxa" w:w="1728"/>
          </w:tcPr>
          <w:p>
            <w:pPr/>
            <w:r>
              <w:rPr>
                <w:sz w:val="18"/>
              </w:rPr>
              <w:t>[data not available]</w:t>
            </w:r>
          </w:p>
        </w:tc>
        <w:tc>
          <w:tcPr>
            <w:tcW w:type="dxa" w:w="1728"/>
          </w:tcPr>
          <w:p>
            <w:pPr/>
            <w:r>
              <w:rPr>
                <w:sz w:val="18"/>
              </w:rPr>
              <w:t>**ESMA derecognition** (2022-2026) due to MoU dispute with RBI; resolved 2026 with new MoU</w:t>
            </w:r>
          </w:p>
        </w:tc>
      </w:tr>
    </w:tbl>
    <w:p/>
    <w:p>
      <w:pPr>
        <w:pStyle w:val="Heading3"/>
      </w:pPr>
      <w:r>
        <w:t>6.2 CPMI-IOSCO PQD Disclosure Quality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Tier</w:t>
            </w:r>
          </w:p>
        </w:tc>
        <w:tc>
          <w:tcPr>
            <w:tcW w:type="dxa" w:w="2160"/>
          </w:tcPr>
          <w:p>
            <w:pPr/>
            <w:r>
              <w:rPr>
                <w:b/>
                <w:sz w:val="18"/>
              </w:rPr>
              <w:t>Organizations</w:t>
            </w:r>
          </w:p>
        </w:tc>
        <w:tc>
          <w:tcPr>
            <w:tcW w:type="dxa" w:w="2160"/>
          </w:tcPr>
          <w:p>
            <w:pPr/>
            <w:r>
              <w:rPr>
                <w:b/>
                <w:sz w:val="18"/>
              </w:rPr>
              <w:t>PQD Frequency</w:t>
            </w:r>
          </w:p>
        </w:tc>
        <w:tc>
          <w:tcPr>
            <w:tcW w:type="dxa" w:w="2160"/>
          </w:tcPr>
          <w:p>
            <w:pPr/>
            <w:r>
              <w:rPr>
                <w:b/>
                <w:sz w:val="18"/>
              </w:rPr>
              <w:t>Quality Assessment</w:t>
            </w:r>
          </w:p>
        </w:tc>
      </w:tr>
      <w:tr>
        <w:tc>
          <w:tcPr>
            <w:tcW w:type="dxa" w:w="2160"/>
          </w:tcPr>
          <w:p>
            <w:pPr/>
            <w:r>
              <w:rPr>
                <w:sz w:val="18"/>
              </w:rPr>
              <w:t>Best practice</w:t>
            </w:r>
          </w:p>
        </w:tc>
        <w:tc>
          <w:tcPr>
            <w:tcW w:type="dxa" w:w="2160"/>
          </w:tcPr>
          <w:p>
            <w:pPr/>
            <w:r>
              <w:rPr>
                <w:sz w:val="18"/>
              </w:rPr>
              <w:t>DTCC (NSCC, FICC), LCH (Ltd, SA), Eurex, CME, OCC, ICE entities</w:t>
            </w:r>
          </w:p>
        </w:tc>
        <w:tc>
          <w:tcPr>
            <w:tcW w:type="dxa" w:w="2160"/>
          </w:tcPr>
          <w:p>
            <w:pPr/>
            <w:r>
              <w:rPr>
                <w:sz w:val="18"/>
              </w:rPr>
              <w:t>Quarterly</w:t>
            </w:r>
          </w:p>
        </w:tc>
        <w:tc>
          <w:tcPr>
            <w:tcW w:type="dxa" w:w="2160"/>
          </w:tcPr>
          <w:p>
            <w:pPr/>
            <w:r>
              <w:rPr>
                <w:sz w:val="18"/>
              </w:rPr>
              <w:t>Comprehensive; 200+ data fields; multi-year historical data available</w:t>
            </w:r>
          </w:p>
        </w:tc>
      </w:tr>
      <w:tr>
        <w:tc>
          <w:tcPr>
            <w:tcW w:type="dxa" w:w="2160"/>
          </w:tcPr>
          <w:p>
            <w:pPr/>
            <w:r>
              <w:rPr>
                <w:sz w:val="18"/>
              </w:rPr>
              <w:t>Good</w:t>
            </w:r>
          </w:p>
        </w:tc>
        <w:tc>
          <w:tcPr>
            <w:tcW w:type="dxa" w:w="2160"/>
          </w:tcPr>
          <w:p>
            <w:pPr/>
            <w:r>
              <w:rPr>
                <w:sz w:val="18"/>
              </w:rPr>
              <w:t>JSCC, HKEX clearing houses, CDP, Cboe Clear Europe, ASX, SIX x-clear</w:t>
            </w:r>
          </w:p>
        </w:tc>
        <w:tc>
          <w:tcPr>
            <w:tcW w:type="dxa" w:w="2160"/>
          </w:tcPr>
          <w:p>
            <w:pPr/>
            <w:r>
              <w:rPr>
                <w:sz w:val="18"/>
              </w:rPr>
              <w:t>Quarterly</w:t>
            </w:r>
          </w:p>
        </w:tc>
        <w:tc>
          <w:tcPr>
            <w:tcW w:type="dxa" w:w="2160"/>
          </w:tcPr>
          <w:p>
            <w:pPr/>
            <w:r>
              <w:rPr>
                <w:sz w:val="18"/>
              </w:rPr>
              <w:t>Standard compliance; some gaps in detail</w:t>
            </w:r>
          </w:p>
        </w:tc>
      </w:tr>
      <w:tr>
        <w:tc>
          <w:tcPr>
            <w:tcW w:type="dxa" w:w="2160"/>
          </w:tcPr>
          <w:p>
            <w:pPr/>
            <w:r>
              <w:rPr>
                <w:sz w:val="18"/>
              </w:rPr>
              <w:t>Limited</w:t>
            </w:r>
          </w:p>
        </w:tc>
        <w:tc>
          <w:tcPr>
            <w:tcW w:type="dxa" w:w="2160"/>
          </w:tcPr>
          <w:p>
            <w:pPr/>
            <w:r>
              <w:rPr>
                <w:sz w:val="18"/>
              </w:rPr>
              <w:t>CSDC (ChinaClear), CCIL, Muqassa, CDS Canada</w:t>
            </w:r>
          </w:p>
        </w:tc>
        <w:tc>
          <w:tcPr>
            <w:tcW w:type="dxa" w:w="2160"/>
          </w:tcPr>
          <w:p>
            <w:pPr/>
            <w:r>
              <w:rPr>
                <w:sz w:val="18"/>
              </w:rPr>
              <w:t>Varies</w:t>
            </w:r>
          </w:p>
        </w:tc>
        <w:tc>
          <w:tcPr>
            <w:tcW w:type="dxa" w:w="2160"/>
          </w:tcPr>
          <w:p>
            <w:pPr/>
            <w:r>
              <w:rPr>
                <w:sz w:val="18"/>
              </w:rPr>
              <w:t>Limited public PQD availability; CSDC publishes minimal data compared to Western CCPs</w:t>
            </w:r>
          </w:p>
        </w:tc>
      </w:tr>
    </w:tbl>
    <w:p/>
    <w:p>
      <w:r>
        <w:t>────────────────────────────────────────────────────────────</w:t>
      </w:r>
    </w:p>
    <w:p>
      <w:pPr>
        <w:pStyle w:val="Heading2"/>
      </w:pPr>
      <w:r>
        <w:t>7. Technology / System Comparison</w:t>
      </w:r>
    </w:p>
    <w:p>
      <w:pPr>
        <w:pStyle w:val="Heading3"/>
      </w:pPr>
      <w:r>
        <w:t>7.1 Clearing Platform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Core System</w:t>
            </w:r>
          </w:p>
        </w:tc>
        <w:tc>
          <w:tcPr>
            <w:tcW w:type="dxa" w:w="1728"/>
          </w:tcPr>
          <w:p>
            <w:pPr/>
            <w:r>
              <w:rPr>
                <w:b/>
                <w:sz w:val="18"/>
              </w:rPr>
              <w:t>In-house/Vendor</w:t>
            </w:r>
          </w:p>
        </w:tc>
        <w:tc>
          <w:tcPr>
            <w:tcW w:type="dxa" w:w="1728"/>
          </w:tcPr>
          <w:p>
            <w:pPr/>
            <w:r>
              <w:rPr>
                <w:b/>
                <w:sz w:val="18"/>
              </w:rPr>
              <w:t>Cloud Strategy</w:t>
            </w:r>
          </w:p>
        </w:tc>
        <w:tc>
          <w:tcPr>
            <w:tcW w:type="dxa" w:w="1728"/>
          </w:tcPr>
          <w:p>
            <w:pPr/>
            <w:r>
              <w:rPr>
                <w:b/>
                <w:sz w:val="18"/>
              </w:rPr>
              <w:t>DLT Initiatives</w:t>
            </w:r>
          </w:p>
        </w:tc>
      </w:tr>
      <w:tr>
        <w:tc>
          <w:tcPr>
            <w:tcW w:type="dxa" w:w="1728"/>
          </w:tcPr>
          <w:p>
            <w:pPr/>
            <w:r>
              <w:rPr>
                <w:sz w:val="18"/>
              </w:rPr>
              <w:t>**DTCC** (NSCC/DTC/FICC)</w:t>
            </w:r>
          </w:p>
        </w:tc>
        <w:tc>
          <w:tcPr>
            <w:tcW w:type="dxa" w:w="1728"/>
          </w:tcPr>
          <w:p>
            <w:pPr/>
            <w:r>
              <w:rPr>
                <w:sz w:val="18"/>
              </w:rPr>
              <w:t>CNS (mainframe), DTC Settlement, FICC RTTM</w:t>
            </w:r>
          </w:p>
        </w:tc>
        <w:tc>
          <w:tcPr>
            <w:tcW w:type="dxa" w:w="1728"/>
          </w:tcPr>
          <w:p>
            <w:pPr/>
            <w:r>
              <w:rPr>
                <w:sz w:val="18"/>
              </w:rPr>
              <w:t>In-house (proprietary)</w:t>
            </w:r>
          </w:p>
        </w:tc>
        <w:tc>
          <w:tcPr>
            <w:tcW w:type="dxa" w:w="1728"/>
          </w:tcPr>
          <w:p>
            <w:pPr/>
            <w:r>
              <w:rPr>
                <w:sz w:val="18"/>
              </w:rPr>
              <w:t>AWS (SEC no-objection for core systems on public cloud)</w:t>
            </w:r>
          </w:p>
        </w:tc>
        <w:tc>
          <w:tcPr>
            <w:tcW w:type="dxa" w:w="1728"/>
          </w:tcPr>
          <w:p>
            <w:pPr/>
            <w:r>
              <w:rPr>
                <w:sz w:val="18"/>
              </w:rPr>
              <w:t>Project Ion (R3 Corda, 100K+ txns/day); ComposerX on Canton Network; tokenization MVP H1 2026</w:t>
            </w:r>
          </w:p>
        </w:tc>
      </w:tr>
      <w:tr>
        <w:tc>
          <w:tcPr>
            <w:tcW w:type="dxa" w:w="1728"/>
          </w:tcPr>
          <w:p>
            <w:pPr/>
            <w:r>
              <w:rPr>
                <w:sz w:val="18"/>
              </w:rPr>
              <w:t>**LCH Ltd/SA**</w:t>
            </w:r>
          </w:p>
        </w:tc>
        <w:tc>
          <w:tcPr>
            <w:tcW w:type="dxa" w:w="1728"/>
          </w:tcPr>
          <w:p>
            <w:pPr/>
            <w:r>
              <w:rPr>
                <w:sz w:val="18"/>
              </w:rPr>
              <w:t>Millennium Clearing &amp; Risk (MCCP); Murex MX.3 (SwapClear)</w:t>
            </w:r>
          </w:p>
        </w:tc>
        <w:tc>
          <w:tcPr>
            <w:tcW w:type="dxa" w:w="1728"/>
          </w:tcPr>
          <w:p>
            <w:pPr/>
            <w:r>
              <w:rPr>
                <w:sz w:val="18"/>
              </w:rPr>
              <w:t>Hybrid (LSEG Technology + Murex)</w:t>
            </w:r>
          </w:p>
        </w:tc>
        <w:tc>
          <w:tcPr>
            <w:tcW w:type="dxa" w:w="1728"/>
          </w:tcPr>
          <w:p>
            <w:pPr/>
            <w:r>
              <w:rPr>
                <w:sz w:val="18"/>
              </w:rPr>
              <w:t>AWS (collateral management migrated Q2 2025); Azure (LSEG-Microsoft partnership)</w:t>
            </w:r>
          </w:p>
        </w:tc>
        <w:tc>
          <w:tcPr>
            <w:tcW w:type="dxa" w:w="1728"/>
          </w:tcPr>
          <w:p>
            <w:pPr/>
            <w:r>
              <w:rPr>
                <w:sz w:val="18"/>
              </w:rPr>
              <w:t>DigitalAssetClear (LCH SA, GFO-X partnership, 2024)</w:t>
            </w:r>
          </w:p>
        </w:tc>
      </w:tr>
      <w:tr>
        <w:tc>
          <w:tcPr>
            <w:tcW w:type="dxa" w:w="1728"/>
          </w:tcPr>
          <w:p>
            <w:pPr/>
            <w:r>
              <w:rPr>
                <w:sz w:val="18"/>
              </w:rPr>
              <w:t>**OCC**</w:t>
            </w:r>
          </w:p>
        </w:tc>
        <w:tc>
          <w:tcPr>
            <w:tcW w:type="dxa" w:w="1728"/>
          </w:tcPr>
          <w:p>
            <w:pPr/>
            <w:r>
              <w:rPr>
                <w:sz w:val="18"/>
              </w:rPr>
              <w:t>ENCORE (legacy, since 2000) -&gt; **Ovation** (AWS cloud-native)</w:t>
            </w:r>
          </w:p>
        </w:tc>
        <w:tc>
          <w:tcPr>
            <w:tcW w:type="dxa" w:w="1728"/>
          </w:tcPr>
          <w:p>
            <w:pPr/>
            <w:r>
              <w:rPr>
                <w:sz w:val="18"/>
              </w:rPr>
              <w:t>In-house</w:t>
            </w:r>
          </w:p>
        </w:tc>
        <w:tc>
          <w:tcPr>
            <w:tcW w:type="dxa" w:w="1728"/>
          </w:tcPr>
          <w:p>
            <w:pPr/>
            <w:r>
              <w:rPr>
                <w:sz w:val="18"/>
              </w:rPr>
              <w:t>AWS (Ovation platform; SEC no-objection Oct 2022)</w:t>
            </w:r>
          </w:p>
        </w:tc>
        <w:tc>
          <w:tcPr>
            <w:tcW w:type="dxa" w:w="1728"/>
          </w:tcPr>
          <w:p>
            <w:pPr/>
            <w:r>
              <w:rPr>
                <w:sz w:val="18"/>
              </w:rPr>
              <w:t>Axoni DLT for securities lending modernization</w:t>
            </w:r>
          </w:p>
        </w:tc>
      </w:tr>
      <w:tr>
        <w:tc>
          <w:tcPr>
            <w:tcW w:type="dxa" w:w="1728"/>
          </w:tcPr>
          <w:p>
            <w:pPr/>
            <w:r>
              <w:rPr>
                <w:sz w:val="18"/>
              </w:rPr>
              <w:t>**CME Clearing**</w:t>
            </w:r>
          </w:p>
        </w:tc>
        <w:tc>
          <w:tcPr>
            <w:tcW w:type="dxa" w:w="1728"/>
          </w:tcPr>
          <w:p>
            <w:pPr/>
            <w:r>
              <w:rPr>
                <w:sz w:val="18"/>
              </w:rPr>
              <w:t>CME Clearing Systems (proprietary); CME Globex; CME CORE; ClearPort</w:t>
            </w:r>
          </w:p>
        </w:tc>
        <w:tc>
          <w:tcPr>
            <w:tcW w:type="dxa" w:w="1728"/>
          </w:tcPr>
          <w:p>
            <w:pPr/>
            <w:r>
              <w:rPr>
                <w:sz w:val="18"/>
              </w:rPr>
              <w:t>In-house</w:t>
            </w:r>
          </w:p>
        </w:tc>
        <w:tc>
          <w:tcPr>
            <w:tcW w:type="dxa" w:w="1728"/>
          </w:tcPr>
          <w:p>
            <w:pPr/>
            <w:r>
              <w:rPr>
                <w:sz w:val="18"/>
              </w:rPr>
              <w:t>Google Cloud (10-year strategic partnership; private cloud region in Aurora, IL)</w:t>
            </w:r>
          </w:p>
        </w:tc>
        <w:tc>
          <w:tcPr>
            <w:tcW w:type="dxa" w:w="1728"/>
          </w:tcPr>
          <w:p>
            <w:pPr/>
            <w:r>
              <w:rPr>
                <w:sz w:val="18"/>
              </w:rPr>
              <w:t>Google Cloud Universal Ledger (GCUL) tokenization pilot; Phase 2 settlement focus</w:t>
            </w:r>
          </w:p>
        </w:tc>
      </w:tr>
      <w:tr>
        <w:tc>
          <w:tcPr>
            <w:tcW w:type="dxa" w:w="1728"/>
          </w:tcPr>
          <w:p>
            <w:pPr/>
            <w:r>
              <w:rPr>
                <w:sz w:val="18"/>
              </w:rPr>
              <w:t>**Eurex Clearing**</w:t>
            </w:r>
          </w:p>
        </w:tc>
        <w:tc>
          <w:tcPr>
            <w:tcW w:type="dxa" w:w="1728"/>
          </w:tcPr>
          <w:p>
            <w:pPr/>
            <w:r>
              <w:rPr>
                <w:sz w:val="18"/>
              </w:rPr>
              <w:t>**C7** (next-gen clearing architecture); **Prisma** (margin engine)</w:t>
            </w:r>
          </w:p>
        </w:tc>
        <w:tc>
          <w:tcPr>
            <w:tcW w:type="dxa" w:w="1728"/>
          </w:tcPr>
          <w:p>
            <w:pPr/>
            <w:r>
              <w:rPr>
                <w:sz w:val="18"/>
              </w:rPr>
              <w:t>In-house + TCS partnership</w:t>
            </w:r>
          </w:p>
        </w:tc>
        <w:tc>
          <w:tcPr>
            <w:tcW w:type="dxa" w:w="1728"/>
          </w:tcPr>
          <w:p>
            <w:pPr/>
            <w:r>
              <w:rPr>
                <w:sz w:val="18"/>
              </w:rPr>
              <w:t>Google Cloud (D7, cPME, analytics); on-premise core</w:t>
            </w:r>
          </w:p>
        </w:tc>
        <w:tc>
          <w:tcPr>
            <w:tcW w:type="dxa" w:w="1728"/>
          </w:tcPr>
          <w:p>
            <w:pPr/>
            <w:r>
              <w:rPr>
                <w:sz w:val="18"/>
              </w:rPr>
              <w:t>DLT-enabled collateral mobilization with HQLAx/Clearstream (July 2025); D7 digital securities platform</w:t>
            </w:r>
          </w:p>
        </w:tc>
      </w:tr>
      <w:tr>
        <w:tc>
          <w:tcPr>
            <w:tcW w:type="dxa" w:w="1728"/>
          </w:tcPr>
          <w:p>
            <w:pPr/>
            <w:r>
              <w:rPr>
                <w:sz w:val="18"/>
              </w:rPr>
              <w:t>**JSCC**</w:t>
            </w:r>
          </w:p>
        </w:tc>
        <w:tc>
          <w:tcPr>
            <w:tcW w:type="dxa" w:w="1728"/>
          </w:tcPr>
          <w:p>
            <w:pPr/>
            <w:r>
              <w:rPr>
                <w:sz w:val="18"/>
              </w:rPr>
              <w:t>Proprietary clearing systems per business; VaR Margin Software (VMA)</w:t>
            </w:r>
          </w:p>
        </w:tc>
        <w:tc>
          <w:tcPr>
            <w:tcW w:type="dxa" w:w="1728"/>
          </w:tcPr>
          <w:p>
            <w:pPr/>
            <w:r>
              <w:rPr>
                <w:sz w:val="18"/>
              </w:rPr>
              <w:t>In-house</w:t>
            </w:r>
          </w:p>
        </w:tc>
        <w:tc>
          <w:tcPr>
            <w:tcW w:type="dxa" w:w="1728"/>
          </w:tcPr>
          <w:p>
            <w:pPr/>
            <w:r>
              <w:rPr>
                <w:sz w:val="18"/>
              </w:rPr>
              <w:t>[data not available]</w:t>
            </w:r>
          </w:p>
        </w:tc>
        <w:tc>
          <w:tcPr>
            <w:tcW w:type="dxa" w:w="1728"/>
          </w:tcPr>
          <w:p>
            <w:pPr/>
            <w:r>
              <w:rPr>
                <w:sz w:val="18"/>
              </w:rPr>
              <w:t>DTCC sandbox collateral tokenization pilot</w:t>
            </w:r>
          </w:p>
        </w:tc>
      </w:tr>
      <w:tr>
        <w:tc>
          <w:tcPr>
            <w:tcW w:type="dxa" w:w="1728"/>
          </w:tcPr>
          <w:p>
            <w:pPr/>
            <w:r>
              <w:rPr>
                <w:sz w:val="18"/>
              </w:rPr>
              <w:t>**HKEX** (HKSCC/HKCC/SEOCH)</w:t>
            </w:r>
          </w:p>
        </w:tc>
        <w:tc>
          <w:tcPr>
            <w:tcW w:type="dxa" w:w="1728"/>
          </w:tcPr>
          <w:p>
            <w:pPr/>
            <w:r>
              <w:rPr>
                <w:sz w:val="18"/>
              </w:rPr>
              <w:t>CCASS (securities); DCASS (derivatives); NGRM (risk)</w:t>
            </w:r>
          </w:p>
        </w:tc>
        <w:tc>
          <w:tcPr>
            <w:tcW w:type="dxa" w:w="1728"/>
          </w:tcPr>
          <w:p>
            <w:pPr/>
            <w:r>
              <w:rPr>
                <w:sz w:val="18"/>
              </w:rPr>
              <w:t>In-house</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**CDP** (Singapore)</w:t>
            </w:r>
          </w:p>
        </w:tc>
        <w:tc>
          <w:tcPr>
            <w:tcW w:type="dxa" w:w="1728"/>
          </w:tcPr>
          <w:p>
            <w:pPr/>
            <w:r>
              <w:rPr>
                <w:sz w:val="18"/>
              </w:rPr>
              <w:t>Post-Trade System (PTS, LSEG Technology, ISO 20022)</w:t>
            </w:r>
          </w:p>
        </w:tc>
        <w:tc>
          <w:tcPr>
            <w:tcW w:type="dxa" w:w="1728"/>
          </w:tcPr>
          <w:p>
            <w:pPr/>
            <w:r>
              <w:rPr>
                <w:sz w:val="18"/>
              </w:rPr>
              <w:t>Vendor (LSEG Technology)</w:t>
            </w:r>
          </w:p>
        </w:tc>
        <w:tc>
          <w:tcPr>
            <w:tcW w:type="dxa" w:w="1728"/>
          </w:tcPr>
          <w:p>
            <w:pPr/>
            <w:r>
              <w:rPr>
                <w:sz w:val="18"/>
              </w:rPr>
              <w:t>[data not available]</w:t>
            </w:r>
          </w:p>
        </w:tc>
        <w:tc>
          <w:tcPr>
            <w:tcW w:type="dxa" w:w="1728"/>
          </w:tcPr>
          <w:p>
            <w:pPr/>
            <w:r>
              <w:rPr>
                <w:sz w:val="18"/>
              </w:rPr>
              <w:t>Marketnode DLT-enabled digital bond issuance (June 2022)</w:t>
            </w:r>
          </w:p>
        </w:tc>
      </w:tr>
      <w:tr>
        <w:tc>
          <w:tcPr>
            <w:tcW w:type="dxa" w:w="1728"/>
          </w:tcPr>
          <w:p>
            <w:pPr/>
            <w:r>
              <w:rPr>
                <w:sz w:val="18"/>
              </w:rPr>
              <w:t>**Cboe Clear Europe**</w:t>
            </w:r>
          </w:p>
        </w:tc>
        <w:tc>
          <w:tcPr>
            <w:tcW w:type="dxa" w:w="1728"/>
          </w:tcPr>
          <w:p>
            <w:pPr/>
            <w:r>
              <w:rPr>
                <w:sz w:val="18"/>
              </w:rPr>
              <w:t>Proprietary clearing system with RTRM (real-time risk)</w:t>
            </w:r>
          </w:p>
        </w:tc>
        <w:tc>
          <w:tcPr>
            <w:tcW w:type="dxa" w:w="1728"/>
          </w:tcPr>
          <w:p>
            <w:pPr/>
            <w:r>
              <w:rPr>
                <w:sz w:val="18"/>
              </w:rPr>
              <w:t>In-house</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**ICE Clear** entities</w:t>
            </w:r>
          </w:p>
        </w:tc>
        <w:tc>
          <w:tcPr>
            <w:tcW w:type="dxa" w:w="1728"/>
          </w:tcPr>
          <w:p>
            <w:pPr/>
            <w:r>
              <w:rPr>
                <w:sz w:val="18"/>
              </w:rPr>
              <w:t>ICE Risk Model (IRM 1/IRM 2); proprietary clearing platforms</w:t>
            </w:r>
          </w:p>
        </w:tc>
        <w:tc>
          <w:tcPr>
            <w:tcW w:type="dxa" w:w="1728"/>
          </w:tcPr>
          <w:p>
            <w:pPr/>
            <w:r>
              <w:rPr>
                <w:sz w:val="18"/>
              </w:rPr>
              <w:t>In-house</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**ASX Clear / Clear (Futures)**</w:t>
            </w:r>
          </w:p>
        </w:tc>
        <w:tc>
          <w:tcPr>
            <w:tcW w:type="dxa" w:w="1728"/>
          </w:tcPr>
          <w:p>
            <w:pPr/>
            <w:r>
              <w:rPr>
                <w:sz w:val="18"/>
              </w:rPr>
              <w:t>CHESS (settlement, 1996); Genium INET (derivatives); Calypso (OTC)</w:t>
            </w:r>
          </w:p>
        </w:tc>
        <w:tc>
          <w:tcPr>
            <w:tcW w:type="dxa" w:w="1728"/>
          </w:tcPr>
          <w:p>
            <w:pPr/>
            <w:r>
              <w:rPr>
                <w:sz w:val="18"/>
              </w:rPr>
              <w:t>Mixed (Nasdaq/Genium, Calypso, in-house CHESS)</w:t>
            </w:r>
          </w:p>
        </w:tc>
        <w:tc>
          <w:tcPr>
            <w:tcW w:type="dxa" w:w="1728"/>
          </w:tcPr>
          <w:p>
            <w:pPr/>
            <w:r>
              <w:rPr>
                <w:sz w:val="18"/>
              </w:rPr>
              <w:t>[data not available]</w:t>
            </w:r>
          </w:p>
        </w:tc>
        <w:tc>
          <w:tcPr>
            <w:tcW w:type="dxa" w:w="1728"/>
          </w:tcPr>
          <w:p>
            <w:pPr/>
            <w:r>
              <w:rPr>
                <w:sz w:val="18"/>
              </w:rPr>
              <w:t>CHESS replacement abandoned (DLT, Nov 2022; AUD 250M write-off); TCS selected as new partner (2023); CHESS Release 1 planned April 2026</w:t>
            </w:r>
          </w:p>
        </w:tc>
      </w:tr>
      <w:tr>
        <w:tc>
          <w:tcPr>
            <w:tcW w:type="dxa" w:w="1728"/>
          </w:tcPr>
          <w:p>
            <w:pPr/>
            <w:r>
              <w:rPr>
                <w:sz w:val="18"/>
              </w:rPr>
              <w:t>**SIX x-clear**</w:t>
            </w:r>
          </w:p>
        </w:tc>
        <w:tc>
          <w:tcPr>
            <w:tcW w:type="dxa" w:w="1728"/>
          </w:tcPr>
          <w:p>
            <w:pPr/>
            <w:r>
              <w:rPr>
                <w:sz w:val="18"/>
              </w:rPr>
              <w:t>SECOM</w:t>
            </w:r>
          </w:p>
        </w:tc>
        <w:tc>
          <w:tcPr>
            <w:tcW w:type="dxa" w:w="1728"/>
          </w:tcPr>
          <w:p>
            <w:pPr/>
            <w:r>
              <w:rPr>
                <w:sz w:val="18"/>
              </w:rPr>
              <w:t>In-house</w:t>
            </w:r>
          </w:p>
        </w:tc>
        <w:tc>
          <w:tcPr>
            <w:tcW w:type="dxa" w:w="1728"/>
          </w:tcPr>
          <w:p>
            <w:pPr/>
            <w:r>
              <w:rPr>
                <w:sz w:val="18"/>
              </w:rPr>
              <w:t>[data not available]</w:t>
            </w:r>
          </w:p>
        </w:tc>
        <w:tc>
          <w:tcPr>
            <w:tcW w:type="dxa" w:w="1728"/>
          </w:tcPr>
          <w:p>
            <w:pPr/>
            <w:r>
              <w:rPr>
                <w:sz w:val="18"/>
              </w:rPr>
              <w:t>SIX Digital Exchange (SDX) for digital assets</w:t>
            </w:r>
          </w:p>
        </w:tc>
      </w:tr>
      <w:tr>
        <w:tc>
          <w:tcPr>
            <w:tcW w:type="dxa" w:w="1728"/>
          </w:tcPr>
          <w:p>
            <w:pPr/>
            <w:r>
              <w:rPr>
                <w:sz w:val="18"/>
              </w:rPr>
              <w:t>**CSDC** (ChinaClear)</w:t>
            </w:r>
          </w:p>
        </w:tc>
        <w:tc>
          <w:tcPr>
            <w:tcW w:type="dxa" w:w="1728"/>
          </w:tcPr>
          <w:p>
            <w:pPr/>
            <w:r>
              <w:rPr>
                <w:sz w:val="18"/>
              </w:rPr>
              <w:t>Proprietary systems (Shanghai/Shenzhen branches)</w:t>
            </w:r>
          </w:p>
        </w:tc>
        <w:tc>
          <w:tcPr>
            <w:tcW w:type="dxa" w:w="1728"/>
          </w:tcPr>
          <w:p>
            <w:pPr/>
            <w:r>
              <w:rPr>
                <w:sz w:val="18"/>
              </w:rPr>
              <w:t>In-house</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**CCIL** (India)</w:t>
            </w:r>
          </w:p>
        </w:tc>
        <w:tc>
          <w:tcPr>
            <w:tcW w:type="dxa" w:w="1728"/>
          </w:tcPr>
          <w:p>
            <w:pPr/>
            <w:r>
              <w:rPr>
                <w:sz w:val="18"/>
              </w:rPr>
              <w:t>ClearCorp dealing systems (NDS-OM, TREPS, FX-CLEAR)</w:t>
            </w:r>
          </w:p>
        </w:tc>
        <w:tc>
          <w:tcPr>
            <w:tcW w:type="dxa" w:w="1728"/>
          </w:tcPr>
          <w:p>
            <w:pPr/>
            <w:r>
              <w:rPr>
                <w:sz w:val="18"/>
              </w:rPr>
              <w:t>In-house (via subsidiary ClearCorp)</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**CDS** (Canada)</w:t>
            </w:r>
          </w:p>
        </w:tc>
        <w:tc>
          <w:tcPr>
            <w:tcW w:type="dxa" w:w="1728"/>
          </w:tcPr>
          <w:p>
            <w:pPr/>
            <w:r>
              <w:rPr>
                <w:sz w:val="18"/>
              </w:rPr>
              <w:t>CDSX (integrated C&amp;S platform, 2003)</w:t>
            </w:r>
          </w:p>
        </w:tc>
        <w:tc>
          <w:tcPr>
            <w:tcW w:type="dxa" w:w="1728"/>
          </w:tcPr>
          <w:p>
            <w:pPr/>
            <w:r>
              <w:rPr>
                <w:sz w:val="18"/>
              </w:rPr>
              <w:t>In-house</w:t>
            </w:r>
          </w:p>
        </w:tc>
        <w:tc>
          <w:tcPr>
            <w:tcW w:type="dxa" w:w="1728"/>
          </w:tcPr>
          <w:p>
            <w:pPr/>
            <w:r>
              <w:rPr>
                <w:sz w:val="18"/>
              </w:rPr>
              <w:t>[data not available]</w:t>
            </w:r>
          </w:p>
        </w:tc>
        <w:tc>
          <w:tcPr>
            <w:tcW w:type="dxa" w:w="1728"/>
          </w:tcPr>
          <w:p>
            <w:pPr/>
            <w:r>
              <w:rPr>
                <w:sz w:val="18"/>
              </w:rPr>
              <w:t>Post-Trade Modernization (PTM) initiative underway</w:t>
            </w:r>
          </w:p>
        </w:tc>
      </w:tr>
      <w:tr>
        <w:tc>
          <w:tcPr>
            <w:tcW w:type="dxa" w:w="1728"/>
          </w:tcPr>
          <w:p>
            <w:pPr/>
            <w:r>
              <w:rPr>
                <w:sz w:val="18"/>
              </w:rPr>
              <w:t>**Muqassa**</w:t>
            </w:r>
          </w:p>
        </w:tc>
        <w:tc>
          <w:tcPr>
            <w:tcW w:type="dxa" w:w="1728"/>
          </w:tcPr>
          <w:p>
            <w:pPr/>
            <w:r>
              <w:rPr>
                <w:sz w:val="18"/>
              </w:rPr>
              <w:t>[data not available -- reportedly NASDAQ technology initially]</w:t>
            </w:r>
          </w:p>
        </w:tc>
        <w:tc>
          <w:tcPr>
            <w:tcW w:type="dxa" w:w="1728"/>
          </w:tcPr>
          <w:p>
            <w:pPr/>
            <w:r>
              <w:rPr>
                <w:sz w:val="18"/>
              </w:rPr>
              <w:t>Vendor</w:t>
            </w:r>
          </w:p>
        </w:tc>
        <w:tc>
          <w:tcPr>
            <w:tcW w:type="dxa" w:w="1728"/>
          </w:tcPr>
          <w:p>
            <w:pPr/>
            <w:r>
              <w:rPr>
                <w:sz w:val="18"/>
              </w:rPr>
              <w:t>[data not available]</w:t>
            </w:r>
          </w:p>
        </w:tc>
        <w:tc>
          <w:tcPr>
            <w:tcW w:type="dxa" w:w="1728"/>
          </w:tcPr>
          <w:p>
            <w:pPr/>
            <w:r>
              <w:rPr>
                <w:sz w:val="18"/>
              </w:rPr>
              <w:t>[data not available]</w:t>
            </w:r>
          </w:p>
        </w:tc>
      </w:tr>
      <w:tr>
        <w:tc>
          <w:tcPr>
            <w:tcW w:type="dxa" w:w="1728"/>
          </w:tcPr>
          <w:p>
            <w:pPr/>
            <w:r>
              <w:rPr>
                <w:sz w:val="18"/>
              </w:rPr>
              <w:t>**KRX/KSD**</w:t>
            </w:r>
          </w:p>
        </w:tc>
        <w:tc>
          <w:tcPr>
            <w:tcW w:type="dxa" w:w="1728"/>
          </w:tcPr>
          <w:p>
            <w:pPr/>
            <w:r>
              <w:rPr>
                <w:sz w:val="18"/>
              </w:rPr>
              <w:t>EXTURE+ (clearing integrated); KSD Settlement System</w:t>
            </w:r>
          </w:p>
        </w:tc>
        <w:tc>
          <w:tcPr>
            <w:tcW w:type="dxa" w:w="1728"/>
          </w:tcPr>
          <w:p>
            <w:pPr/>
            <w:r>
              <w:rPr>
                <w:sz w:val="18"/>
              </w:rPr>
              <w:t>In-house (KOSCOM)</w:t>
            </w:r>
          </w:p>
        </w:tc>
        <w:tc>
          <w:tcPr>
            <w:tcW w:type="dxa" w:w="1728"/>
          </w:tcPr>
          <w:p>
            <w:pPr/>
            <w:r>
              <w:rPr>
                <w:sz w:val="18"/>
              </w:rPr>
              <w:t>[data not available]</w:t>
            </w:r>
          </w:p>
        </w:tc>
        <w:tc>
          <w:tcPr>
            <w:tcW w:type="dxa" w:w="1728"/>
          </w:tcPr>
          <w:p>
            <w:pPr/>
            <w:r>
              <w:rPr>
                <w:sz w:val="18"/>
              </w:rPr>
              <w:t>Security token registration (2027 via KSD)</w:t>
            </w:r>
          </w:p>
        </w:tc>
      </w:tr>
    </w:tbl>
    <w:p/>
    <w:p>
      <w:pPr>
        <w:pStyle w:val="Heading3"/>
      </w:pPr>
      <w:r>
        <w:t>7.2 Processing Capacity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CCP/CSD</w:t>
            </w:r>
          </w:p>
        </w:tc>
        <w:tc>
          <w:tcPr>
            <w:tcW w:type="dxa" w:w="2880"/>
          </w:tcPr>
          <w:p>
            <w:pPr/>
            <w:r>
              <w:rPr>
                <w:b/>
                <w:sz w:val="18"/>
              </w:rPr>
              <w:t>Peak Daily Volume</w:t>
            </w:r>
          </w:p>
        </w:tc>
        <w:tc>
          <w:tcPr>
            <w:tcW w:type="dxa" w:w="2880"/>
          </w:tcPr>
          <w:p>
            <w:pPr/>
            <w:r>
              <w:rPr>
                <w:b/>
                <w:sz w:val="18"/>
              </w:rPr>
              <w:t>Key Capacity Metric</w:t>
            </w:r>
          </w:p>
        </w:tc>
      </w:tr>
      <w:tr>
        <w:tc>
          <w:tcPr>
            <w:tcW w:type="dxa" w:w="2880"/>
          </w:tcPr>
          <w:p>
            <w:pPr/>
            <w:r>
              <w:rPr>
                <w:sz w:val="18"/>
              </w:rPr>
              <w:t>**NSCC**</w:t>
            </w:r>
          </w:p>
        </w:tc>
        <w:tc>
          <w:tcPr>
            <w:tcW w:type="dxa" w:w="2880"/>
          </w:tcPr>
          <w:p>
            <w:pPr/>
            <w:r>
              <w:rPr>
                <w:sz w:val="18"/>
              </w:rPr>
              <w:t>$5.55 trillion value (April 9, 2025)</w:t>
            </w:r>
          </w:p>
        </w:tc>
        <w:tc>
          <w:tcPr>
            <w:tcW w:type="dxa" w:w="2880"/>
          </w:tcPr>
          <w:p>
            <w:pPr/>
            <w:r>
              <w:rPr>
                <w:sz w:val="18"/>
              </w:rPr>
              <w:t>98% netting efficiency</w:t>
            </w:r>
          </w:p>
        </w:tc>
      </w:tr>
      <w:tr>
        <w:tc>
          <w:tcPr>
            <w:tcW w:type="dxa" w:w="2880"/>
          </w:tcPr>
          <w:p>
            <w:pPr/>
            <w:r>
              <w:rPr>
                <w:sz w:val="18"/>
              </w:rPr>
              <w:t>**FICC-GSD**</w:t>
            </w:r>
          </w:p>
        </w:tc>
        <w:tc>
          <w:tcPr>
            <w:tcW w:type="dxa" w:w="2880"/>
          </w:tcPr>
          <w:p>
            <w:pPr/>
            <w:r>
              <w:rPr>
                <w:sz w:val="18"/>
              </w:rPr>
              <w:t>$13.2 trillion value (December 1, 2025)</w:t>
            </w:r>
          </w:p>
        </w:tc>
        <w:tc>
          <w:tcPr>
            <w:tcW w:type="dxa" w:w="2880"/>
          </w:tcPr>
          <w:p>
            <w:pPr/>
            <w:r>
              <w:rPr>
                <w:sz w:val="18"/>
              </w:rPr>
              <w:t>42% YoY activity increase (2024)</w:t>
            </w:r>
          </w:p>
        </w:tc>
      </w:tr>
      <w:tr>
        <w:tc>
          <w:tcPr>
            <w:tcW w:type="dxa" w:w="2880"/>
          </w:tcPr>
          <w:p>
            <w:pPr/>
            <w:r>
              <w:rPr>
                <w:sz w:val="18"/>
              </w:rPr>
              <w:t>**DTC**</w:t>
            </w:r>
          </w:p>
        </w:tc>
        <w:tc>
          <w:tcPr>
            <w:tcW w:type="dxa" w:w="2880"/>
          </w:tcPr>
          <w:p>
            <w:pPr/>
            <w:r>
              <w:rPr>
                <w:sz w:val="18"/>
              </w:rPr>
              <w:t>$100+ trillion assets under custody</w:t>
            </w:r>
          </w:p>
        </w:tc>
        <w:tc>
          <w:tcPr>
            <w:tcW w:type="dxa" w:w="2880"/>
          </w:tcPr>
          <w:p>
            <w:pPr/>
            <w:r>
              <w:rPr>
                <w:sz w:val="18"/>
              </w:rPr>
              <w:t>1.44M+ securities issues from 170+ countries</w:t>
            </w:r>
          </w:p>
        </w:tc>
      </w:tr>
      <w:tr>
        <w:tc>
          <w:tcPr>
            <w:tcW w:type="dxa" w:w="2880"/>
          </w:tcPr>
          <w:p>
            <w:pPr/>
            <w:r>
              <w:rPr>
                <w:sz w:val="18"/>
              </w:rPr>
              <w:t>**LCH** (SwapClear)</w:t>
            </w:r>
          </w:p>
        </w:tc>
        <w:tc>
          <w:tcPr>
            <w:tcW w:type="dxa" w:w="2880"/>
          </w:tcPr>
          <w:p>
            <w:pPr/>
            <w:r>
              <w:rPr>
                <w:sz w:val="18"/>
              </w:rPr>
              <w:t>$779 trillion notional cleared H1 2024</w:t>
            </w:r>
          </w:p>
        </w:tc>
        <w:tc>
          <w:tcPr>
            <w:tcW w:type="dxa" w:w="2880"/>
          </w:tcPr>
          <w:p>
            <w:pPr/>
            <w:r>
              <w:rPr>
                <w:sz w:val="18"/>
              </w:rPr>
              <w:t>~10 second novation time; $240B IM held</w:t>
            </w:r>
          </w:p>
        </w:tc>
      </w:tr>
      <w:tr>
        <w:tc>
          <w:tcPr>
            <w:tcW w:type="dxa" w:w="2880"/>
          </w:tcPr>
          <w:p>
            <w:pPr/>
            <w:r>
              <w:rPr>
                <w:sz w:val="18"/>
              </w:rPr>
              <w:t>**LCH** (EquityClear MCCP)</w:t>
            </w:r>
          </w:p>
        </w:tc>
        <w:tc>
          <w:tcPr>
            <w:tcW w:type="dxa" w:w="2880"/>
          </w:tcPr>
          <w:p>
            <w:pPr/>
            <w:r>
              <w:rPr>
                <w:sz w:val="18"/>
              </w:rPr>
              <w:t>80M trade sides in first 5 days (March 2020 COVID)</w:t>
            </w:r>
          </w:p>
        </w:tc>
        <w:tc>
          <w:tcPr>
            <w:tcW w:type="dxa" w:w="2880"/>
          </w:tcPr>
          <w:p>
            <w:pPr/>
            <w:r>
              <w:rPr>
                <w:sz w:val="18"/>
              </w:rPr>
              <w:t>20M trades / 1,600 trades/sec capacity</w:t>
            </w:r>
          </w:p>
        </w:tc>
      </w:tr>
      <w:tr>
        <w:tc>
          <w:tcPr>
            <w:tcW w:type="dxa" w:w="2880"/>
          </w:tcPr>
          <w:p>
            <w:pPr/>
            <w:r>
              <w:rPr>
                <w:sz w:val="18"/>
              </w:rPr>
              <w:t>**OCC**</w:t>
            </w:r>
          </w:p>
        </w:tc>
        <w:tc>
          <w:tcPr>
            <w:tcW w:type="dxa" w:w="2880"/>
          </w:tcPr>
          <w:p>
            <w:pPr/>
            <w:r>
              <w:rPr>
                <w:sz w:val="18"/>
              </w:rPr>
              <w:t>110 million contracts (October 10, 2025)</w:t>
            </w:r>
          </w:p>
        </w:tc>
        <w:tc>
          <w:tcPr>
            <w:tcW w:type="dxa" w:w="2880"/>
          </w:tcPr>
          <w:p>
            <w:pPr/>
            <w:r>
              <w:rPr>
                <w:sz w:val="18"/>
              </w:rPr>
              <w:t>&gt;2M instrument prices/sec; 12.2B contracts/year (2024)</w:t>
            </w:r>
          </w:p>
        </w:tc>
      </w:tr>
      <w:tr>
        <w:tc>
          <w:tcPr>
            <w:tcW w:type="dxa" w:w="2880"/>
          </w:tcPr>
          <w:p>
            <w:pPr/>
            <w:r>
              <w:rPr>
                <w:sz w:val="18"/>
              </w:rPr>
              <w:t>**CME**</w:t>
            </w:r>
          </w:p>
        </w:tc>
        <w:tc>
          <w:tcPr>
            <w:tcW w:type="dxa" w:w="2880"/>
          </w:tcPr>
          <w:p>
            <w:pPr/>
            <w:r>
              <w:rPr>
                <w:sz w:val="18"/>
              </w:rPr>
              <w:t>28.1 million contracts ADV (2025)</w:t>
            </w:r>
          </w:p>
        </w:tc>
        <w:tc>
          <w:tcPr>
            <w:tcW w:type="dxa" w:w="2880"/>
          </w:tcPr>
          <w:p>
            <w:pPr/>
            <w:r>
              <w:rPr>
                <w:sz w:val="18"/>
              </w:rPr>
              <w:t>1 billion+ trades/year; $1 quadrillion+ notional</w:t>
            </w:r>
          </w:p>
        </w:tc>
      </w:tr>
      <w:tr>
        <w:tc>
          <w:tcPr>
            <w:tcW w:type="dxa" w:w="2880"/>
          </w:tcPr>
          <w:p>
            <w:pPr/>
            <w:r>
              <w:rPr>
                <w:sz w:val="18"/>
              </w:rPr>
              <w:t>**Eurex Clearing**</w:t>
            </w:r>
          </w:p>
        </w:tc>
        <w:tc>
          <w:tcPr>
            <w:tcW w:type="dxa" w:w="2880"/>
          </w:tcPr>
          <w:p>
            <w:pPr/>
            <w:r>
              <w:rPr>
                <w:sz w:val="18"/>
              </w:rPr>
              <w:t>EUR 11+ trillion/month</w:t>
            </w:r>
          </w:p>
        </w:tc>
        <w:tc>
          <w:tcPr>
            <w:tcW w:type="dxa" w:w="2880"/>
          </w:tcPr>
          <w:p>
            <w:pPr/>
            <w:r>
              <w:rPr>
                <w:sz w:val="18"/>
              </w:rPr>
              <w:t>2,065.9 million contracts (2025)</w:t>
            </w:r>
          </w:p>
        </w:tc>
      </w:tr>
      <w:tr>
        <w:tc>
          <w:tcPr>
            <w:tcW w:type="dxa" w:w="2880"/>
          </w:tcPr>
          <w:p>
            <w:pPr/>
            <w:r>
              <w:rPr>
                <w:sz w:val="18"/>
              </w:rPr>
              <w:t>**JSCC** (IRS)</w:t>
            </w:r>
          </w:p>
        </w:tc>
        <w:tc>
          <w:tcPr>
            <w:tcW w:type="dxa" w:w="2880"/>
          </w:tcPr>
          <w:p>
            <w:pPr/>
            <w:r>
              <w:rPr>
                <w:sz w:val="18"/>
              </w:rPr>
              <w:t>JPY 8.3 quadrillion cleared (2024)</w:t>
            </w:r>
          </w:p>
        </w:tc>
        <w:tc>
          <w:tcPr>
            <w:tcW w:type="dxa" w:w="2880"/>
          </w:tcPr>
          <w:p>
            <w:pPr/>
            <w:r>
              <w:rPr>
                <w:sz w:val="18"/>
              </w:rPr>
              <w:t>~60-70% global share of cleared JPY IRS</w:t>
            </w:r>
          </w:p>
        </w:tc>
      </w:tr>
      <w:tr>
        <w:tc>
          <w:tcPr>
            <w:tcW w:type="dxa" w:w="2880"/>
          </w:tcPr>
          <w:p>
            <w:pPr/>
            <w:r>
              <w:rPr>
                <w:sz w:val="18"/>
              </w:rPr>
              <w:t>**Cboe Clear Europe**</w:t>
            </w:r>
          </w:p>
        </w:tc>
        <w:tc>
          <w:tcPr>
            <w:tcW w:type="dxa" w:w="2880"/>
          </w:tcPr>
          <w:p>
            <w:pPr/>
            <w:r>
              <w:rPr>
                <w:sz w:val="18"/>
              </w:rPr>
              <w:t>1.2 billion client trades (2024)</w:t>
            </w:r>
          </w:p>
        </w:tc>
        <w:tc>
          <w:tcPr>
            <w:tcW w:type="dxa" w:w="2880"/>
          </w:tcPr>
          <w:p>
            <w:pPr/>
            <w:r>
              <w:rPr>
                <w:sz w:val="18"/>
              </w:rPr>
              <w:t>EUR 49.3B avg daily CCP protection value</w:t>
            </w:r>
          </w:p>
        </w:tc>
      </w:tr>
      <w:tr>
        <w:tc>
          <w:tcPr>
            <w:tcW w:type="dxa" w:w="2880"/>
          </w:tcPr>
          <w:p>
            <w:pPr/>
            <w:r>
              <w:rPr>
                <w:sz w:val="18"/>
              </w:rPr>
              <w:t>**CSDC** (ChinaClear)</w:t>
            </w:r>
          </w:p>
        </w:tc>
        <w:tc>
          <w:tcPr>
            <w:tcW w:type="dxa" w:w="2880"/>
          </w:tcPr>
          <w:p>
            <w:pPr/>
            <w:r>
              <w:rPr>
                <w:sz w:val="18"/>
              </w:rPr>
              <w:t>~237 million investor accounts</w:t>
            </w:r>
          </w:p>
        </w:tc>
        <w:tc>
          <w:tcPr>
            <w:tcW w:type="dxa" w:w="2880"/>
          </w:tcPr>
          <w:p>
            <w:pPr/>
            <w:r>
              <w:rPr>
                <w:sz w:val="18"/>
              </w:rPr>
              <w:t>RMB 11.05 quadrillion securities under custody</w:t>
            </w:r>
          </w:p>
        </w:tc>
      </w:tr>
    </w:tbl>
    <w:p/>
    <w:p>
      <w:pPr>
        <w:pStyle w:val="Heading3"/>
      </w:pPr>
      <w:r>
        <w:t>7.3 ISO 20022 / SWIFT Migration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Organization</w:t>
            </w:r>
          </w:p>
        </w:tc>
        <w:tc>
          <w:tcPr>
            <w:tcW w:type="dxa" w:w="2880"/>
          </w:tcPr>
          <w:p>
            <w:pPr/>
            <w:r>
              <w:rPr>
                <w:b/>
                <w:sz w:val="18"/>
              </w:rPr>
              <w:t>ISO 20022 Status</w:t>
            </w:r>
          </w:p>
        </w:tc>
        <w:tc>
          <w:tcPr>
            <w:tcW w:type="dxa" w:w="2880"/>
          </w:tcPr>
          <w:p>
            <w:pPr/>
            <w:r>
              <w:rPr>
                <w:b/>
                <w:sz w:val="18"/>
              </w:rPr>
              <w:t>Details</w:t>
            </w:r>
          </w:p>
        </w:tc>
      </w:tr>
      <w:tr>
        <w:tc>
          <w:tcPr>
            <w:tcW w:type="dxa" w:w="2880"/>
          </w:tcPr>
          <w:p>
            <w:pPr/>
            <w:r>
              <w:rPr>
                <w:sz w:val="18"/>
              </w:rPr>
              <w:t>**DTCC**</w:t>
            </w:r>
          </w:p>
        </w:tc>
        <w:tc>
          <w:tcPr>
            <w:tcW w:type="dxa" w:w="2880"/>
          </w:tcPr>
          <w:p>
            <w:pPr/>
            <w:r>
              <w:rPr>
                <w:sz w:val="18"/>
              </w:rPr>
              <w:t>In progress</w:t>
            </w:r>
          </w:p>
        </w:tc>
        <w:tc>
          <w:tcPr>
            <w:tcW w:type="dxa" w:w="2880"/>
          </w:tcPr>
          <w:p>
            <w:pPr/>
            <w:r>
              <w:rPr>
                <w:sz w:val="18"/>
              </w:rPr>
              <w:t>DTC converted corporate actions to ISO 20022 SR2025 (November 2025); settlement transformation targeting legacy format decommission Q3 2027</w:t>
            </w:r>
          </w:p>
        </w:tc>
      </w:tr>
      <w:tr>
        <w:tc>
          <w:tcPr>
            <w:tcW w:type="dxa" w:w="2880"/>
          </w:tcPr>
          <w:p>
            <w:pPr/>
            <w:r>
              <w:rPr>
                <w:sz w:val="18"/>
              </w:rPr>
              <w:t>**CDP** (Singapore)</w:t>
            </w:r>
          </w:p>
        </w:tc>
        <w:tc>
          <w:tcPr>
            <w:tcW w:type="dxa" w:w="2880"/>
          </w:tcPr>
          <w:p>
            <w:pPr/>
            <w:r>
              <w:rPr>
                <w:sz w:val="18"/>
              </w:rPr>
              <w:t>Completed (2016)</w:t>
            </w:r>
          </w:p>
        </w:tc>
        <w:tc>
          <w:tcPr>
            <w:tcW w:type="dxa" w:w="2880"/>
          </w:tcPr>
          <w:p>
            <w:pPr/>
            <w:r>
              <w:rPr>
                <w:sz w:val="18"/>
              </w:rPr>
              <w:t>Phase 1 of Post-Trade System went live with ISO 20022 messaging (January 2016) -- early adopter</w:t>
            </w:r>
          </w:p>
        </w:tc>
      </w:tr>
      <w:tr>
        <w:tc>
          <w:tcPr>
            <w:tcW w:type="dxa" w:w="2880"/>
          </w:tcPr>
          <w:p>
            <w:pPr/>
            <w:r>
              <w:rPr>
                <w:sz w:val="18"/>
              </w:rPr>
              <w:t>**LCH**</w:t>
            </w:r>
          </w:p>
        </w:tc>
        <w:tc>
          <w:tcPr>
            <w:tcW w:type="dxa" w:w="2880"/>
          </w:tcPr>
          <w:p>
            <w:pPr/>
            <w:r>
              <w:rPr>
                <w:sz w:val="18"/>
              </w:rPr>
              <w:t>Early adopter</w:t>
            </w:r>
          </w:p>
        </w:tc>
        <w:tc>
          <w:tcPr>
            <w:tcW w:type="dxa" w:w="2880"/>
          </w:tcPr>
          <w:p>
            <w:pPr/>
            <w:r>
              <w:rPr>
                <w:sz w:val="18"/>
              </w:rPr>
              <w:t>ISO 20022 for collateral management</w:t>
            </w:r>
          </w:p>
        </w:tc>
      </w:tr>
      <w:tr>
        <w:tc>
          <w:tcPr>
            <w:tcW w:type="dxa" w:w="2880"/>
          </w:tcPr>
          <w:p>
            <w:pPr/>
            <w:r>
              <w:rPr>
                <w:sz w:val="18"/>
              </w:rPr>
              <w:t>**Eurex/Clearstream**</w:t>
            </w:r>
          </w:p>
        </w:tc>
        <w:tc>
          <w:tcPr>
            <w:tcW w:type="dxa" w:w="2880"/>
          </w:tcPr>
          <w:p>
            <w:pPr/>
            <w:r>
              <w:rPr>
                <w:sz w:val="18"/>
              </w:rPr>
              <w:t>In progress</w:t>
            </w:r>
          </w:p>
        </w:tc>
        <w:tc>
          <w:tcPr>
            <w:tcW w:type="dxa" w:w="2880"/>
          </w:tcPr>
          <w:p>
            <w:pPr/>
            <w:r>
              <w:rPr>
                <w:sz w:val="18"/>
              </w:rPr>
              <w:t>Via T2S adoption; D7 digital securities platform</w:t>
            </w:r>
          </w:p>
        </w:tc>
      </w:tr>
      <w:tr>
        <w:tc>
          <w:tcPr>
            <w:tcW w:type="dxa" w:w="2880"/>
          </w:tcPr>
          <w:p>
            <w:pPr/>
            <w:r>
              <w:rPr>
                <w:sz w:val="18"/>
              </w:rPr>
              <w:t>**SWIFT** network</w:t>
            </w:r>
          </w:p>
        </w:tc>
        <w:tc>
          <w:tcPr>
            <w:tcW w:type="dxa" w:w="2880"/>
          </w:tcPr>
          <w:p>
            <w:pPr/>
            <w:r>
              <w:rPr>
                <w:sz w:val="18"/>
              </w:rPr>
              <w:t>Industry-wide migration</w:t>
            </w:r>
          </w:p>
        </w:tc>
        <w:tc>
          <w:tcPr>
            <w:tcW w:type="dxa" w:w="2880"/>
          </w:tcPr>
          <w:p>
            <w:pPr/>
            <w:r>
              <w:rPr>
                <w:sz w:val="18"/>
              </w:rPr>
              <w:t>SWIFT ISO 20022 migration for payments (TARGET, CHAPS, Fedwire) largely complete 2023-2025; securities messaging ongoing</w:t>
            </w:r>
          </w:p>
        </w:tc>
      </w:tr>
    </w:tbl>
    <w:p/>
    <w:p>
      <w:r>
        <w:t>────────────────────────────────────────────────────────────</w:t>
      </w:r>
    </w:p>
    <w:p>
      <w:pPr>
        <w:pStyle w:val="Heading2"/>
      </w:pPr>
      <w:r>
        <w:t>8. Regulatory Framework Comparison</w:t>
      </w:r>
    </w:p>
    <w:p>
      <w:pPr>
        <w:pStyle w:val="Heading3"/>
      </w:pPr>
      <w:r>
        <w:t>8.1 Regional Regulatory Summary</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r>
              <w:rPr>
                <w:b/>
                <w:sz w:val="18"/>
              </w:rPr>
              <w:t>Aspect</w:t>
            </w:r>
          </w:p>
        </w:tc>
        <w:tc>
          <w:tcPr>
            <w:tcW w:type="dxa" w:w="1080"/>
          </w:tcPr>
          <w:p>
            <w:pPr/>
            <w:r>
              <w:rPr>
                <w:b/>
                <w:sz w:val="18"/>
              </w:rPr>
              <w:t>U.S.</w:t>
            </w:r>
          </w:p>
        </w:tc>
        <w:tc>
          <w:tcPr>
            <w:tcW w:type="dxa" w:w="1080"/>
          </w:tcPr>
          <w:p>
            <w:pPr/>
            <w:r>
              <w:rPr>
                <w:b/>
                <w:sz w:val="18"/>
              </w:rPr>
              <w:t>EU</w:t>
            </w:r>
          </w:p>
        </w:tc>
        <w:tc>
          <w:tcPr>
            <w:tcW w:type="dxa" w:w="1080"/>
          </w:tcPr>
          <w:p>
            <w:pPr/>
            <w:r>
              <w:rPr>
                <w:b/>
                <w:sz w:val="18"/>
              </w:rPr>
              <w:t>Japan</w:t>
            </w:r>
          </w:p>
        </w:tc>
        <w:tc>
          <w:tcPr>
            <w:tcW w:type="dxa" w:w="1080"/>
          </w:tcPr>
          <w:p>
            <w:pPr/>
            <w:r>
              <w:rPr>
                <w:b/>
                <w:sz w:val="18"/>
              </w:rPr>
              <w:t>Hong Kong</w:t>
            </w:r>
          </w:p>
        </w:tc>
        <w:tc>
          <w:tcPr>
            <w:tcW w:type="dxa" w:w="1080"/>
          </w:tcPr>
          <w:p>
            <w:pPr/>
            <w:r>
              <w:rPr>
                <w:b/>
                <w:sz w:val="18"/>
              </w:rPr>
              <w:t>Singapore</w:t>
            </w:r>
          </w:p>
        </w:tc>
        <w:tc>
          <w:tcPr>
            <w:tcW w:type="dxa" w:w="1080"/>
          </w:tcPr>
          <w:p>
            <w:pPr/>
            <w:r>
              <w:rPr>
                <w:b/>
                <w:sz w:val="18"/>
              </w:rPr>
              <w:t>Australia</w:t>
            </w:r>
          </w:p>
        </w:tc>
        <w:tc>
          <w:tcPr>
            <w:tcW w:type="dxa" w:w="1080"/>
          </w:tcPr>
          <w:p>
            <w:pPr/>
            <w:r>
              <w:rPr>
                <w:b/>
                <w:sz w:val="18"/>
              </w:rPr>
              <w:t>Korea</w:t>
            </w:r>
          </w:p>
        </w:tc>
      </w:tr>
      <w:tr>
        <w:tc>
          <w:tcPr>
            <w:tcW w:type="dxa" w:w="1080"/>
          </w:tcPr>
          <w:p>
            <w:pPr/>
            <w:r>
              <w:rPr>
                <w:sz w:val="18"/>
              </w:rPr>
              <w:t>**Primary CCP Regulator**</w:t>
            </w:r>
          </w:p>
        </w:tc>
        <w:tc>
          <w:tcPr>
            <w:tcW w:type="dxa" w:w="1080"/>
          </w:tcPr>
          <w:p>
            <w:pPr/>
            <w:r>
              <w:rPr>
                <w:sz w:val="18"/>
              </w:rPr>
              <w:t>SEC (securities); CFTC (derivatives)</w:t>
            </w:r>
          </w:p>
        </w:tc>
        <w:tc>
          <w:tcPr>
            <w:tcW w:type="dxa" w:w="1080"/>
          </w:tcPr>
          <w:p>
            <w:pPr/>
            <w:r>
              <w:rPr>
                <w:sz w:val="18"/>
              </w:rPr>
              <w:t>NCAs + ESMA supervisory college</w:t>
            </w:r>
          </w:p>
        </w:tc>
        <w:tc>
          <w:tcPr>
            <w:tcW w:type="dxa" w:w="1080"/>
          </w:tcPr>
          <w:p>
            <w:pPr/>
            <w:r>
              <w:rPr>
                <w:sz w:val="18"/>
              </w:rPr>
              <w:t>JFSA</w:t>
            </w:r>
          </w:p>
        </w:tc>
        <w:tc>
          <w:tcPr>
            <w:tcW w:type="dxa" w:w="1080"/>
          </w:tcPr>
          <w:p>
            <w:pPr/>
            <w:r>
              <w:rPr>
                <w:sz w:val="18"/>
              </w:rPr>
              <w:t>SFC</w:t>
            </w:r>
          </w:p>
        </w:tc>
        <w:tc>
          <w:tcPr>
            <w:tcW w:type="dxa" w:w="1080"/>
          </w:tcPr>
          <w:p>
            <w:pPr/>
            <w:r>
              <w:rPr>
                <w:sz w:val="18"/>
              </w:rPr>
              <w:t>MAS</w:t>
            </w:r>
          </w:p>
        </w:tc>
        <w:tc>
          <w:tcPr>
            <w:tcW w:type="dxa" w:w="1080"/>
          </w:tcPr>
          <w:p>
            <w:pPr/>
            <w:r>
              <w:rPr>
                <w:sz w:val="18"/>
              </w:rPr>
              <w:t>ASIC + RBA</w:t>
            </w:r>
          </w:p>
        </w:tc>
        <w:tc>
          <w:tcPr>
            <w:tcW w:type="dxa" w:w="1080"/>
          </w:tcPr>
          <w:p>
            <w:pPr/>
            <w:r>
              <w:rPr>
                <w:sz w:val="18"/>
              </w:rPr>
              <w:t>FSC / FSS</w:t>
            </w:r>
          </w:p>
        </w:tc>
      </w:tr>
      <w:tr>
        <w:tc>
          <w:tcPr>
            <w:tcW w:type="dxa" w:w="1080"/>
          </w:tcPr>
          <w:p>
            <w:pPr/>
            <w:r>
              <w:rPr>
                <w:sz w:val="18"/>
              </w:rPr>
              <w:t>**Systemic Oversight**</w:t>
            </w:r>
          </w:p>
        </w:tc>
        <w:tc>
          <w:tcPr>
            <w:tcW w:type="dxa" w:w="1080"/>
          </w:tcPr>
          <w:p>
            <w:pPr/>
            <w:r>
              <w:rPr>
                <w:sz w:val="18"/>
              </w:rPr>
              <w:t>FSOC / Federal Reserve (Title VIII)</w:t>
            </w:r>
          </w:p>
        </w:tc>
        <w:tc>
          <w:tcPr>
            <w:tcW w:type="dxa" w:w="1080"/>
          </w:tcPr>
          <w:p>
            <w:pPr/>
            <w:r>
              <w:rPr>
                <w:sz w:val="18"/>
              </w:rPr>
              <w:t>ESRB / ECB</w:t>
            </w:r>
          </w:p>
        </w:tc>
        <w:tc>
          <w:tcPr>
            <w:tcW w:type="dxa" w:w="1080"/>
          </w:tcPr>
          <w:p>
            <w:pPr/>
            <w:r>
              <w:rPr>
                <w:sz w:val="18"/>
              </w:rPr>
              <w:t>BOJ</w:t>
            </w:r>
          </w:p>
        </w:tc>
        <w:tc>
          <w:tcPr>
            <w:tcW w:type="dxa" w:w="1080"/>
          </w:tcPr>
          <w:p>
            <w:pPr/>
            <w:r>
              <w:rPr>
                <w:sz w:val="18"/>
              </w:rPr>
              <w:t>HKMA (CSSO)</w:t>
            </w:r>
          </w:p>
        </w:tc>
        <w:tc>
          <w:tcPr>
            <w:tcW w:type="dxa" w:w="1080"/>
          </w:tcPr>
          <w:p>
            <w:pPr/>
            <w:r>
              <w:rPr>
                <w:sz w:val="18"/>
              </w:rPr>
              <w:t>MAS (dual role)</w:t>
            </w:r>
          </w:p>
        </w:tc>
        <w:tc>
          <w:tcPr>
            <w:tcW w:type="dxa" w:w="1080"/>
          </w:tcPr>
          <w:p>
            <w:pPr/>
            <w:r>
              <w:rPr>
                <w:sz w:val="18"/>
              </w:rPr>
              <w:t>RBA (FSS)</w:t>
            </w:r>
          </w:p>
        </w:tc>
        <w:tc>
          <w:tcPr>
            <w:tcW w:type="dxa" w:w="1080"/>
          </w:tcPr>
          <w:p>
            <w:pPr/>
            <w:r>
              <w:rPr>
                <w:sz w:val="18"/>
              </w:rPr>
              <w:t>BOK</w:t>
            </w:r>
          </w:p>
        </w:tc>
      </w:tr>
      <w:tr>
        <w:tc>
          <w:tcPr>
            <w:tcW w:type="dxa" w:w="1080"/>
          </w:tcPr>
          <w:p>
            <w:pPr/>
            <w:r>
              <w:rPr>
                <w:sz w:val="18"/>
              </w:rPr>
              <w:t>**CCP Authorization**</w:t>
            </w:r>
          </w:p>
        </w:tc>
        <w:tc>
          <w:tcPr>
            <w:tcW w:type="dxa" w:w="1080"/>
          </w:tcPr>
          <w:p>
            <w:pPr/>
            <w:r>
              <w:rPr>
                <w:sz w:val="18"/>
              </w:rPr>
              <w:t>SEC Rule 17A (clearing agency); CFTC Part 39 (DCO)</w:t>
            </w:r>
          </w:p>
        </w:tc>
        <w:tc>
          <w:tcPr>
            <w:tcW w:type="dxa" w:w="1080"/>
          </w:tcPr>
          <w:p>
            <w:pPr/>
            <w:r>
              <w:rPr>
                <w:sz w:val="18"/>
              </w:rPr>
              <w:t>EMIR Article 14</w:t>
            </w:r>
          </w:p>
        </w:tc>
        <w:tc>
          <w:tcPr>
            <w:tcW w:type="dxa" w:w="1080"/>
          </w:tcPr>
          <w:p>
            <w:pPr/>
            <w:r>
              <w:rPr>
                <w:sz w:val="18"/>
              </w:rPr>
              <w:t>FIEA (CCP licensing)</w:t>
            </w:r>
          </w:p>
        </w:tc>
        <w:tc>
          <w:tcPr>
            <w:tcW w:type="dxa" w:w="1080"/>
          </w:tcPr>
          <w:p>
            <w:pPr/>
            <w:r>
              <w:rPr>
                <w:sz w:val="18"/>
              </w:rPr>
              <w:t>SFO Part III (RCH recognition)</w:t>
            </w:r>
          </w:p>
        </w:tc>
        <w:tc>
          <w:tcPr>
            <w:tcW w:type="dxa" w:w="1080"/>
          </w:tcPr>
          <w:p>
            <w:pPr/>
            <w:r>
              <w:rPr>
                <w:sz w:val="18"/>
              </w:rPr>
              <w:t>SFA (ACH designation)</w:t>
            </w:r>
          </w:p>
        </w:tc>
        <w:tc>
          <w:tcPr>
            <w:tcW w:type="dxa" w:w="1080"/>
          </w:tcPr>
          <w:p>
            <w:pPr/>
            <w:r>
              <w:rPr>
                <w:sz w:val="18"/>
              </w:rPr>
              <w:t>Corporations Act (CS facility license)</w:t>
            </w:r>
          </w:p>
        </w:tc>
        <w:tc>
          <w:tcPr>
            <w:tcW w:type="dxa" w:w="1080"/>
          </w:tcPr>
          <w:p>
            <w:pPr/>
            <w:r>
              <w:rPr>
                <w:sz w:val="18"/>
              </w:rPr>
              <w:t>FSCMA</w:t>
            </w:r>
          </w:p>
        </w:tc>
      </w:tr>
      <w:tr>
        <w:tc>
          <w:tcPr>
            <w:tcW w:type="dxa" w:w="1080"/>
          </w:tcPr>
          <w:p>
            <w:pPr/>
            <w:r>
              <w:rPr>
                <w:sz w:val="18"/>
              </w:rPr>
              <w:t>**SIFMU/Systemic Designation**</w:t>
            </w:r>
          </w:p>
        </w:tc>
        <w:tc>
          <w:tcPr>
            <w:tcW w:type="dxa" w:w="1080"/>
          </w:tcPr>
          <w:p>
            <w:pPr/>
            <w:r>
              <w:rPr>
                <w:sz w:val="18"/>
              </w:rPr>
              <w:t>Yes (8 SIFMUs designated July 2012)</w:t>
            </w:r>
          </w:p>
        </w:tc>
        <w:tc>
          <w:tcPr>
            <w:tcW w:type="dxa" w:w="1080"/>
          </w:tcPr>
          <w:p>
            <w:pPr/>
            <w:r>
              <w:rPr>
                <w:sz w:val="18"/>
              </w:rPr>
              <w:t>Implicit under EMIR (all authorized CCPs)</w:t>
            </w:r>
          </w:p>
        </w:tc>
        <w:tc>
          <w:tcPr>
            <w:tcW w:type="dxa" w:w="1080"/>
          </w:tcPr>
          <w:p>
            <w:pPr/>
            <w:r>
              <w:rPr>
                <w:sz w:val="18"/>
              </w:rPr>
              <w:t>JFSA critical FMI designation</w:t>
            </w:r>
          </w:p>
        </w:tc>
        <w:tc>
          <w:tcPr>
            <w:tcW w:type="dxa" w:w="1080"/>
          </w:tcPr>
          <w:p>
            <w:pPr/>
            <w:r>
              <w:rPr>
                <w:sz w:val="18"/>
              </w:rPr>
              <w:t>No formal SIFMU designation</w:t>
            </w:r>
          </w:p>
        </w:tc>
        <w:tc>
          <w:tcPr>
            <w:tcW w:type="dxa" w:w="1080"/>
          </w:tcPr>
          <w:p>
            <w:pPr/>
            <w:r>
              <w:rPr>
                <w:sz w:val="18"/>
              </w:rPr>
              <w:t>MAS systemic FMI designation</w:t>
            </w:r>
          </w:p>
        </w:tc>
        <w:tc>
          <w:tcPr>
            <w:tcW w:type="dxa" w:w="1080"/>
          </w:tcPr>
          <w:p>
            <w:pPr/>
            <w:r>
              <w:rPr>
                <w:sz w:val="18"/>
              </w:rPr>
              <w:t>No formal SIFMU designation</w:t>
            </w:r>
          </w:p>
        </w:tc>
        <w:tc>
          <w:tcPr>
            <w:tcW w:type="dxa" w:w="1080"/>
          </w:tcPr>
          <w:p>
            <w:pPr/>
            <w:r>
              <w:rPr>
                <w:sz w:val="18"/>
              </w:rPr>
              <w:t>Systemic importance recognized</w:t>
            </w:r>
          </w:p>
        </w:tc>
      </w:tr>
      <w:tr>
        <w:tc>
          <w:tcPr>
            <w:tcW w:type="dxa" w:w="1080"/>
          </w:tcPr>
          <w:p>
            <w:pPr/>
            <w:r>
              <w:rPr>
                <w:sz w:val="18"/>
              </w:rPr>
              <w:t>**Clearing Mandate (OTC)**</w:t>
            </w:r>
          </w:p>
        </w:tc>
        <w:tc>
          <w:tcPr>
            <w:tcW w:type="dxa" w:w="1080"/>
          </w:tcPr>
          <w:p>
            <w:pPr/>
            <w:r>
              <w:rPr>
                <w:sz w:val="18"/>
              </w:rPr>
              <w:t>Yes (Dodd-Frank; IRS, CDS)</w:t>
            </w:r>
          </w:p>
        </w:tc>
        <w:tc>
          <w:tcPr>
            <w:tcW w:type="dxa" w:w="1080"/>
          </w:tcPr>
          <w:p>
            <w:pPr/>
            <w:r>
              <w:rPr>
                <w:sz w:val="18"/>
              </w:rPr>
              <w:t>Yes (EMIR; IRS, CDS)</w:t>
            </w:r>
          </w:p>
        </w:tc>
        <w:tc>
          <w:tcPr>
            <w:tcW w:type="dxa" w:w="1080"/>
          </w:tcPr>
          <w:p>
            <w:pPr/>
            <w:r>
              <w:rPr>
                <w:sz w:val="18"/>
              </w:rPr>
              <w:t>Yes (FIEA; JPY IRS, iTraxx Japan CDS)</w:t>
            </w:r>
          </w:p>
        </w:tc>
        <w:tc>
          <w:tcPr>
            <w:tcW w:type="dxa" w:w="1080"/>
          </w:tcPr>
          <w:p>
            <w:pPr/>
            <w:r>
              <w:rPr>
                <w:sz w:val="18"/>
              </w:rPr>
              <w:t>Yes (SFO Part IIIA; IRS, NDF)</w:t>
            </w:r>
          </w:p>
        </w:tc>
        <w:tc>
          <w:tcPr>
            <w:tcW w:type="dxa" w:w="1080"/>
          </w:tcPr>
          <w:p>
            <w:pPr/>
            <w:r>
              <w:rPr>
                <w:sz w:val="18"/>
              </w:rPr>
              <w:t>Yes (SFA)</w:t>
            </w:r>
          </w:p>
        </w:tc>
        <w:tc>
          <w:tcPr>
            <w:tcW w:type="dxa" w:w="1080"/>
          </w:tcPr>
          <w:p>
            <w:pPr/>
            <w:r>
              <w:rPr>
                <w:sz w:val="18"/>
              </w:rPr>
              <w:t>Yes (limited scope)</w:t>
            </w:r>
          </w:p>
        </w:tc>
        <w:tc>
          <w:tcPr>
            <w:tcW w:type="dxa" w:w="1080"/>
          </w:tcPr>
          <w:p>
            <w:pPr/>
            <w:r>
              <w:rPr>
                <w:sz w:val="18"/>
              </w:rPr>
              <w:t>Yes (limited scope)</w:t>
            </w:r>
          </w:p>
        </w:tc>
      </w:tr>
      <w:tr>
        <w:tc>
          <w:tcPr>
            <w:tcW w:type="dxa" w:w="1080"/>
          </w:tcPr>
          <w:p>
            <w:pPr/>
            <w:r>
              <w:rPr>
                <w:sz w:val="18"/>
              </w:rPr>
              <w:t>**Recovery &amp; Resolution**</w:t>
            </w:r>
          </w:p>
        </w:tc>
        <w:tc>
          <w:tcPr>
            <w:tcW w:type="dxa" w:w="1080"/>
          </w:tcPr>
          <w:p>
            <w:pPr/>
            <w:r>
              <w:rPr>
                <w:sz w:val="18"/>
              </w:rPr>
              <w:t>SEC Rule 17ad-26; Dodd-Frank Title II (FDIC)</w:t>
            </w:r>
          </w:p>
        </w:tc>
        <w:tc>
          <w:tcPr>
            <w:tcW w:type="dxa" w:w="1080"/>
          </w:tcPr>
          <w:p>
            <w:pPr/>
            <w:r>
              <w:rPr>
                <w:sz w:val="18"/>
              </w:rPr>
              <w:t>EU CCP RRR (Regulation 2021/23, fully applicable Feb 2023)</w:t>
            </w:r>
          </w:p>
        </w:tc>
        <w:tc>
          <w:tcPr>
            <w:tcW w:type="dxa" w:w="1080"/>
          </w:tcPr>
          <w:p>
            <w:pPr/>
            <w:r>
              <w:rPr>
                <w:sz w:val="18"/>
              </w:rPr>
              <w:t>No dedicated CCP R&amp;R regime; FIEA powers</w:t>
            </w:r>
          </w:p>
        </w:tc>
        <w:tc>
          <w:tcPr>
            <w:tcW w:type="dxa" w:w="1080"/>
          </w:tcPr>
          <w:p>
            <w:pPr/>
            <w:r>
              <w:rPr>
                <w:sz w:val="18"/>
              </w:rPr>
              <w:t>SFO Division 3</w:t>
            </w:r>
          </w:p>
        </w:tc>
        <w:tc>
          <w:tcPr>
            <w:tcW w:type="dxa" w:w="1080"/>
          </w:tcPr>
          <w:p>
            <w:pPr/>
            <w:r>
              <w:rPr>
                <w:sz w:val="18"/>
              </w:rPr>
              <w:t>No dedicated CCP R&amp;R regime</w:t>
            </w:r>
          </w:p>
        </w:tc>
        <w:tc>
          <w:tcPr>
            <w:tcW w:type="dxa" w:w="1080"/>
          </w:tcPr>
          <w:p>
            <w:pPr/>
            <w:r>
              <w:rPr>
                <w:sz w:val="18"/>
              </w:rPr>
              <w:t>No dedicated CCP R&amp;R legislation</w:t>
            </w:r>
          </w:p>
        </w:tc>
        <w:tc>
          <w:tcPr>
            <w:tcW w:type="dxa" w:w="1080"/>
          </w:tcPr>
          <w:p>
            <w:pPr/>
            <w:r>
              <w:rPr>
                <w:sz w:val="18"/>
              </w:rPr>
              <w:t>No dedicated CCP R&amp;R regime [unverified]</w:t>
            </w:r>
          </w:p>
        </w:tc>
      </w:tr>
      <w:tr>
        <w:tc>
          <w:tcPr>
            <w:tcW w:type="dxa" w:w="1080"/>
          </w:tcPr>
          <w:p>
            <w:pPr/>
            <w:r>
              <w:rPr>
                <w:sz w:val="18"/>
              </w:rPr>
              <w:t>**Settlement Finality**</w:t>
            </w:r>
          </w:p>
        </w:tc>
        <w:tc>
          <w:tcPr>
            <w:tcW w:type="dxa" w:w="1080"/>
          </w:tcPr>
          <w:p>
            <w:pPr/>
            <w:r>
              <w:rPr>
                <w:sz w:val="18"/>
              </w:rPr>
              <w:t>Federal law (FDICIA, Bankruptcy Code, SIPA, Dodd-Frank)</w:t>
            </w:r>
          </w:p>
        </w:tc>
        <w:tc>
          <w:tcPr>
            <w:tcW w:type="dxa" w:w="1080"/>
          </w:tcPr>
          <w:p>
            <w:pPr/>
            <w:r>
              <w:rPr>
                <w:sz w:val="18"/>
              </w:rPr>
              <w:t>EU Settlement Finality Directive (98/26/EC)</w:t>
            </w:r>
          </w:p>
        </w:tc>
        <w:tc>
          <w:tcPr>
            <w:tcW w:type="dxa" w:w="1080"/>
          </w:tcPr>
          <w:p>
            <w:pPr/>
            <w:r>
              <w:rPr>
                <w:sz w:val="18"/>
              </w:rPr>
              <w:t>FIEA; Book-Entry Transfer Act; BOJ Act</w:t>
            </w:r>
          </w:p>
        </w:tc>
        <w:tc>
          <w:tcPr>
            <w:tcW w:type="dxa" w:w="1080"/>
          </w:tcPr>
          <w:p>
            <w:pPr/>
            <w:r>
              <w:rPr>
                <w:sz w:val="18"/>
              </w:rPr>
              <w:t>SFO Division 3 (market contracts protection)</w:t>
            </w:r>
          </w:p>
        </w:tc>
        <w:tc>
          <w:tcPr>
            <w:tcW w:type="dxa" w:w="1080"/>
          </w:tcPr>
          <w:p>
            <w:pPr/>
            <w:r>
              <w:rPr>
                <w:sz w:val="18"/>
              </w:rPr>
              <w:t>SFA</w:t>
            </w:r>
          </w:p>
        </w:tc>
        <w:tc>
          <w:tcPr>
            <w:tcW w:type="dxa" w:w="1080"/>
          </w:tcPr>
          <w:p>
            <w:pPr/>
            <w:r>
              <w:rPr>
                <w:sz w:val="18"/>
              </w:rPr>
              <w:t>Payment Systems and Netting Act 1998</w:t>
            </w:r>
          </w:p>
        </w:tc>
        <w:tc>
          <w:tcPr>
            <w:tcW w:type="dxa" w:w="1080"/>
          </w:tcPr>
          <w:p>
            <w:pPr/>
            <w:r>
              <w:rPr>
                <w:sz w:val="18"/>
              </w:rPr>
              <w:t>Capital Market Act</w:t>
            </w:r>
          </w:p>
        </w:tc>
      </w:tr>
      <w:tr>
        <w:tc>
          <w:tcPr>
            <w:tcW w:type="dxa" w:w="1080"/>
          </w:tcPr>
          <w:p>
            <w:pPr/>
            <w:r>
              <w:rPr>
                <w:sz w:val="18"/>
              </w:rPr>
              <w:t>**Third-Country CCP Recognition**</w:t>
            </w:r>
          </w:p>
        </w:tc>
        <w:tc>
          <w:tcPr>
            <w:tcW w:type="dxa" w:w="1080"/>
          </w:tcPr>
          <w:p>
            <w:pPr/>
            <w:r>
              <w:rPr>
                <w:sz w:val="18"/>
              </w:rPr>
              <w:t>CFTC exempt/registered DCO; SEC registered clearing agency</w:t>
            </w:r>
          </w:p>
        </w:tc>
        <w:tc>
          <w:tcPr>
            <w:tcW w:type="dxa" w:w="1080"/>
          </w:tcPr>
          <w:p>
            <w:pPr/>
            <w:r>
              <w:rPr>
                <w:sz w:val="18"/>
              </w:rPr>
              <w:t>EMIR Article 25 (Tier 1/Tier 2); equivalence decisions</w:t>
            </w:r>
          </w:p>
        </w:tc>
        <w:tc>
          <w:tcPr>
            <w:tcW w:type="dxa" w:w="1080"/>
          </w:tcPr>
          <w:p>
            <w:pPr/>
            <w:r>
              <w:rPr>
                <w:sz w:val="18"/>
              </w:rPr>
              <w:t>JFSA foreign CCP recognition</w:t>
            </w:r>
          </w:p>
        </w:tc>
        <w:tc>
          <w:tcPr>
            <w:tcW w:type="dxa" w:w="1080"/>
          </w:tcPr>
          <w:p>
            <w:pPr/>
            <w:r>
              <w:rPr>
                <w:sz w:val="18"/>
              </w:rPr>
              <w:t>SFC recognized clearing house</w:t>
            </w:r>
          </w:p>
        </w:tc>
        <w:tc>
          <w:tcPr>
            <w:tcW w:type="dxa" w:w="1080"/>
          </w:tcPr>
          <w:p>
            <w:pPr/>
            <w:r>
              <w:rPr>
                <w:sz w:val="18"/>
              </w:rPr>
              <w:t>MAS recognized clearing house</w:t>
            </w:r>
          </w:p>
        </w:tc>
        <w:tc>
          <w:tcPr>
            <w:tcW w:type="dxa" w:w="1080"/>
          </w:tcPr>
          <w:p>
            <w:pPr/>
            <w:r>
              <w:rPr>
                <w:sz w:val="18"/>
              </w:rPr>
              <w:t>ASIC/RBA foreign CS facility</w:t>
            </w:r>
          </w:p>
        </w:tc>
        <w:tc>
          <w:tcPr>
            <w:tcW w:type="dxa" w:w="1080"/>
          </w:tcPr>
          <w:p>
            <w:pPr/>
            <w:r>
              <w:rPr>
                <w:sz w:val="18"/>
              </w:rPr>
              <w:t>[data not available]</w:t>
            </w:r>
          </w:p>
        </w:tc>
      </w:tr>
    </w:tbl>
    <w:p/>
    <w:p>
      <w:pPr>
        <w:pStyle w:val="Heading3"/>
      </w:pPr>
      <w:r>
        <w:t>8.2 CCP Resolution Frameworks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Framework</w:t>
            </w:r>
          </w:p>
        </w:tc>
        <w:tc>
          <w:tcPr>
            <w:tcW w:type="dxa" w:w="2160"/>
          </w:tcPr>
          <w:p>
            <w:pPr/>
            <w:r>
              <w:rPr>
                <w:b/>
                <w:sz w:val="18"/>
              </w:rPr>
              <w:t>Jurisdiction</w:t>
            </w:r>
          </w:p>
        </w:tc>
        <w:tc>
          <w:tcPr>
            <w:tcW w:type="dxa" w:w="2160"/>
          </w:tcPr>
          <w:p>
            <w:pPr/>
            <w:r>
              <w:rPr>
                <w:b/>
                <w:sz w:val="18"/>
              </w:rPr>
              <w:t>Key Features</w:t>
            </w:r>
          </w:p>
        </w:tc>
        <w:tc>
          <w:tcPr>
            <w:tcW w:type="dxa" w:w="2160"/>
          </w:tcPr>
          <w:p>
            <w:pPr/>
            <w:r>
              <w:rPr>
                <w:b/>
                <w:sz w:val="18"/>
              </w:rPr>
              <w:t>Applicable CCPs</w:t>
            </w:r>
          </w:p>
        </w:tc>
      </w:tr>
      <w:tr>
        <w:tc>
          <w:tcPr>
            <w:tcW w:type="dxa" w:w="2160"/>
          </w:tcPr>
          <w:p>
            <w:pPr/>
            <w:r>
              <w:rPr>
                <w:sz w:val="18"/>
              </w:rPr>
              <w:t>**Dodd-Frank Title VIII + Title II**</w:t>
            </w:r>
          </w:p>
        </w:tc>
        <w:tc>
          <w:tcPr>
            <w:tcW w:type="dxa" w:w="2160"/>
          </w:tcPr>
          <w:p>
            <w:pPr/>
            <w:r>
              <w:rPr>
                <w:sz w:val="18"/>
              </w:rPr>
              <w:t>U.S.</w:t>
            </w:r>
          </w:p>
        </w:tc>
        <w:tc>
          <w:tcPr>
            <w:tcW w:type="dxa" w:w="2160"/>
          </w:tcPr>
          <w:p>
            <w:pPr/>
            <w:r>
              <w:rPr>
                <w:sz w:val="18"/>
              </w:rPr>
              <w:t>SIFMU designation; Federal Reserve backstop lending; FDIC Orderly Liquidation Authority for resolution; SEC Rule 17ad-26 for R&amp;W plans</w:t>
            </w:r>
          </w:p>
        </w:tc>
        <w:tc>
          <w:tcPr>
            <w:tcW w:type="dxa" w:w="2160"/>
          </w:tcPr>
          <w:p>
            <w:pPr/>
            <w:r>
              <w:rPr>
                <w:sz w:val="18"/>
              </w:rPr>
              <w:t>NSCC, FICC, DTC, OCC, CME, ICE Clear Credit</w:t>
            </w:r>
          </w:p>
        </w:tc>
      </w:tr>
      <w:tr>
        <w:tc>
          <w:tcPr>
            <w:tcW w:type="dxa" w:w="2160"/>
          </w:tcPr>
          <w:p>
            <w:pPr/>
            <w:r>
              <w:rPr>
                <w:sz w:val="18"/>
              </w:rPr>
              <w:t>**EU CCP RRR** (Regulation 2021/23)</w:t>
            </w:r>
          </w:p>
        </w:tc>
        <w:tc>
          <w:tcPr>
            <w:tcW w:type="dxa" w:w="2160"/>
          </w:tcPr>
          <w:p>
            <w:pPr/>
            <w:r>
              <w:rPr>
                <w:sz w:val="18"/>
              </w:rPr>
              <w:t>EU</w:t>
            </w:r>
          </w:p>
        </w:tc>
        <w:tc>
          <w:tcPr>
            <w:tcW w:type="dxa" w:w="2160"/>
          </w:tcPr>
          <w:p>
            <w:pPr/>
            <w:r>
              <w:rPr>
                <w:sz w:val="18"/>
              </w:rPr>
              <w:t>Mandatory recovery plans; resolution authority designation (NCA); resolution tools (cash calls, VMGH, write-down, position allocation, bridge CCP); fully applicable since Feb 2023</w:t>
            </w:r>
          </w:p>
        </w:tc>
        <w:tc>
          <w:tcPr>
            <w:tcW w:type="dxa" w:w="2160"/>
          </w:tcPr>
          <w:p>
            <w:pPr/>
            <w:r>
              <w:rPr>
                <w:sz w:val="18"/>
              </w:rPr>
              <w:t>Eurex Clearing, LCH SA, Cboe Clear Europe, all EU-authorized CCPs</w:t>
            </w:r>
          </w:p>
        </w:tc>
      </w:tr>
      <w:tr>
        <w:tc>
          <w:tcPr>
            <w:tcW w:type="dxa" w:w="2160"/>
          </w:tcPr>
          <w:p>
            <w:pPr/>
            <w:r>
              <w:rPr>
                <w:sz w:val="18"/>
              </w:rPr>
              <w:t>**UK framework**</w:t>
            </w:r>
          </w:p>
        </w:tc>
        <w:tc>
          <w:tcPr>
            <w:tcW w:type="dxa" w:w="2160"/>
          </w:tcPr>
          <w:p>
            <w:pPr/>
            <w:r>
              <w:rPr>
                <w:sz w:val="18"/>
              </w:rPr>
              <w:t>UK</w:t>
            </w:r>
          </w:p>
        </w:tc>
        <w:tc>
          <w:tcPr>
            <w:tcW w:type="dxa" w:w="2160"/>
          </w:tcPr>
          <w:p>
            <w:pPr/>
            <w:r>
              <w:rPr>
                <w:sz w:val="18"/>
              </w:rPr>
              <w:t>Bank of England as resolution authority; statutory powers under FSMA/Banking Act for CCPs; CBEST cyber resilience testing</w:t>
            </w:r>
          </w:p>
        </w:tc>
        <w:tc>
          <w:tcPr>
            <w:tcW w:type="dxa" w:w="2160"/>
          </w:tcPr>
          <w:p>
            <w:pPr/>
            <w:r>
              <w:rPr>
                <w:sz w:val="18"/>
              </w:rPr>
              <w:t>LCH Ltd, ICE Clear Europe</w:t>
            </w:r>
          </w:p>
        </w:tc>
      </w:tr>
      <w:tr>
        <w:tc>
          <w:tcPr>
            <w:tcW w:type="dxa" w:w="2160"/>
          </w:tcPr>
          <w:p>
            <w:pPr/>
            <w:r>
              <w:rPr>
                <w:sz w:val="18"/>
              </w:rPr>
              <w:t>**Japan**</w:t>
            </w:r>
          </w:p>
        </w:tc>
        <w:tc>
          <w:tcPr>
            <w:tcW w:type="dxa" w:w="2160"/>
          </w:tcPr>
          <w:p>
            <w:pPr/>
            <w:r>
              <w:rPr>
                <w:sz w:val="18"/>
              </w:rPr>
              <w:t>Japan</w:t>
            </w:r>
          </w:p>
        </w:tc>
        <w:tc>
          <w:tcPr>
            <w:tcW w:type="dxa" w:w="2160"/>
          </w:tcPr>
          <w:p>
            <w:pPr/>
            <w:r>
              <w:rPr>
                <w:sz w:val="18"/>
              </w:rPr>
              <w:t>No dedicated CCP R&amp;R regime; JFSA uses FIEA enforcement powers (business improvement orders, license revocation)</w:t>
            </w:r>
          </w:p>
        </w:tc>
        <w:tc>
          <w:tcPr>
            <w:tcW w:type="dxa" w:w="2160"/>
          </w:tcPr>
          <w:p>
            <w:pPr/>
            <w:r>
              <w:rPr>
                <w:sz w:val="18"/>
              </w:rPr>
              <w:t>JSCC</w:t>
            </w:r>
          </w:p>
        </w:tc>
      </w:tr>
      <w:tr>
        <w:tc>
          <w:tcPr>
            <w:tcW w:type="dxa" w:w="2160"/>
          </w:tcPr>
          <w:p>
            <w:pPr/>
            <w:r>
              <w:rPr>
                <w:sz w:val="18"/>
              </w:rPr>
              <w:t>**Hong Kong**</w:t>
            </w:r>
          </w:p>
        </w:tc>
        <w:tc>
          <w:tcPr>
            <w:tcW w:type="dxa" w:w="2160"/>
          </w:tcPr>
          <w:p>
            <w:pPr/>
            <w:r>
              <w:rPr>
                <w:sz w:val="18"/>
              </w:rPr>
              <w:t>Hong Kong</w:t>
            </w:r>
          </w:p>
        </w:tc>
        <w:tc>
          <w:tcPr>
            <w:tcW w:type="dxa" w:w="2160"/>
          </w:tcPr>
          <w:p>
            <w:pPr/>
            <w:r>
              <w:rPr>
                <w:sz w:val="18"/>
              </w:rPr>
              <w:t>SFC powers under SFO; no dedicated CCP R&amp;R framework</w:t>
            </w:r>
          </w:p>
        </w:tc>
        <w:tc>
          <w:tcPr>
            <w:tcW w:type="dxa" w:w="2160"/>
          </w:tcPr>
          <w:p>
            <w:pPr/>
            <w:r>
              <w:rPr>
                <w:sz w:val="18"/>
              </w:rPr>
              <w:t>HKSCC, HKCC, SEOCH, OTC Clear</w:t>
            </w:r>
          </w:p>
        </w:tc>
      </w:tr>
      <w:tr>
        <w:tc>
          <w:tcPr>
            <w:tcW w:type="dxa" w:w="2160"/>
          </w:tcPr>
          <w:p>
            <w:pPr/>
            <w:r>
              <w:rPr>
                <w:sz w:val="18"/>
              </w:rPr>
              <w:t>**Australia**</w:t>
            </w:r>
          </w:p>
        </w:tc>
        <w:tc>
          <w:tcPr>
            <w:tcW w:type="dxa" w:w="2160"/>
          </w:tcPr>
          <w:p>
            <w:pPr/>
            <w:r>
              <w:rPr>
                <w:sz w:val="18"/>
              </w:rPr>
              <w:t>Australia</w:t>
            </w:r>
          </w:p>
        </w:tc>
        <w:tc>
          <w:tcPr>
            <w:tcW w:type="dxa" w:w="2160"/>
          </w:tcPr>
          <w:p>
            <w:pPr/>
            <w:r>
              <w:rPr>
                <w:sz w:val="18"/>
              </w:rPr>
              <w:t>No dedicated CCP resolution legislation; RBA/ASIC coordination under existing Corporations Act and Reserve Bank Act</w:t>
            </w:r>
          </w:p>
        </w:tc>
        <w:tc>
          <w:tcPr>
            <w:tcW w:type="dxa" w:w="2160"/>
          </w:tcPr>
          <w:p>
            <w:pPr/>
            <w:r>
              <w:rPr>
                <w:sz w:val="18"/>
              </w:rPr>
              <w:t>ASX Clear, ASX Clear (Futures)</w:t>
            </w:r>
          </w:p>
        </w:tc>
      </w:tr>
    </w:tbl>
    <w:p/>
    <w:p>
      <w:pPr>
        <w:pStyle w:val="Heading3"/>
      </w:pPr>
      <w:r>
        <w:t>8.3 Clearing Mandates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Jurisdiction</w:t>
            </w:r>
          </w:p>
        </w:tc>
        <w:tc>
          <w:tcPr>
            <w:tcW w:type="dxa" w:w="2880"/>
          </w:tcPr>
          <w:p>
            <w:pPr/>
            <w:r>
              <w:rPr>
                <w:b/>
                <w:sz w:val="18"/>
              </w:rPr>
              <w:t>Products Subject to Clearing Mandate</w:t>
            </w:r>
          </w:p>
        </w:tc>
        <w:tc>
          <w:tcPr>
            <w:tcW w:type="dxa" w:w="2880"/>
          </w:tcPr>
          <w:p>
            <w:pPr/>
            <w:r>
              <w:rPr>
                <w:b/>
                <w:sz w:val="18"/>
              </w:rPr>
              <w:t>CCP(s) Available</w:t>
            </w:r>
          </w:p>
        </w:tc>
      </w:tr>
      <w:tr>
        <w:tc>
          <w:tcPr>
            <w:tcW w:type="dxa" w:w="2880"/>
          </w:tcPr>
          <w:p>
            <w:pPr/>
            <w:r>
              <w:rPr>
                <w:sz w:val="18"/>
              </w:rPr>
              <w:t>**U.S.**</w:t>
            </w:r>
          </w:p>
        </w:tc>
        <w:tc>
          <w:tcPr>
            <w:tcW w:type="dxa" w:w="2880"/>
          </w:tcPr>
          <w:p>
            <w:pPr/>
            <w:r>
              <w:rPr>
                <w:sz w:val="18"/>
              </w:rPr>
              <w:t>IRS (USD, EUR, GBP, JPY), CDS indices (CDX); proposed: U.S. Treasury cash (Dec 2026) and repo (Jun 2027)</w:t>
            </w:r>
          </w:p>
        </w:tc>
        <w:tc>
          <w:tcPr>
            <w:tcW w:type="dxa" w:w="2880"/>
          </w:tcPr>
          <w:p>
            <w:pPr/>
            <w:r>
              <w:rPr>
                <w:sz w:val="18"/>
              </w:rPr>
              <w:t>CME, LCH Ltd (IRS); ICE Clear Credit (CDS); FICC, CME Securities Clearing, ICE Clear Credit (Treasuries)</w:t>
            </w:r>
          </w:p>
        </w:tc>
      </w:tr>
      <w:tr>
        <w:tc>
          <w:tcPr>
            <w:tcW w:type="dxa" w:w="2880"/>
          </w:tcPr>
          <w:p>
            <w:pPr/>
            <w:r>
              <w:rPr>
                <w:sz w:val="18"/>
              </w:rPr>
              <w:t>**EU**</w:t>
            </w:r>
          </w:p>
        </w:tc>
        <w:tc>
          <w:tcPr>
            <w:tcW w:type="dxa" w:w="2880"/>
          </w:tcPr>
          <w:p>
            <w:pPr/>
            <w:r>
              <w:rPr>
                <w:sz w:val="18"/>
              </w:rPr>
              <w:t>IRS (EUR, GBP, JPY, NOK, PLN, SEK), CDS indices (iTraxx); EMIR 3.0 active account requirement for systemically important products</w:t>
            </w:r>
          </w:p>
        </w:tc>
        <w:tc>
          <w:tcPr>
            <w:tcW w:type="dxa" w:w="2880"/>
          </w:tcPr>
          <w:p>
            <w:pPr/>
            <w:r>
              <w:rPr>
                <w:sz w:val="18"/>
              </w:rPr>
              <w:t>LCH Ltd, Eurex (IRS); ICE Clear Europe, LCH SA CDSClear (CDS)</w:t>
            </w:r>
          </w:p>
        </w:tc>
      </w:tr>
      <w:tr>
        <w:tc>
          <w:tcPr>
            <w:tcW w:type="dxa" w:w="2880"/>
          </w:tcPr>
          <w:p>
            <w:pPr/>
            <w:r>
              <w:rPr>
                <w:sz w:val="18"/>
              </w:rPr>
              <w:t>**Japan**</w:t>
            </w:r>
          </w:p>
        </w:tc>
        <w:tc>
          <w:tcPr>
            <w:tcW w:type="dxa" w:w="2880"/>
          </w:tcPr>
          <w:p>
            <w:pPr/>
            <w:r>
              <w:rPr>
                <w:sz w:val="18"/>
              </w:rPr>
              <w:t>JPY IRS (TONA-based), iTraxx Japan CDS index</w:t>
            </w:r>
          </w:p>
        </w:tc>
        <w:tc>
          <w:tcPr>
            <w:tcW w:type="dxa" w:w="2880"/>
          </w:tcPr>
          <w:p>
            <w:pPr/>
            <w:r>
              <w:rPr>
                <w:sz w:val="18"/>
              </w:rPr>
              <w:t>JSCC (sole eligible CCP)</w:t>
            </w:r>
          </w:p>
        </w:tc>
      </w:tr>
      <w:tr>
        <w:tc>
          <w:tcPr>
            <w:tcW w:type="dxa" w:w="2880"/>
          </w:tcPr>
          <w:p>
            <w:pPr/>
            <w:r>
              <w:rPr>
                <w:sz w:val="18"/>
              </w:rPr>
              <w:t>**Hong Kong**</w:t>
            </w:r>
          </w:p>
        </w:tc>
        <w:tc>
          <w:tcPr>
            <w:tcW w:type="dxa" w:w="2880"/>
          </w:tcPr>
          <w:p>
            <w:pPr/>
            <w:r>
              <w:rPr>
                <w:sz w:val="18"/>
              </w:rPr>
              <w:t>IRS (HKD, USD, EUR, GBP, JPY), NDF (select currencies)</w:t>
            </w:r>
          </w:p>
        </w:tc>
        <w:tc>
          <w:tcPr>
            <w:tcW w:type="dxa" w:w="2880"/>
          </w:tcPr>
          <w:p>
            <w:pPr/>
            <w:r>
              <w:rPr>
                <w:sz w:val="18"/>
              </w:rPr>
              <w:t>OTC Clear</w:t>
            </w:r>
          </w:p>
        </w:tc>
      </w:tr>
      <w:tr>
        <w:tc>
          <w:tcPr>
            <w:tcW w:type="dxa" w:w="2880"/>
          </w:tcPr>
          <w:p>
            <w:pPr/>
            <w:r>
              <w:rPr>
                <w:sz w:val="18"/>
              </w:rPr>
              <w:t>**Singapore**</w:t>
            </w:r>
          </w:p>
        </w:tc>
        <w:tc>
          <w:tcPr>
            <w:tcW w:type="dxa" w:w="2880"/>
          </w:tcPr>
          <w:p>
            <w:pPr/>
            <w:r>
              <w:rPr>
                <w:sz w:val="18"/>
              </w:rPr>
              <w:t>IRS (SGD), NDF (selected)</w:t>
            </w:r>
          </w:p>
        </w:tc>
        <w:tc>
          <w:tcPr>
            <w:tcW w:type="dxa" w:w="2880"/>
          </w:tcPr>
          <w:p>
            <w:pPr/>
            <w:r>
              <w:rPr>
                <w:sz w:val="18"/>
              </w:rPr>
              <w:t>SGX-DC</w:t>
            </w:r>
          </w:p>
        </w:tc>
      </w:tr>
      <w:tr>
        <w:tc>
          <w:tcPr>
            <w:tcW w:type="dxa" w:w="2880"/>
          </w:tcPr>
          <w:p>
            <w:pPr/>
            <w:r>
              <w:rPr>
                <w:sz w:val="18"/>
              </w:rPr>
              <w:t>**Korea**</w:t>
            </w:r>
          </w:p>
        </w:tc>
        <w:tc>
          <w:tcPr>
            <w:tcW w:type="dxa" w:w="2880"/>
          </w:tcPr>
          <w:p>
            <w:pPr/>
            <w:r>
              <w:rPr>
                <w:sz w:val="18"/>
              </w:rPr>
              <w:t>KRW IRS, KRW CRS [limited scope]</w:t>
            </w:r>
          </w:p>
        </w:tc>
        <w:tc>
          <w:tcPr>
            <w:tcW w:type="dxa" w:w="2880"/>
          </w:tcPr>
          <w:p>
            <w:pPr/>
            <w:r>
              <w:rPr>
                <w:sz w:val="18"/>
              </w:rPr>
              <w:t>KRX (domestic CCP)</w:t>
            </w:r>
          </w:p>
        </w:tc>
      </w:tr>
    </w:tbl>
    <w:p/>
    <w:p>
      <w:r>
        <w:t>────────────────────────────────────────────────────────────</w:t>
      </w:r>
    </w:p>
    <w:p>
      <w:pPr>
        <w:pStyle w:val="Heading2"/>
      </w:pPr>
      <w:r>
        <w:t>9. Fee Structure Comparison</w:t>
      </w:r>
    </w:p>
    <w:p>
      <w:pPr>
        <w:pStyle w:val="Heading3"/>
      </w:pPr>
      <w:r>
        <w:t>9.1 Clearing Fee Models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CCP</w:t>
            </w:r>
          </w:p>
        </w:tc>
        <w:tc>
          <w:tcPr>
            <w:tcW w:type="dxa" w:w="2160"/>
          </w:tcPr>
          <w:p>
            <w:pPr/>
            <w:r>
              <w:rPr>
                <w:b/>
                <w:sz w:val="18"/>
              </w:rPr>
              <w:t>Fee Model</w:t>
            </w:r>
          </w:p>
        </w:tc>
        <w:tc>
          <w:tcPr>
            <w:tcW w:type="dxa" w:w="2160"/>
          </w:tcPr>
          <w:p>
            <w:pPr/>
            <w:r>
              <w:rPr>
                <w:b/>
                <w:sz w:val="18"/>
              </w:rPr>
              <w:t>Representative Rate</w:t>
            </w:r>
          </w:p>
        </w:tc>
        <w:tc>
          <w:tcPr>
            <w:tcW w:type="dxa" w:w="2160"/>
          </w:tcPr>
          <w:p>
            <w:pPr/>
            <w:r>
              <w:rPr>
                <w:b/>
                <w:sz w:val="18"/>
              </w:rPr>
              <w:t>Notes</w:t>
            </w:r>
          </w:p>
        </w:tc>
      </w:tr>
      <w:tr>
        <w:tc>
          <w:tcPr>
            <w:tcW w:type="dxa" w:w="2160"/>
          </w:tcPr>
          <w:p>
            <w:pPr/>
            <w:r>
              <w:rPr>
                <w:sz w:val="18"/>
              </w:rPr>
              <w:t>**NSCC**</w:t>
            </w:r>
          </w:p>
        </w:tc>
        <w:tc>
          <w:tcPr>
            <w:tcW w:type="dxa" w:w="2160"/>
          </w:tcPr>
          <w:p>
            <w:pPr/>
            <w:r>
              <w:rPr>
                <w:sz w:val="18"/>
              </w:rPr>
              <w:t>Per-transaction</w:t>
            </w:r>
          </w:p>
        </w:tc>
        <w:tc>
          <w:tcPr>
            <w:tcW w:type="dxa" w:w="2160"/>
          </w:tcPr>
          <w:p>
            <w:pPr/>
            <w:r>
              <w:rPr>
                <w:sz w:val="18"/>
              </w:rPr>
              <w:t>$0.21 per CNS delivery (increased from $0.17 in 2025)</w:t>
            </w:r>
          </w:p>
        </w:tc>
        <w:tc>
          <w:tcPr>
            <w:tcW w:type="dxa" w:w="2160"/>
          </w:tcPr>
          <w:p>
            <w:pPr/>
            <w:r>
              <w:rPr>
                <w:sz w:val="18"/>
              </w:rPr>
              <w:t>Schedule-based; FICC-GSD charges 0.25% p.a. on cash clearing fund deposits</w:t>
            </w:r>
          </w:p>
        </w:tc>
      </w:tr>
      <w:tr>
        <w:tc>
          <w:tcPr>
            <w:tcW w:type="dxa" w:w="2160"/>
          </w:tcPr>
          <w:p>
            <w:pPr/>
            <w:r>
              <w:rPr>
                <w:sz w:val="18"/>
              </w:rPr>
              <w:t>**OCC**</w:t>
            </w:r>
          </w:p>
        </w:tc>
        <w:tc>
          <w:tcPr>
            <w:tcW w:type="dxa" w:w="2160"/>
          </w:tcPr>
          <w:p>
            <w:pPr/>
            <w:r>
              <w:rPr>
                <w:sz w:val="18"/>
              </w:rPr>
              <w:t>Per-contract</w:t>
            </w:r>
          </w:p>
        </w:tc>
        <w:tc>
          <w:tcPr>
            <w:tcW w:type="dxa" w:w="2160"/>
          </w:tcPr>
          <w:p>
            <w:pPr/>
            <w:r>
              <w:rPr>
                <w:sz w:val="18"/>
              </w:rPr>
              <w:t>**$0.025** per contract (options, effective Feb 2025)</w:t>
            </w:r>
          </w:p>
        </w:tc>
        <w:tc>
          <w:tcPr>
            <w:tcW w:type="dxa" w:w="2160"/>
          </w:tcPr>
          <w:p>
            <w:pPr/>
            <w:r>
              <w:rPr>
                <w:sz w:val="18"/>
              </w:rPr>
              <w:t>Increased from $0.02; per-transaction cap removed; occasional fee holidays (Dec 2025)</w:t>
            </w:r>
          </w:p>
        </w:tc>
      </w:tr>
      <w:tr>
        <w:tc>
          <w:tcPr>
            <w:tcW w:type="dxa" w:w="2160"/>
          </w:tcPr>
          <w:p>
            <w:pPr/>
            <w:r>
              <w:rPr>
                <w:sz w:val="18"/>
              </w:rPr>
              <w:t>**CME**</w:t>
            </w:r>
          </w:p>
        </w:tc>
        <w:tc>
          <w:tcPr>
            <w:tcW w:type="dxa" w:w="2160"/>
          </w:tcPr>
          <w:p>
            <w:pPr/>
            <w:r>
              <w:rPr>
                <w:sz w:val="18"/>
              </w:rPr>
              <w:t>Per-side, per-contract</w:t>
            </w:r>
          </w:p>
        </w:tc>
        <w:tc>
          <w:tcPr>
            <w:tcW w:type="dxa" w:w="2160"/>
          </w:tcPr>
          <w:p>
            <w:pPr/>
            <w:r>
              <w:rPr>
                <w:sz w:val="18"/>
              </w:rPr>
              <w:t>**$0.707** average rate per side (Q4 2025)</w:t>
            </w:r>
          </w:p>
        </w:tc>
        <w:tc>
          <w:tcPr>
            <w:tcW w:type="dxa" w:w="2160"/>
          </w:tcPr>
          <w:p>
            <w:pPr/>
            <w:r>
              <w:rPr>
                <w:sz w:val="18"/>
              </w:rPr>
              <w:t>Varies by product; volume incentive programs; member vs non-member tiers</w:t>
            </w:r>
          </w:p>
        </w:tc>
      </w:tr>
      <w:tr>
        <w:tc>
          <w:tcPr>
            <w:tcW w:type="dxa" w:w="2160"/>
          </w:tcPr>
          <w:p>
            <w:pPr/>
            <w:r>
              <w:rPr>
                <w:sz w:val="18"/>
              </w:rPr>
              <w:t>**Eurex**</w:t>
            </w:r>
          </w:p>
        </w:tc>
        <w:tc>
          <w:tcPr>
            <w:tcW w:type="dxa" w:w="2160"/>
          </w:tcPr>
          <w:p>
            <w:pPr/>
            <w:r>
              <w:rPr>
                <w:sz w:val="18"/>
              </w:rPr>
              <w:t>Per-contract</w:t>
            </w:r>
          </w:p>
        </w:tc>
        <w:tc>
          <w:tcPr>
            <w:tcW w:type="dxa" w:w="2160"/>
          </w:tcPr>
          <w:p>
            <w:pPr/>
            <w:r>
              <w:rPr>
                <w:sz w:val="18"/>
              </w:rPr>
              <w:t>Product-specific with volume-based rebate tiers</w:t>
            </w:r>
          </w:p>
        </w:tc>
        <w:tc>
          <w:tcPr>
            <w:tcW w:type="dxa" w:w="2160"/>
          </w:tcPr>
          <w:p>
            <w:pPr/>
            <w:r>
              <w:rPr>
                <w:sz w:val="18"/>
              </w:rPr>
              <w:t>2026 pricing changes for equity index, FI futures; Prisma margin savings offset clearing costs</w:t>
            </w:r>
          </w:p>
        </w:tc>
      </w:tr>
      <w:tr>
        <w:tc>
          <w:tcPr>
            <w:tcW w:type="dxa" w:w="2160"/>
          </w:tcPr>
          <w:p>
            <w:pPr/>
            <w:r>
              <w:rPr>
                <w:sz w:val="18"/>
              </w:rPr>
              <w:t>**LCH** (SwapClear)</w:t>
            </w:r>
          </w:p>
        </w:tc>
        <w:tc>
          <w:tcPr>
            <w:tcW w:type="dxa" w:w="2160"/>
          </w:tcPr>
          <w:p>
            <w:pPr/>
            <w:r>
              <w:rPr>
                <w:sz w:val="18"/>
              </w:rPr>
              <w:t>Annual fee + tiered per-trade</w:t>
            </w:r>
          </w:p>
        </w:tc>
        <w:tc>
          <w:tcPr>
            <w:tcW w:type="dxa" w:w="2160"/>
          </w:tcPr>
          <w:p>
            <w:pPr/>
            <w:r>
              <w:rPr>
                <w:sz w:val="18"/>
              </w:rPr>
              <w:t>USD 250,000/year (self-clearing via LCH LLC)</w:t>
            </w:r>
          </w:p>
        </w:tc>
        <w:tc>
          <w:tcPr>
            <w:tcW w:type="dxa" w:w="2160"/>
          </w:tcPr>
          <w:p>
            <w:pPr/>
            <w:r>
              <w:rPr>
                <w:sz w:val="18"/>
              </w:rPr>
              <w:t>Tiered trade registration and maintenance fees</w:t>
            </w:r>
          </w:p>
        </w:tc>
      </w:tr>
      <w:tr>
        <w:tc>
          <w:tcPr>
            <w:tcW w:type="dxa" w:w="2160"/>
          </w:tcPr>
          <w:p>
            <w:pPr/>
            <w:r>
              <w:rPr>
                <w:sz w:val="18"/>
              </w:rPr>
              <w:t>**LCH** (CDSClear)</w:t>
            </w:r>
          </w:p>
        </w:tc>
        <w:tc>
          <w:tcPr>
            <w:tcW w:type="dxa" w:w="2160"/>
          </w:tcPr>
          <w:p>
            <w:pPr/>
            <w:r>
              <w:rPr>
                <w:sz w:val="18"/>
              </w:rPr>
              <w:t>Annual membership</w:t>
            </w:r>
          </w:p>
        </w:tc>
        <w:tc>
          <w:tcPr>
            <w:tcW w:type="dxa" w:w="2160"/>
          </w:tcPr>
          <w:p>
            <w:pPr/>
            <w:r>
              <w:rPr>
                <w:sz w:val="18"/>
              </w:rPr>
              <w:t>EUR 400,000/year (Dealer status)</w:t>
            </w:r>
          </w:p>
        </w:tc>
        <w:tc>
          <w:tcPr>
            <w:tcW w:type="dxa" w:w="2160"/>
          </w:tcPr>
          <w:p>
            <w:pPr/>
            <w:r>
              <w:rPr>
                <w:sz w:val="18"/>
              </w:rPr>
              <w:t>First-year fee waiver for new members</w:t>
            </w:r>
          </w:p>
        </w:tc>
      </w:tr>
      <w:tr>
        <w:tc>
          <w:tcPr>
            <w:tcW w:type="dxa" w:w="2160"/>
          </w:tcPr>
          <w:p>
            <w:pPr/>
            <w:r>
              <w:rPr>
                <w:sz w:val="18"/>
              </w:rPr>
              <w:t>**JSCC**</w:t>
            </w:r>
          </w:p>
        </w:tc>
        <w:tc>
          <w:tcPr>
            <w:tcW w:type="dxa" w:w="2160"/>
          </w:tcPr>
          <w:p>
            <w:pPr/>
            <w:r>
              <w:rPr>
                <w:sz w:val="18"/>
              </w:rPr>
              <w:t>Per-transaction (notional-based for OTC)</w:t>
            </w:r>
          </w:p>
        </w:tc>
        <w:tc>
          <w:tcPr>
            <w:tcW w:type="dxa" w:w="2160"/>
          </w:tcPr>
          <w:p>
            <w:pPr/>
            <w:r>
              <w:rPr>
                <w:sz w:val="18"/>
              </w:rPr>
              <w:t>Reportedly 50-67% lower than comparable global CCP rates for OTC</w:t>
            </w:r>
          </w:p>
        </w:tc>
        <w:tc>
          <w:tcPr>
            <w:tcW w:type="dxa" w:w="2160"/>
          </w:tcPr>
          <w:p>
            <w:pPr/>
            <w:r>
              <w:rPr>
                <w:sz w:val="18"/>
              </w:rPr>
              <w:t>Competitive pricing strategy to attract volume</w:t>
            </w:r>
          </w:p>
        </w:tc>
      </w:tr>
      <w:tr>
        <w:tc>
          <w:tcPr>
            <w:tcW w:type="dxa" w:w="2160"/>
          </w:tcPr>
          <w:p>
            <w:pPr/>
            <w:r>
              <w:rPr>
                <w:sz w:val="18"/>
              </w:rPr>
              <w:t>**Cboe Clear Europe**</w:t>
            </w:r>
          </w:p>
        </w:tc>
        <w:tc>
          <w:tcPr>
            <w:tcW w:type="dxa" w:w="2160"/>
          </w:tcPr>
          <w:p>
            <w:pPr/>
            <w:r>
              <w:rPr>
                <w:sz w:val="18"/>
              </w:rPr>
              <w:t>Per-trade</w:t>
            </w:r>
          </w:p>
        </w:tc>
        <w:tc>
          <w:tcPr>
            <w:tcW w:type="dxa" w:w="2160"/>
          </w:tcPr>
          <w:p>
            <w:pPr/>
            <w:r>
              <w:rPr>
                <w:sz w:val="18"/>
              </w:rPr>
              <w:t>[see individual file]</w:t>
            </w:r>
          </w:p>
        </w:tc>
        <w:tc>
          <w:tcPr>
            <w:tcW w:type="dxa" w:w="2160"/>
          </w:tcPr>
          <w:p>
            <w:pPr/>
            <w:r>
              <w:rPr>
                <w:sz w:val="18"/>
              </w:rPr>
              <w:t>Cross-venue netting reduces effective cost</w:t>
            </w:r>
          </w:p>
        </w:tc>
      </w:tr>
      <w:tr>
        <w:tc>
          <w:tcPr>
            <w:tcW w:type="dxa" w:w="2160"/>
          </w:tcPr>
          <w:p>
            <w:pPr/>
            <w:r>
              <w:rPr>
                <w:sz w:val="18"/>
              </w:rPr>
              <w:t>**ASX**</w:t>
            </w:r>
          </w:p>
        </w:tc>
        <w:tc>
          <w:tcPr>
            <w:tcW w:type="dxa" w:w="2160"/>
          </w:tcPr>
          <w:p>
            <w:pPr/>
            <w:r>
              <w:rPr>
                <w:sz w:val="18"/>
              </w:rPr>
              <w:t>Per-trade</w:t>
            </w:r>
          </w:p>
        </w:tc>
        <w:tc>
          <w:tcPr>
            <w:tcW w:type="dxa" w:w="2160"/>
          </w:tcPr>
          <w:p>
            <w:pPr/>
            <w:r>
              <w:rPr>
                <w:sz w:val="18"/>
              </w:rPr>
              <w:t>[see individual file]</w:t>
            </w:r>
          </w:p>
        </w:tc>
        <w:tc>
          <w:tcPr>
            <w:tcW w:type="dxa" w:w="2160"/>
          </w:tcPr>
          <w:p>
            <w:pPr/>
            <w:r>
              <w:rPr>
                <w:sz w:val="18"/>
              </w:rPr>
              <w:t>Vertically integrated pricing</w:t>
            </w:r>
          </w:p>
        </w:tc>
      </w:tr>
      <w:tr>
        <w:tc>
          <w:tcPr>
            <w:tcW w:type="dxa" w:w="2160"/>
          </w:tcPr>
          <w:p>
            <w:pPr/>
            <w:r>
              <w:rPr>
                <w:sz w:val="18"/>
              </w:rPr>
              <w:t>**HKSCC**</w:t>
            </w:r>
          </w:p>
        </w:tc>
        <w:tc>
          <w:tcPr>
            <w:tcW w:type="dxa" w:w="2160"/>
          </w:tcPr>
          <w:p>
            <w:pPr/>
            <w:r>
              <w:rPr>
                <w:sz w:val="18"/>
              </w:rPr>
              <w:t>Settlement fee</w:t>
            </w:r>
          </w:p>
        </w:tc>
        <w:tc>
          <w:tcPr>
            <w:tcW w:type="dxa" w:w="2160"/>
          </w:tcPr>
          <w:p>
            <w:pPr/>
            <w:r>
              <w:rPr>
                <w:sz w:val="18"/>
              </w:rPr>
              <w:t>0.0042% flat rate (effective June 30, 2025)</w:t>
            </w:r>
          </w:p>
        </w:tc>
        <w:tc>
          <w:tcPr>
            <w:tcW w:type="dxa" w:w="2160"/>
          </w:tcPr>
          <w:p>
            <w:pPr/>
            <w:r>
              <w:rPr>
                <w:sz w:val="18"/>
              </w:rPr>
              <w:t>Recently restructured from tiered to flat rate</w:t>
            </w:r>
          </w:p>
        </w:tc>
      </w:tr>
      <w:tr>
        <w:tc>
          <w:tcPr>
            <w:tcW w:type="dxa" w:w="2160"/>
          </w:tcPr>
          <w:p>
            <w:pPr/>
            <w:r>
              <w:rPr>
                <w:sz w:val="18"/>
              </w:rPr>
              <w:t>**KRX**</w:t>
            </w:r>
          </w:p>
        </w:tc>
        <w:tc>
          <w:tcPr>
            <w:tcW w:type="dxa" w:w="2160"/>
          </w:tcPr>
          <w:p>
            <w:pPr/>
            <w:r>
              <w:rPr>
                <w:sz w:val="18"/>
              </w:rPr>
              <w:t>Bundled with exchange fee</w:t>
            </w:r>
          </w:p>
        </w:tc>
        <w:tc>
          <w:tcPr>
            <w:tcW w:type="dxa" w:w="2160"/>
          </w:tcPr>
          <w:p>
            <w:pPr/>
            <w:r>
              <w:rPr>
                <w:sz w:val="18"/>
              </w:rPr>
              <w:t>Clearing component ~0.0001%-0.001% of notional</w:t>
            </w:r>
          </w:p>
        </w:tc>
        <w:tc>
          <w:tcPr>
            <w:tcW w:type="dxa" w:w="2160"/>
          </w:tcPr>
          <w:p>
            <w:pPr/>
            <w:r>
              <w:rPr>
                <w:sz w:val="18"/>
              </w:rPr>
              <w:t>Integrated exchange-CCP model</w:t>
            </w:r>
          </w:p>
        </w:tc>
      </w:tr>
    </w:tbl>
    <w:p/>
    <w:p>
      <w:r>
        <w:t>────────────────────────────────────────────────────────────</w:t>
      </w:r>
    </w:p>
    <w:p>
      <w:pPr>
        <w:pStyle w:val="Heading2"/>
      </w:pPr>
      <w:r>
        <w:t>10. Summary Tables</w:t>
      </w:r>
    </w:p>
    <w:p>
      <w:pPr>
        <w:pStyle w:val="Heading3"/>
      </w:pPr>
      <w:r>
        <w:t>10.1 Master Comparison Table</w:t>
      </w:r>
    </w:p>
    <w:tbl>
      <w:tblPr>
        <w:tblStyle w:val="TableGrid"/>
        <w:tblW w:type="auto" w:w="0"/>
        <w:jc w:val="left"/>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r>
              <w:rPr>
                <w:b/>
                <w:sz w:val="18"/>
              </w:rPr>
              <w:t>Organization</w:t>
            </w:r>
          </w:p>
        </w:tc>
        <w:tc>
          <w:tcPr>
            <w:tcW w:type="dxa" w:w="540"/>
          </w:tcPr>
          <w:p>
            <w:pPr/>
            <w:r>
              <w:rPr>
                <w:b/>
                <w:sz w:val="18"/>
              </w:rPr>
              <w:t>Country</w:t>
            </w:r>
          </w:p>
        </w:tc>
        <w:tc>
          <w:tcPr>
            <w:tcW w:type="dxa" w:w="540"/>
          </w:tcPr>
          <w:p>
            <w:pPr/>
            <w:r>
              <w:rPr>
                <w:b/>
                <w:sz w:val="18"/>
              </w:rPr>
              <w:t>Type</w:t>
            </w:r>
          </w:p>
        </w:tc>
        <w:tc>
          <w:tcPr>
            <w:tcW w:type="dxa" w:w="540"/>
          </w:tcPr>
          <w:p>
            <w:pPr/>
            <w:r>
              <w:rPr>
                <w:b/>
                <w:sz w:val="18"/>
              </w:rPr>
              <w:t>Parent/Owner</w:t>
            </w:r>
          </w:p>
        </w:tc>
        <w:tc>
          <w:tcPr>
            <w:tcW w:type="dxa" w:w="540"/>
          </w:tcPr>
          <w:p>
            <w:pPr/>
            <w:r>
              <w:rPr>
                <w:b/>
                <w:sz w:val="18"/>
              </w:rPr>
              <w:t>Est.</w:t>
            </w:r>
          </w:p>
        </w:tc>
        <w:tc>
          <w:tcPr>
            <w:tcW w:type="dxa" w:w="540"/>
          </w:tcPr>
          <w:p>
            <w:pPr/>
            <w:r>
              <w:rPr>
                <w:b/>
                <w:sz w:val="18"/>
              </w:rPr>
              <w:t>Products</w:t>
            </w:r>
          </w:p>
        </w:tc>
        <w:tc>
          <w:tcPr>
            <w:tcW w:type="dxa" w:w="540"/>
          </w:tcPr>
          <w:p>
            <w:pPr/>
            <w:r>
              <w:rPr>
                <w:b/>
                <w:sz w:val="18"/>
              </w:rPr>
              <w:t>Margin Method</w:t>
            </w:r>
          </w:p>
        </w:tc>
        <w:tc>
          <w:tcPr>
            <w:tcW w:type="dxa" w:w="540"/>
          </w:tcPr>
          <w:p>
            <w:pPr/>
            <w:r>
              <w:rPr>
                <w:b/>
                <w:sz w:val="18"/>
              </w:rPr>
              <w:t>Confidence</w:t>
            </w:r>
          </w:p>
        </w:tc>
        <w:tc>
          <w:tcPr>
            <w:tcW w:type="dxa" w:w="540"/>
          </w:tcPr>
          <w:p>
            <w:pPr/>
            <w:r>
              <w:rPr>
                <w:b/>
                <w:sz w:val="18"/>
              </w:rPr>
              <w:t>MPOR (ETD/OTC)</w:t>
            </w:r>
          </w:p>
        </w:tc>
        <w:tc>
          <w:tcPr>
            <w:tcW w:type="dxa" w:w="540"/>
          </w:tcPr>
          <w:p>
            <w:pPr/>
            <w:r>
              <w:rPr>
                <w:b/>
                <w:sz w:val="18"/>
              </w:rPr>
              <w:t>Cover Std</w:t>
            </w:r>
          </w:p>
        </w:tc>
        <w:tc>
          <w:tcPr>
            <w:tcW w:type="dxa" w:w="540"/>
          </w:tcPr>
          <w:p>
            <w:pPr/>
            <w:r>
              <w:rPr>
                <w:b/>
                <w:sz w:val="18"/>
              </w:rPr>
              <w:t>DF Size (approx.)</w:t>
            </w:r>
          </w:p>
        </w:tc>
        <w:tc>
          <w:tcPr>
            <w:tcW w:type="dxa" w:w="540"/>
          </w:tcPr>
          <w:p>
            <w:pPr/>
            <w:r>
              <w:rPr>
                <w:b/>
                <w:sz w:val="18"/>
              </w:rPr>
              <w:t>SITG</w:t>
            </w:r>
          </w:p>
        </w:tc>
        <w:tc>
          <w:tcPr>
            <w:tcW w:type="dxa" w:w="540"/>
          </w:tcPr>
          <w:p>
            <w:pPr/>
            <w:r>
              <w:rPr>
                <w:b/>
                <w:sz w:val="18"/>
              </w:rPr>
              <w:t>Settlement Cycle (Equities)</w:t>
            </w:r>
          </w:p>
        </w:tc>
        <w:tc>
          <w:tcPr>
            <w:tcW w:type="dxa" w:w="540"/>
          </w:tcPr>
          <w:p>
            <w:pPr/>
            <w:r>
              <w:rPr>
                <w:b/>
                <w:sz w:val="18"/>
              </w:rPr>
              <w:t>DVP Model</w:t>
            </w:r>
          </w:p>
        </w:tc>
        <w:tc>
          <w:tcPr>
            <w:tcW w:type="dxa" w:w="540"/>
          </w:tcPr>
          <w:p>
            <w:pPr/>
            <w:r>
              <w:rPr>
                <w:b/>
                <w:sz w:val="18"/>
              </w:rPr>
              <w:t>QCCP</w:t>
            </w:r>
          </w:p>
        </w:tc>
        <w:tc>
          <w:tcPr>
            <w:tcW w:type="dxa" w:w="540"/>
          </w:tcPr>
          <w:p>
            <w:pPr/>
            <w:r>
              <w:rPr>
                <w:b/>
                <w:sz w:val="18"/>
              </w:rPr>
              <w:t>SIFMU</w:t>
            </w:r>
          </w:p>
        </w:tc>
      </w:tr>
      <w:tr>
        <w:tc>
          <w:tcPr>
            <w:tcW w:type="dxa" w:w="540"/>
          </w:tcPr>
          <w:p>
            <w:pPr/>
            <w:r>
              <w:rPr>
                <w:sz w:val="18"/>
              </w:rPr>
              <w:t>**DTCC** (NSCC/FICC/DTC)</w:t>
            </w:r>
          </w:p>
        </w:tc>
        <w:tc>
          <w:tcPr>
            <w:tcW w:type="dxa" w:w="540"/>
          </w:tcPr>
          <w:p>
            <w:pPr/>
            <w:r>
              <w:rPr>
                <w:sz w:val="18"/>
              </w:rPr>
              <w:t>U.S.</w:t>
            </w:r>
          </w:p>
        </w:tc>
        <w:tc>
          <w:tcPr>
            <w:tcW w:type="dxa" w:w="540"/>
          </w:tcPr>
          <w:p>
            <w:pPr/>
            <w:r>
              <w:rPr>
                <w:sz w:val="18"/>
              </w:rPr>
              <w:t>CCP+CSD</w:t>
            </w:r>
          </w:p>
        </w:tc>
        <w:tc>
          <w:tcPr>
            <w:tcW w:type="dxa" w:w="540"/>
          </w:tcPr>
          <w:p>
            <w:pPr/>
            <w:r>
              <w:rPr>
                <w:sz w:val="18"/>
              </w:rPr>
              <w:t>User-owned</w:t>
            </w:r>
          </w:p>
        </w:tc>
        <w:tc>
          <w:tcPr>
            <w:tcW w:type="dxa" w:w="540"/>
          </w:tcPr>
          <w:p>
            <w:pPr/>
            <w:r>
              <w:rPr>
                <w:sz w:val="18"/>
              </w:rPr>
              <w:t>1999</w:t>
            </w:r>
          </w:p>
        </w:tc>
        <w:tc>
          <w:tcPr>
            <w:tcW w:type="dxa" w:w="540"/>
          </w:tcPr>
          <w:p>
            <w:pPr/>
            <w:r>
              <w:rPr>
                <w:sz w:val="18"/>
              </w:rPr>
              <w:t>Equities, FI, MBS, repos</w:t>
            </w:r>
          </w:p>
        </w:tc>
        <w:tc>
          <w:tcPr>
            <w:tcW w:type="dxa" w:w="540"/>
          </w:tcPr>
          <w:p>
            <w:pPr/>
            <w:r>
              <w:rPr>
                <w:sz w:val="18"/>
              </w:rPr>
              <w:t>VaR</w:t>
            </w:r>
          </w:p>
        </w:tc>
        <w:tc>
          <w:tcPr>
            <w:tcW w:type="dxa" w:w="540"/>
          </w:tcPr>
          <w:p>
            <w:pPr/>
            <w:r>
              <w:rPr>
                <w:sz w:val="18"/>
              </w:rPr>
              <w:t>99%</w:t>
            </w:r>
          </w:p>
        </w:tc>
        <w:tc>
          <w:tcPr>
            <w:tcW w:type="dxa" w:w="540"/>
          </w:tcPr>
          <w:p>
            <w:pPr/>
            <w:r>
              <w:rPr>
                <w:sz w:val="18"/>
              </w:rPr>
              <w:t>3d / N/A</w:t>
            </w:r>
          </w:p>
        </w:tc>
        <w:tc>
          <w:tcPr>
            <w:tcW w:type="dxa" w:w="540"/>
          </w:tcPr>
          <w:p>
            <w:pPr/>
            <w:r>
              <w:rPr>
                <w:sz w:val="18"/>
              </w:rPr>
              <w:t>Cover 1</w:t>
            </w:r>
          </w:p>
        </w:tc>
        <w:tc>
          <w:tcPr>
            <w:tcW w:type="dxa" w:w="540"/>
          </w:tcPr>
          <w:p>
            <w:pPr/>
            <w:r>
              <w:rPr>
                <w:sz w:val="18"/>
              </w:rPr>
              <w:t>NSCC ~$11.2B; FICC-GSD IM $65.5B</w:t>
            </w:r>
          </w:p>
        </w:tc>
        <w:tc>
          <w:tcPr>
            <w:tcW w:type="dxa" w:w="540"/>
          </w:tcPr>
          <w:p>
            <w:pPr/>
            <w:r>
              <w:rPr>
                <w:sz w:val="18"/>
              </w:rPr>
              <w:t>~$25-50M</w:t>
            </w:r>
          </w:p>
        </w:tc>
        <w:tc>
          <w:tcPr>
            <w:tcW w:type="dxa" w:w="540"/>
          </w:tcPr>
          <w:p>
            <w:pPr/>
            <w:r>
              <w:rPr>
                <w:sz w:val="18"/>
              </w:rPr>
              <w:t>T+1</w:t>
            </w:r>
          </w:p>
        </w:tc>
        <w:tc>
          <w:tcPr>
            <w:tcW w:type="dxa" w:w="540"/>
          </w:tcPr>
          <w:p>
            <w:pPr/>
            <w:r>
              <w:rPr>
                <w:sz w:val="18"/>
              </w:rPr>
              <w:t>Model 2</w:t>
            </w:r>
          </w:p>
        </w:tc>
        <w:tc>
          <w:tcPr>
            <w:tcW w:type="dxa" w:w="540"/>
          </w:tcPr>
          <w:p>
            <w:pPr/>
            <w:r>
              <w:rPr>
                <w:sz w:val="18"/>
              </w:rPr>
              <w:t>Yes</w:t>
            </w:r>
          </w:p>
        </w:tc>
        <w:tc>
          <w:tcPr>
            <w:tcW w:type="dxa" w:w="540"/>
          </w:tcPr>
          <w:p>
            <w:pPr/>
            <w:r>
              <w:rPr>
                <w:sz w:val="18"/>
              </w:rPr>
              <w:t>Yes</w:t>
            </w:r>
          </w:p>
        </w:tc>
      </w:tr>
      <w:tr>
        <w:tc>
          <w:tcPr>
            <w:tcW w:type="dxa" w:w="540"/>
          </w:tcPr>
          <w:p>
            <w:pPr/>
            <w:r>
              <w:rPr>
                <w:sz w:val="18"/>
              </w:rPr>
              <w:t>**LCH** (Ltd+SA)</w:t>
            </w:r>
          </w:p>
        </w:tc>
        <w:tc>
          <w:tcPr>
            <w:tcW w:type="dxa" w:w="540"/>
          </w:tcPr>
          <w:p>
            <w:pPr/>
            <w:r>
              <w:rPr>
                <w:sz w:val="18"/>
              </w:rPr>
              <w:t>UK/France</w:t>
            </w:r>
          </w:p>
        </w:tc>
        <w:tc>
          <w:tcPr>
            <w:tcW w:type="dxa" w:w="540"/>
          </w:tcPr>
          <w:p>
            <w:pPr/>
            <w:r>
              <w:rPr>
                <w:sz w:val="18"/>
              </w:rPr>
              <w:t>CCP</w:t>
            </w:r>
          </w:p>
        </w:tc>
        <w:tc>
          <w:tcPr>
            <w:tcW w:type="dxa" w:w="540"/>
          </w:tcPr>
          <w:p>
            <w:pPr/>
            <w:r>
              <w:rPr>
                <w:sz w:val="18"/>
              </w:rPr>
              <w:t>LSEG (82.6%)</w:t>
            </w:r>
          </w:p>
        </w:tc>
        <w:tc>
          <w:tcPr>
            <w:tcW w:type="dxa" w:w="540"/>
          </w:tcPr>
          <w:p>
            <w:pPr/>
            <w:r>
              <w:rPr>
                <w:sz w:val="18"/>
              </w:rPr>
              <w:t>1888</w:t>
            </w:r>
          </w:p>
        </w:tc>
        <w:tc>
          <w:tcPr>
            <w:tcW w:type="dxa" w:w="540"/>
          </w:tcPr>
          <w:p>
            <w:pPr/>
            <w:r>
              <w:rPr>
                <w:sz w:val="18"/>
              </w:rPr>
              <w:t>OTC IRS, FX, repos, equities, CDS</w:t>
            </w:r>
          </w:p>
        </w:tc>
        <w:tc>
          <w:tcPr>
            <w:tcW w:type="dxa" w:w="540"/>
          </w:tcPr>
          <w:p>
            <w:pPr/>
            <w:r>
              <w:rPr>
                <w:sz w:val="18"/>
              </w:rPr>
              <w:t>PAIRS (ES/FHS)</w:t>
            </w:r>
          </w:p>
        </w:tc>
        <w:tc>
          <w:tcPr>
            <w:tcW w:type="dxa" w:w="540"/>
          </w:tcPr>
          <w:p>
            <w:pPr/>
            <w:r>
              <w:rPr>
                <w:sz w:val="18"/>
              </w:rPr>
              <w:t>99.7%</w:t>
            </w:r>
          </w:p>
        </w:tc>
        <w:tc>
          <w:tcPr>
            <w:tcW w:type="dxa" w:w="540"/>
          </w:tcPr>
          <w:p>
            <w:pPr/>
            <w:r>
              <w:rPr>
                <w:sz w:val="18"/>
              </w:rPr>
              <w:t>N/A / 5-7d</w:t>
            </w:r>
          </w:p>
        </w:tc>
        <w:tc>
          <w:tcPr>
            <w:tcW w:type="dxa" w:w="540"/>
          </w:tcPr>
          <w:p>
            <w:pPr/>
            <w:r>
              <w:rPr>
                <w:sz w:val="18"/>
              </w:rPr>
              <w:t>Cover 2</w:t>
            </w:r>
          </w:p>
        </w:tc>
        <w:tc>
          <w:tcPr>
            <w:tcW w:type="dxa" w:w="540"/>
          </w:tcPr>
          <w:p>
            <w:pPr/>
            <w:r>
              <w:rPr>
                <w:sz w:val="18"/>
              </w:rPr>
              <w:t>SwapClear ~GBP 6B; CDSClear ~EUR 2.8B</w:t>
            </w:r>
          </w:p>
        </w:tc>
        <w:tc>
          <w:tcPr>
            <w:tcW w:type="dxa" w:w="540"/>
          </w:tcPr>
          <w:p>
            <w:pPr/>
            <w:r>
              <w:rPr>
                <w:sz w:val="18"/>
              </w:rPr>
              <w:t>~GBP 35M</w:t>
            </w:r>
          </w:p>
        </w:tc>
        <w:tc>
          <w:tcPr>
            <w:tcW w:type="dxa" w:w="540"/>
          </w:tcPr>
          <w:p>
            <w:pPr/>
            <w:r>
              <w:rPr>
                <w:sz w:val="18"/>
              </w:rPr>
              <w:t>T+2 (UK)</w:t>
            </w:r>
          </w:p>
        </w:tc>
        <w:tc>
          <w:tcPr>
            <w:tcW w:type="dxa" w:w="540"/>
          </w:tcPr>
          <w:p>
            <w:pPr/>
            <w:r>
              <w:rPr>
                <w:sz w:val="18"/>
              </w:rPr>
              <w:t>Model 1/3</w:t>
            </w:r>
          </w:p>
        </w:tc>
        <w:tc>
          <w:tcPr>
            <w:tcW w:type="dxa" w:w="540"/>
          </w:tcPr>
          <w:p>
            <w:pPr/>
            <w:r>
              <w:rPr>
                <w:sz w:val="18"/>
              </w:rPr>
              <w:t>Yes</w:t>
            </w:r>
          </w:p>
        </w:tc>
        <w:tc>
          <w:tcPr>
            <w:tcW w:type="dxa" w:w="540"/>
          </w:tcPr>
          <w:p>
            <w:pPr/>
            <w:r>
              <w:rPr>
                <w:sz w:val="18"/>
              </w:rPr>
              <w:t>N/A (UK)</w:t>
            </w:r>
          </w:p>
        </w:tc>
      </w:tr>
      <w:tr>
        <w:tc>
          <w:tcPr>
            <w:tcW w:type="dxa" w:w="540"/>
          </w:tcPr>
          <w:p>
            <w:pPr/>
            <w:r>
              <w:rPr>
                <w:sz w:val="18"/>
              </w:rPr>
              <w:t>**OCC**</w:t>
            </w:r>
          </w:p>
        </w:tc>
        <w:tc>
          <w:tcPr>
            <w:tcW w:type="dxa" w:w="540"/>
          </w:tcPr>
          <w:p>
            <w:pPr/>
            <w:r>
              <w:rPr>
                <w:sz w:val="18"/>
              </w:rPr>
              <w:t>U.S.</w:t>
            </w:r>
          </w:p>
        </w:tc>
        <w:tc>
          <w:tcPr>
            <w:tcW w:type="dxa" w:w="540"/>
          </w:tcPr>
          <w:p>
            <w:pPr/>
            <w:r>
              <w:rPr>
                <w:sz w:val="18"/>
              </w:rPr>
              <w:t>CCP</w:t>
            </w:r>
          </w:p>
        </w:tc>
        <w:tc>
          <w:tcPr>
            <w:tcW w:type="dxa" w:w="540"/>
          </w:tcPr>
          <w:p>
            <w:pPr/>
            <w:r>
              <w:rPr>
                <w:sz w:val="18"/>
              </w:rPr>
              <w:t>Exchange-owned</w:t>
            </w:r>
          </w:p>
        </w:tc>
        <w:tc>
          <w:tcPr>
            <w:tcW w:type="dxa" w:w="540"/>
          </w:tcPr>
          <w:p>
            <w:pPr/>
            <w:r>
              <w:rPr>
                <w:sz w:val="18"/>
              </w:rPr>
              <w:t>1973</w:t>
            </w:r>
          </w:p>
        </w:tc>
        <w:tc>
          <w:tcPr>
            <w:tcW w:type="dxa" w:w="540"/>
          </w:tcPr>
          <w:p>
            <w:pPr/>
            <w:r>
              <w:rPr>
                <w:sz w:val="18"/>
              </w:rPr>
              <w:t>Equity options, futures, stock lending</w:t>
            </w:r>
          </w:p>
        </w:tc>
        <w:tc>
          <w:tcPr>
            <w:tcW w:type="dxa" w:w="540"/>
          </w:tcPr>
          <w:p>
            <w:pPr/>
            <w:r>
              <w:rPr>
                <w:sz w:val="18"/>
              </w:rPr>
              <w:t>STANS (Monte Carlo ES)</w:t>
            </w:r>
          </w:p>
        </w:tc>
        <w:tc>
          <w:tcPr>
            <w:tcW w:type="dxa" w:w="540"/>
          </w:tcPr>
          <w:p>
            <w:pPr/>
            <w:r>
              <w:rPr>
                <w:sz w:val="18"/>
              </w:rPr>
              <w:t>99% ES</w:t>
            </w:r>
          </w:p>
        </w:tc>
        <w:tc>
          <w:tcPr>
            <w:tcW w:type="dxa" w:w="540"/>
          </w:tcPr>
          <w:p>
            <w:pPr/>
            <w:r>
              <w:rPr>
                <w:sz w:val="18"/>
              </w:rPr>
              <w:t>2d / N/A</w:t>
            </w:r>
          </w:p>
        </w:tc>
        <w:tc>
          <w:tcPr>
            <w:tcW w:type="dxa" w:w="540"/>
          </w:tcPr>
          <w:p>
            <w:pPr/>
            <w:r>
              <w:rPr>
                <w:sz w:val="18"/>
              </w:rPr>
              <w:t>Cover 2</w:t>
            </w:r>
          </w:p>
        </w:tc>
        <w:tc>
          <w:tcPr>
            <w:tcW w:type="dxa" w:w="540"/>
          </w:tcPr>
          <w:p>
            <w:pPr/>
            <w:r>
              <w:rPr>
                <w:sz w:val="18"/>
              </w:rPr>
              <w:t>~$19.5B</w:t>
            </w:r>
          </w:p>
        </w:tc>
        <w:tc>
          <w:tcPr>
            <w:tcW w:type="dxa" w:w="540"/>
          </w:tcPr>
          <w:p>
            <w:pPr/>
            <w:r>
              <w:rPr>
                <w:sz w:val="18"/>
              </w:rPr>
              <w:t>$69-76M</w:t>
            </w:r>
          </w:p>
        </w:tc>
        <w:tc>
          <w:tcPr>
            <w:tcW w:type="dxa" w:w="540"/>
          </w:tcPr>
          <w:p>
            <w:pPr/>
            <w:r>
              <w:rPr>
                <w:sz w:val="18"/>
              </w:rPr>
              <w:t>T+1</w:t>
            </w:r>
          </w:p>
        </w:tc>
        <w:tc>
          <w:tcPr>
            <w:tcW w:type="dxa" w:w="540"/>
          </w:tcPr>
          <w:p>
            <w:pPr/>
            <w:r>
              <w:rPr>
                <w:sz w:val="18"/>
              </w:rPr>
              <w:t>Via NSCC</w:t>
            </w:r>
          </w:p>
        </w:tc>
        <w:tc>
          <w:tcPr>
            <w:tcW w:type="dxa" w:w="540"/>
          </w:tcPr>
          <w:p>
            <w:pPr/>
            <w:r>
              <w:rPr>
                <w:sz w:val="18"/>
              </w:rPr>
              <w:t>Yes</w:t>
            </w:r>
          </w:p>
        </w:tc>
        <w:tc>
          <w:tcPr>
            <w:tcW w:type="dxa" w:w="540"/>
          </w:tcPr>
          <w:p>
            <w:pPr/>
            <w:r>
              <w:rPr>
                <w:sz w:val="18"/>
              </w:rPr>
              <w:t>Yes</w:t>
            </w:r>
          </w:p>
        </w:tc>
      </w:tr>
      <w:tr>
        <w:tc>
          <w:tcPr>
            <w:tcW w:type="dxa" w:w="540"/>
          </w:tcPr>
          <w:p>
            <w:pPr/>
            <w:r>
              <w:rPr>
                <w:sz w:val="18"/>
              </w:rPr>
              <w:t>**CME Clearing**</w:t>
            </w:r>
          </w:p>
        </w:tc>
        <w:tc>
          <w:tcPr>
            <w:tcW w:type="dxa" w:w="540"/>
          </w:tcPr>
          <w:p>
            <w:pPr/>
            <w:r>
              <w:rPr>
                <w:sz w:val="18"/>
              </w:rPr>
              <w:t>U.S.</w:t>
            </w:r>
          </w:p>
        </w:tc>
        <w:tc>
          <w:tcPr>
            <w:tcW w:type="dxa" w:w="540"/>
          </w:tcPr>
          <w:p>
            <w:pPr/>
            <w:r>
              <w:rPr>
                <w:sz w:val="18"/>
              </w:rPr>
              <w:t>CCP</w:t>
            </w:r>
          </w:p>
        </w:tc>
        <w:tc>
          <w:tcPr>
            <w:tcW w:type="dxa" w:w="540"/>
          </w:tcPr>
          <w:p>
            <w:pPr/>
            <w:r>
              <w:rPr>
                <w:sz w:val="18"/>
              </w:rPr>
              <w:t>CME Group</w:t>
            </w:r>
          </w:p>
        </w:tc>
        <w:tc>
          <w:tcPr>
            <w:tcW w:type="dxa" w:w="540"/>
          </w:tcPr>
          <w:p>
            <w:pPr/>
            <w:r>
              <w:rPr>
                <w:sz w:val="18"/>
              </w:rPr>
              <w:t>1919</w:t>
            </w:r>
          </w:p>
        </w:tc>
        <w:tc>
          <w:tcPr>
            <w:tcW w:type="dxa" w:w="540"/>
          </w:tcPr>
          <w:p>
            <w:pPr/>
            <w:r>
              <w:rPr>
                <w:sz w:val="18"/>
              </w:rPr>
              <w:t>Futures, options, OTC IRS, FX, crypto</w:t>
            </w:r>
          </w:p>
        </w:tc>
        <w:tc>
          <w:tcPr>
            <w:tcW w:type="dxa" w:w="540"/>
          </w:tcPr>
          <w:p>
            <w:pPr/>
            <w:r>
              <w:rPr>
                <w:sz w:val="18"/>
              </w:rPr>
              <w:t>SPAN / SPAN 2 (HVaR+ES)</w:t>
            </w:r>
          </w:p>
        </w:tc>
        <w:tc>
          <w:tcPr>
            <w:tcW w:type="dxa" w:w="540"/>
          </w:tcPr>
          <w:p>
            <w:pPr/>
            <w:r>
              <w:rPr>
                <w:sz w:val="18"/>
              </w:rPr>
              <w:t>99-99.7%</w:t>
            </w:r>
          </w:p>
        </w:tc>
        <w:tc>
          <w:tcPr>
            <w:tcW w:type="dxa" w:w="540"/>
          </w:tcPr>
          <w:p>
            <w:pPr/>
            <w:r>
              <w:rPr>
                <w:sz w:val="18"/>
              </w:rPr>
              <w:t>1d / 5d</w:t>
            </w:r>
          </w:p>
        </w:tc>
        <w:tc>
          <w:tcPr>
            <w:tcW w:type="dxa" w:w="540"/>
          </w:tcPr>
          <w:p>
            <w:pPr/>
            <w:r>
              <w:rPr>
                <w:sz w:val="18"/>
              </w:rPr>
              <w:t>Cover 2</w:t>
            </w:r>
          </w:p>
        </w:tc>
        <w:tc>
          <w:tcPr>
            <w:tcW w:type="dxa" w:w="540"/>
          </w:tcPr>
          <w:p>
            <w:pPr/>
            <w:r>
              <w:rPr>
                <w:sz w:val="18"/>
              </w:rPr>
              <w:t>~$10.1B (GF total)</w:t>
            </w:r>
          </w:p>
        </w:tc>
        <w:tc>
          <w:tcPr>
            <w:tcW w:type="dxa" w:w="540"/>
          </w:tcPr>
          <w:p>
            <w:pPr/>
            <w:r>
              <w:rPr>
                <w:sz w:val="18"/>
              </w:rPr>
              <w:t>$250M ($100M Base + $150M IRS)</w:t>
            </w:r>
          </w:p>
        </w:tc>
        <w:tc>
          <w:tcPr>
            <w:tcW w:type="dxa" w:w="540"/>
          </w:tcPr>
          <w:p>
            <w:pPr/>
            <w:r>
              <w:rPr>
                <w:sz w:val="18"/>
              </w:rPr>
              <w:t>N/A (derivatives)</w:t>
            </w:r>
          </w:p>
        </w:tc>
        <w:tc>
          <w:tcPr>
            <w:tcW w:type="dxa" w:w="540"/>
          </w:tcPr>
          <w:p>
            <w:pPr/>
            <w:r>
              <w:rPr>
                <w:sz w:val="18"/>
              </w:rPr>
              <w:t>Model 1 (delivery)</w:t>
            </w:r>
          </w:p>
        </w:tc>
        <w:tc>
          <w:tcPr>
            <w:tcW w:type="dxa" w:w="540"/>
          </w:tcPr>
          <w:p>
            <w:pPr/>
            <w:r>
              <w:rPr>
                <w:sz w:val="18"/>
              </w:rPr>
              <w:t>Yes</w:t>
            </w:r>
          </w:p>
        </w:tc>
        <w:tc>
          <w:tcPr>
            <w:tcW w:type="dxa" w:w="540"/>
          </w:tcPr>
          <w:p>
            <w:pPr/>
            <w:r>
              <w:rPr>
                <w:sz w:val="18"/>
              </w:rPr>
              <w:t>Yes</w:t>
            </w:r>
          </w:p>
        </w:tc>
      </w:tr>
      <w:tr>
        <w:tc>
          <w:tcPr>
            <w:tcW w:type="dxa" w:w="540"/>
          </w:tcPr>
          <w:p>
            <w:pPr/>
            <w:r>
              <w:rPr>
                <w:sz w:val="18"/>
              </w:rPr>
              <w:t>**Eurex Clearing**</w:t>
            </w:r>
          </w:p>
        </w:tc>
        <w:tc>
          <w:tcPr>
            <w:tcW w:type="dxa" w:w="540"/>
          </w:tcPr>
          <w:p>
            <w:pPr/>
            <w:r>
              <w:rPr>
                <w:sz w:val="18"/>
              </w:rPr>
              <w:t>Germany</w:t>
            </w:r>
          </w:p>
        </w:tc>
        <w:tc>
          <w:tcPr>
            <w:tcW w:type="dxa" w:w="540"/>
          </w:tcPr>
          <w:p>
            <w:pPr/>
            <w:r>
              <w:rPr>
                <w:sz w:val="18"/>
              </w:rPr>
              <w:t>CCP</w:t>
            </w:r>
          </w:p>
        </w:tc>
        <w:tc>
          <w:tcPr>
            <w:tcW w:type="dxa" w:w="540"/>
          </w:tcPr>
          <w:p>
            <w:pPr/>
            <w:r>
              <w:rPr>
                <w:sz w:val="18"/>
              </w:rPr>
              <w:t>Deutsche Borse</w:t>
            </w:r>
          </w:p>
        </w:tc>
        <w:tc>
          <w:tcPr>
            <w:tcW w:type="dxa" w:w="540"/>
          </w:tcPr>
          <w:p>
            <w:pPr/>
            <w:r>
              <w:rPr>
                <w:sz w:val="18"/>
              </w:rPr>
              <w:t>1998</w:t>
            </w:r>
          </w:p>
        </w:tc>
        <w:tc>
          <w:tcPr>
            <w:tcW w:type="dxa" w:w="540"/>
          </w:tcPr>
          <w:p>
            <w:pPr/>
            <w:r>
              <w:rPr>
                <w:sz w:val="18"/>
              </w:rPr>
              <w:t>Listed derivatives, OTC IRS, repos, equities, lending</w:t>
            </w:r>
          </w:p>
        </w:tc>
        <w:tc>
          <w:tcPr>
            <w:tcW w:type="dxa" w:w="540"/>
          </w:tcPr>
          <w:p>
            <w:pPr/>
            <w:r>
              <w:rPr>
                <w:sz w:val="18"/>
              </w:rPr>
              <w:t>Prisma (FHS-VaR)</w:t>
            </w:r>
          </w:p>
        </w:tc>
        <w:tc>
          <w:tcPr>
            <w:tcW w:type="dxa" w:w="540"/>
          </w:tcPr>
          <w:p>
            <w:pPr/>
            <w:r>
              <w:rPr>
                <w:sz w:val="18"/>
              </w:rPr>
              <w:t>99-99.5%</w:t>
            </w:r>
          </w:p>
        </w:tc>
        <w:tc>
          <w:tcPr>
            <w:tcW w:type="dxa" w:w="540"/>
          </w:tcPr>
          <w:p>
            <w:pPr/>
            <w:r>
              <w:rPr>
                <w:sz w:val="18"/>
              </w:rPr>
              <w:t>2-3d / 5d</w:t>
            </w:r>
          </w:p>
        </w:tc>
        <w:tc>
          <w:tcPr>
            <w:tcW w:type="dxa" w:w="540"/>
          </w:tcPr>
          <w:p>
            <w:pPr/>
            <w:r>
              <w:rPr>
                <w:sz w:val="18"/>
              </w:rPr>
              <w:t>Cover 2</w:t>
            </w:r>
          </w:p>
        </w:tc>
        <w:tc>
          <w:tcPr>
            <w:tcW w:type="dxa" w:w="540"/>
          </w:tcPr>
          <w:p>
            <w:pPr/>
            <w:r>
              <w:rPr>
                <w:sz w:val="18"/>
              </w:rPr>
              <w:t>~EUR 3B</w:t>
            </w:r>
          </w:p>
        </w:tc>
        <w:tc>
          <w:tcPr>
            <w:tcW w:type="dxa" w:w="540"/>
          </w:tcPr>
          <w:p>
            <w:pPr/>
            <w:r>
              <w:rPr>
                <w:sz w:val="18"/>
              </w:rPr>
              <w:t>EUR 1.7B (total DB commitment)</w:t>
            </w:r>
          </w:p>
        </w:tc>
        <w:tc>
          <w:tcPr>
            <w:tcW w:type="dxa" w:w="540"/>
          </w:tcPr>
          <w:p>
            <w:pPr/>
            <w:r>
              <w:rPr>
                <w:sz w:val="18"/>
              </w:rPr>
              <w:t>T+2 (EU)</w:t>
            </w:r>
          </w:p>
        </w:tc>
        <w:tc>
          <w:tcPr>
            <w:tcW w:type="dxa" w:w="540"/>
          </w:tcPr>
          <w:p>
            <w:pPr/>
            <w:r>
              <w:rPr>
                <w:sz w:val="18"/>
              </w:rPr>
              <w:t>Model 1</w:t>
            </w:r>
          </w:p>
        </w:tc>
        <w:tc>
          <w:tcPr>
            <w:tcW w:type="dxa" w:w="540"/>
          </w:tcPr>
          <w:p>
            <w:pPr/>
            <w:r>
              <w:rPr>
                <w:sz w:val="18"/>
              </w:rPr>
              <w:t>Yes</w:t>
            </w:r>
          </w:p>
        </w:tc>
        <w:tc>
          <w:tcPr>
            <w:tcW w:type="dxa" w:w="540"/>
          </w:tcPr>
          <w:p>
            <w:pPr/>
            <w:r>
              <w:rPr>
                <w:sz w:val="18"/>
              </w:rPr>
              <w:t>N/A (EU)</w:t>
            </w:r>
          </w:p>
        </w:tc>
      </w:tr>
      <w:tr>
        <w:tc>
          <w:tcPr>
            <w:tcW w:type="dxa" w:w="540"/>
          </w:tcPr>
          <w:p>
            <w:pPr/>
            <w:r>
              <w:rPr>
                <w:sz w:val="18"/>
              </w:rPr>
              <w:t>**JSCC**</w:t>
            </w:r>
          </w:p>
        </w:tc>
        <w:tc>
          <w:tcPr>
            <w:tcW w:type="dxa" w:w="540"/>
          </w:tcPr>
          <w:p>
            <w:pPr/>
            <w:r>
              <w:rPr>
                <w:sz w:val="18"/>
              </w:rPr>
              <w:t>Japan</w:t>
            </w:r>
          </w:p>
        </w:tc>
        <w:tc>
          <w:tcPr>
            <w:tcW w:type="dxa" w:w="540"/>
          </w:tcPr>
          <w:p>
            <w:pPr/>
            <w:r>
              <w:rPr>
                <w:sz w:val="18"/>
              </w:rPr>
              <w:t>CCP</w:t>
            </w:r>
          </w:p>
        </w:tc>
        <w:tc>
          <w:tcPr>
            <w:tcW w:type="dxa" w:w="540"/>
          </w:tcPr>
          <w:p>
            <w:pPr/>
            <w:r>
              <w:rPr>
                <w:sz w:val="18"/>
              </w:rPr>
              <w:t>JPX</w:t>
            </w:r>
          </w:p>
        </w:tc>
        <w:tc>
          <w:tcPr>
            <w:tcW w:type="dxa" w:w="540"/>
          </w:tcPr>
          <w:p>
            <w:pPr/>
            <w:r>
              <w:rPr>
                <w:sz w:val="18"/>
              </w:rPr>
              <w:t>2002</w:t>
            </w:r>
          </w:p>
        </w:tc>
        <w:tc>
          <w:tcPr>
            <w:tcW w:type="dxa" w:w="540"/>
          </w:tcPr>
          <w:p>
            <w:pPr/>
            <w:r>
              <w:rPr>
                <w:sz w:val="18"/>
              </w:rPr>
              <w:t>Equities, derivatives, OTC IRS/CDS, JGB</w:t>
            </w:r>
          </w:p>
        </w:tc>
        <w:tc>
          <w:tcPr>
            <w:tcW w:type="dxa" w:w="540"/>
          </w:tcPr>
          <w:p>
            <w:pPr/>
            <w:r>
              <w:rPr>
                <w:sz w:val="18"/>
              </w:rPr>
              <w:t>VaR / HS-ES</w:t>
            </w:r>
          </w:p>
        </w:tc>
        <w:tc>
          <w:tcPr>
            <w:tcW w:type="dxa" w:w="540"/>
          </w:tcPr>
          <w:p>
            <w:pPr/>
            <w:r>
              <w:rPr>
                <w:sz w:val="18"/>
              </w:rPr>
              <w:t>99%+</w:t>
            </w:r>
          </w:p>
        </w:tc>
        <w:tc>
          <w:tcPr>
            <w:tcW w:type="dxa" w:w="540"/>
          </w:tcPr>
          <w:p>
            <w:pPr/>
            <w:r>
              <w:rPr>
                <w:sz w:val="18"/>
              </w:rPr>
              <w:t>1-2d / 5-7d</w:t>
            </w:r>
          </w:p>
        </w:tc>
        <w:tc>
          <w:tcPr>
            <w:tcW w:type="dxa" w:w="540"/>
          </w:tcPr>
          <w:p>
            <w:pPr/>
            <w:r>
              <w:rPr>
                <w:sz w:val="18"/>
              </w:rPr>
              <w:t>Cover 2</w:t>
            </w:r>
          </w:p>
        </w:tc>
        <w:tc>
          <w:tcPr>
            <w:tcW w:type="dxa" w:w="540"/>
          </w:tcPr>
          <w:p>
            <w:pPr/>
            <w:r>
              <w:rPr>
                <w:sz w:val="18"/>
              </w:rPr>
              <w:t>JGB Futures JPY 64.7B; OTC JGB JPY 237B</w:t>
            </w:r>
          </w:p>
        </w:tc>
        <w:tc>
          <w:tcPr>
            <w:tcW w:type="dxa" w:w="540"/>
          </w:tcPr>
          <w:p>
            <w:pPr/>
            <w:r>
              <w:rPr>
                <w:sz w:val="18"/>
              </w:rPr>
              <w:t>JPY 9.1B (aggregate reserves)</w:t>
            </w:r>
          </w:p>
        </w:tc>
        <w:tc>
          <w:tcPr>
            <w:tcW w:type="dxa" w:w="540"/>
          </w:tcPr>
          <w:p>
            <w:pPr/>
            <w:r>
              <w:rPr>
                <w:sz w:val="18"/>
              </w:rPr>
              <w:t>T+2</w:t>
            </w:r>
          </w:p>
        </w:tc>
        <w:tc>
          <w:tcPr>
            <w:tcW w:type="dxa" w:w="540"/>
          </w:tcPr>
          <w:p>
            <w:pPr/>
            <w:r>
              <w:rPr>
                <w:sz w:val="18"/>
              </w:rPr>
              <w:t>Model 3</w:t>
            </w:r>
          </w:p>
        </w:tc>
        <w:tc>
          <w:tcPr>
            <w:tcW w:type="dxa" w:w="540"/>
          </w:tcPr>
          <w:p>
            <w:pPr/>
            <w:r>
              <w:rPr>
                <w:sz w:val="18"/>
              </w:rPr>
              <w:t>Yes</w:t>
            </w:r>
          </w:p>
        </w:tc>
        <w:tc>
          <w:tcPr>
            <w:tcW w:type="dxa" w:w="540"/>
          </w:tcPr>
          <w:p>
            <w:pPr/>
            <w:r>
              <w:rPr>
                <w:sz w:val="18"/>
              </w:rPr>
              <w:t>N/A</w:t>
            </w:r>
          </w:p>
        </w:tc>
      </w:tr>
      <w:tr>
        <w:tc>
          <w:tcPr>
            <w:tcW w:type="dxa" w:w="540"/>
          </w:tcPr>
          <w:p>
            <w:pPr/>
            <w:r>
              <w:rPr>
                <w:sz w:val="18"/>
              </w:rPr>
              <w:t>**HKSCC**</w:t>
            </w:r>
          </w:p>
        </w:tc>
        <w:tc>
          <w:tcPr>
            <w:tcW w:type="dxa" w:w="540"/>
          </w:tcPr>
          <w:p>
            <w:pPr/>
            <w:r>
              <w:rPr>
                <w:sz w:val="18"/>
              </w:rPr>
              <w:t>Hong Kong</w:t>
            </w:r>
          </w:p>
        </w:tc>
        <w:tc>
          <w:tcPr>
            <w:tcW w:type="dxa" w:w="540"/>
          </w:tcPr>
          <w:p>
            <w:pPr/>
            <w:r>
              <w:rPr>
                <w:sz w:val="18"/>
              </w:rPr>
              <w:t>CCP+CSD</w:t>
            </w:r>
          </w:p>
        </w:tc>
        <w:tc>
          <w:tcPr>
            <w:tcW w:type="dxa" w:w="540"/>
          </w:tcPr>
          <w:p>
            <w:pPr/>
            <w:r>
              <w:rPr>
                <w:sz w:val="18"/>
              </w:rPr>
              <w:t>HKEX</w:t>
            </w:r>
          </w:p>
        </w:tc>
        <w:tc>
          <w:tcPr>
            <w:tcW w:type="dxa" w:w="540"/>
          </w:tcPr>
          <w:p>
            <w:pPr/>
            <w:r>
              <w:rPr>
                <w:sz w:val="18"/>
              </w:rPr>
              <w:t>1992</w:t>
            </w:r>
          </w:p>
        </w:tc>
        <w:tc>
          <w:tcPr>
            <w:tcW w:type="dxa" w:w="540"/>
          </w:tcPr>
          <w:p>
            <w:pPr/>
            <w:r>
              <w:rPr>
                <w:sz w:val="18"/>
              </w:rPr>
              <w:t>Securities (SEHK + Stock Connect)</w:t>
            </w:r>
          </w:p>
        </w:tc>
        <w:tc>
          <w:tcPr>
            <w:tcW w:type="dxa" w:w="540"/>
          </w:tcPr>
          <w:p>
            <w:pPr/>
            <w:r>
              <w:rPr>
                <w:sz w:val="18"/>
              </w:rPr>
              <w:t>VaR (Tier P); flat-rate (Tier N)</w:t>
            </w:r>
          </w:p>
        </w:tc>
        <w:tc>
          <w:tcPr>
            <w:tcW w:type="dxa" w:w="540"/>
          </w:tcPr>
          <w:p>
            <w:pPr/>
            <w:r>
              <w:rPr>
                <w:sz w:val="18"/>
              </w:rPr>
              <w:t>[varies]</w:t>
            </w:r>
          </w:p>
        </w:tc>
        <w:tc>
          <w:tcPr>
            <w:tcW w:type="dxa" w:w="540"/>
          </w:tcPr>
          <w:p>
            <w:pPr/>
            <w:r>
              <w:rPr>
                <w:sz w:val="18"/>
              </w:rPr>
              <w:t>T+2 exposure</w:t>
            </w:r>
          </w:p>
        </w:tc>
        <w:tc>
          <w:tcPr>
            <w:tcW w:type="dxa" w:w="540"/>
          </w:tcPr>
          <w:p>
            <w:pPr/>
            <w:r>
              <w:rPr>
                <w:sz w:val="18"/>
              </w:rPr>
              <w:t>Cover 2</w:t>
            </w:r>
          </w:p>
        </w:tc>
        <w:tc>
          <w:tcPr>
            <w:tcW w:type="dxa" w:w="540"/>
          </w:tcPr>
          <w:p>
            <w:pPr/>
            <w:r>
              <w:rPr>
                <w:sz w:val="18"/>
              </w:rPr>
              <w:t>HKD 7.3B (Guarantee Fund threshold)</w:t>
            </w:r>
          </w:p>
        </w:tc>
        <w:tc>
          <w:tcPr>
            <w:tcW w:type="dxa" w:w="540"/>
          </w:tcPr>
          <w:p>
            <w:pPr/>
            <w:r>
              <w:rPr>
                <w:sz w:val="18"/>
              </w:rPr>
              <w:t>10% of GF</w:t>
            </w:r>
          </w:p>
        </w:tc>
        <w:tc>
          <w:tcPr>
            <w:tcW w:type="dxa" w:w="540"/>
          </w:tcPr>
          <w:p>
            <w:pPr/>
            <w:r>
              <w:rPr>
                <w:sz w:val="18"/>
              </w:rPr>
              <w:t>T+2</w:t>
            </w:r>
          </w:p>
        </w:tc>
        <w:tc>
          <w:tcPr>
            <w:tcW w:type="dxa" w:w="540"/>
          </w:tcPr>
          <w:p>
            <w:pPr/>
            <w:r>
              <w:rPr>
                <w:sz w:val="18"/>
              </w:rPr>
              <w:t>Model 2</w:t>
            </w:r>
          </w:p>
        </w:tc>
        <w:tc>
          <w:tcPr>
            <w:tcW w:type="dxa" w:w="540"/>
          </w:tcPr>
          <w:p>
            <w:pPr/>
            <w:r>
              <w:rPr>
                <w:sz w:val="18"/>
              </w:rPr>
              <w:t>[unverified]</w:t>
            </w:r>
          </w:p>
        </w:tc>
        <w:tc>
          <w:tcPr>
            <w:tcW w:type="dxa" w:w="540"/>
          </w:tcPr>
          <w:p>
            <w:pPr/>
            <w:r>
              <w:rPr>
                <w:sz w:val="18"/>
              </w:rPr>
              <w:t>N/A</w:t>
            </w:r>
          </w:p>
        </w:tc>
      </w:tr>
      <w:tr>
        <w:tc>
          <w:tcPr>
            <w:tcW w:type="dxa" w:w="540"/>
          </w:tcPr>
          <w:p>
            <w:pPr/>
            <w:r>
              <w:rPr>
                <w:sz w:val="18"/>
              </w:rPr>
              <w:t>**HKCC**</w:t>
            </w:r>
          </w:p>
        </w:tc>
        <w:tc>
          <w:tcPr>
            <w:tcW w:type="dxa" w:w="540"/>
          </w:tcPr>
          <w:p>
            <w:pPr/>
            <w:r>
              <w:rPr>
                <w:sz w:val="18"/>
              </w:rPr>
              <w:t>Hong Kong</w:t>
            </w:r>
          </w:p>
        </w:tc>
        <w:tc>
          <w:tcPr>
            <w:tcW w:type="dxa" w:w="540"/>
          </w:tcPr>
          <w:p>
            <w:pPr/>
            <w:r>
              <w:rPr>
                <w:sz w:val="18"/>
              </w:rPr>
              <w:t>CCP</w:t>
            </w:r>
          </w:p>
        </w:tc>
        <w:tc>
          <w:tcPr>
            <w:tcW w:type="dxa" w:w="540"/>
          </w:tcPr>
          <w:p>
            <w:pPr/>
            <w:r>
              <w:rPr>
                <w:sz w:val="18"/>
              </w:rPr>
              <w:t>HKEX</w:t>
            </w:r>
          </w:p>
        </w:tc>
        <w:tc>
          <w:tcPr>
            <w:tcW w:type="dxa" w:w="540"/>
          </w:tcPr>
          <w:p>
            <w:pPr/>
            <w:r>
              <w:rPr>
                <w:sz w:val="18"/>
              </w:rPr>
              <w:t>1989</w:t>
            </w:r>
          </w:p>
        </w:tc>
        <w:tc>
          <w:tcPr>
            <w:tcW w:type="dxa" w:w="540"/>
          </w:tcPr>
          <w:p>
            <w:pPr/>
            <w:r>
              <w:rPr>
                <w:sz w:val="18"/>
              </w:rPr>
              <w:t>Futures &amp; derivatives (HKFE)</w:t>
            </w:r>
          </w:p>
        </w:tc>
        <w:tc>
          <w:tcPr>
            <w:tcW w:type="dxa" w:w="540"/>
          </w:tcPr>
          <w:p>
            <w:pPr/>
            <w:r>
              <w:rPr>
                <w:sz w:val="18"/>
              </w:rPr>
              <w:t>PRiME (SPAN-like)</w:t>
            </w:r>
          </w:p>
        </w:tc>
        <w:tc>
          <w:tcPr>
            <w:tcW w:type="dxa" w:w="540"/>
          </w:tcPr>
          <w:p>
            <w:pPr/>
            <w:r>
              <w:rPr>
                <w:sz w:val="18"/>
              </w:rPr>
              <w:t>[varies]</w:t>
            </w:r>
          </w:p>
        </w:tc>
        <w:tc>
          <w:tcPr>
            <w:tcW w:type="dxa" w:w="540"/>
          </w:tcPr>
          <w:p>
            <w:pPr/>
            <w:r>
              <w:rPr>
                <w:sz w:val="18"/>
              </w:rPr>
              <w:t>1d</w:t>
            </w:r>
          </w:p>
        </w:tc>
        <w:tc>
          <w:tcPr>
            <w:tcW w:type="dxa" w:w="540"/>
          </w:tcPr>
          <w:p>
            <w:pPr/>
            <w:r>
              <w:rPr>
                <w:sz w:val="18"/>
              </w:rPr>
              <w:t>Cover 2</w:t>
            </w:r>
          </w:p>
        </w:tc>
        <w:tc>
          <w:tcPr>
            <w:tcW w:type="dxa" w:w="540"/>
          </w:tcPr>
          <w:p>
            <w:pPr/>
            <w:r>
              <w:rPr>
                <w:sz w:val="18"/>
              </w:rPr>
              <w:t>HKD 7.3B (Reserve Fund threshold)</w:t>
            </w:r>
          </w:p>
        </w:tc>
        <w:tc>
          <w:tcPr>
            <w:tcW w:type="dxa" w:w="540"/>
          </w:tcPr>
          <w:p>
            <w:pPr/>
            <w:r>
              <w:rPr>
                <w:sz w:val="18"/>
              </w:rPr>
              <w:t>10% of RF</w:t>
            </w:r>
          </w:p>
        </w:tc>
        <w:tc>
          <w:tcPr>
            <w:tcW w:type="dxa" w:w="540"/>
          </w:tcPr>
          <w:p>
            <w:pPr/>
            <w:r>
              <w:rPr>
                <w:sz w:val="18"/>
              </w:rPr>
              <w:t>Daily</w:t>
            </w:r>
          </w:p>
        </w:tc>
        <w:tc>
          <w:tcPr>
            <w:tcW w:type="dxa" w:w="540"/>
          </w:tcPr>
          <w:p>
            <w:pPr/>
            <w:r>
              <w:rPr>
                <w:sz w:val="18"/>
              </w:rPr>
              <w:t>N/A</w:t>
            </w:r>
          </w:p>
        </w:tc>
        <w:tc>
          <w:tcPr>
            <w:tcW w:type="dxa" w:w="540"/>
          </w:tcPr>
          <w:p>
            <w:pPr/>
            <w:r>
              <w:rPr>
                <w:sz w:val="18"/>
              </w:rPr>
              <w:t>[unverified]</w:t>
            </w:r>
          </w:p>
        </w:tc>
        <w:tc>
          <w:tcPr>
            <w:tcW w:type="dxa" w:w="540"/>
          </w:tcPr>
          <w:p>
            <w:pPr/>
            <w:r>
              <w:rPr>
                <w:sz w:val="18"/>
              </w:rPr>
              <w:t>N/A</w:t>
            </w:r>
          </w:p>
        </w:tc>
      </w:tr>
      <w:tr>
        <w:tc>
          <w:tcPr>
            <w:tcW w:type="dxa" w:w="540"/>
          </w:tcPr>
          <w:p>
            <w:pPr/>
            <w:r>
              <w:rPr>
                <w:sz w:val="18"/>
              </w:rPr>
              <w:t>**SEOCH**</w:t>
            </w:r>
          </w:p>
        </w:tc>
        <w:tc>
          <w:tcPr>
            <w:tcW w:type="dxa" w:w="540"/>
          </w:tcPr>
          <w:p>
            <w:pPr/>
            <w:r>
              <w:rPr>
                <w:sz w:val="18"/>
              </w:rPr>
              <w:t>Hong Kong</w:t>
            </w:r>
          </w:p>
        </w:tc>
        <w:tc>
          <w:tcPr>
            <w:tcW w:type="dxa" w:w="540"/>
          </w:tcPr>
          <w:p>
            <w:pPr/>
            <w:r>
              <w:rPr>
                <w:sz w:val="18"/>
              </w:rPr>
              <w:t>CCP</w:t>
            </w:r>
          </w:p>
        </w:tc>
        <w:tc>
          <w:tcPr>
            <w:tcW w:type="dxa" w:w="540"/>
          </w:tcPr>
          <w:p>
            <w:pPr/>
            <w:r>
              <w:rPr>
                <w:sz w:val="18"/>
              </w:rPr>
              <w:t>HKEX</w:t>
            </w:r>
          </w:p>
        </w:tc>
        <w:tc>
          <w:tcPr>
            <w:tcW w:type="dxa" w:w="540"/>
          </w:tcPr>
          <w:p>
            <w:pPr/>
            <w:r>
              <w:rPr>
                <w:sz w:val="18"/>
              </w:rPr>
              <w:t>1995</w:t>
            </w:r>
          </w:p>
        </w:tc>
        <w:tc>
          <w:tcPr>
            <w:tcW w:type="dxa" w:w="540"/>
          </w:tcPr>
          <w:p>
            <w:pPr/>
            <w:r>
              <w:rPr>
                <w:sz w:val="18"/>
              </w:rPr>
              <w:t>Stock options (SEHK)</w:t>
            </w:r>
          </w:p>
        </w:tc>
        <w:tc>
          <w:tcPr>
            <w:tcW w:type="dxa" w:w="540"/>
          </w:tcPr>
          <w:p>
            <w:pPr/>
            <w:r>
              <w:rPr>
                <w:sz w:val="18"/>
              </w:rPr>
              <w:t>PRiME (SPAN-like)</w:t>
            </w:r>
          </w:p>
        </w:tc>
        <w:tc>
          <w:tcPr>
            <w:tcW w:type="dxa" w:w="540"/>
          </w:tcPr>
          <w:p>
            <w:pPr/>
            <w:r>
              <w:rPr>
                <w:sz w:val="18"/>
              </w:rPr>
              <w:t>[varies]</w:t>
            </w:r>
          </w:p>
        </w:tc>
        <w:tc>
          <w:tcPr>
            <w:tcW w:type="dxa" w:w="540"/>
          </w:tcPr>
          <w:p>
            <w:pPr/>
            <w:r>
              <w:rPr>
                <w:sz w:val="18"/>
              </w:rPr>
              <w:t>1d</w:t>
            </w:r>
          </w:p>
        </w:tc>
        <w:tc>
          <w:tcPr>
            <w:tcW w:type="dxa" w:w="540"/>
          </w:tcPr>
          <w:p>
            <w:pPr/>
            <w:r>
              <w:rPr>
                <w:sz w:val="18"/>
              </w:rPr>
              <w:t>Cover 2</w:t>
            </w:r>
          </w:p>
        </w:tc>
        <w:tc>
          <w:tcPr>
            <w:tcW w:type="dxa" w:w="540"/>
          </w:tcPr>
          <w:p>
            <w:pPr/>
            <w:r>
              <w:rPr>
                <w:sz w:val="18"/>
              </w:rPr>
              <w:t>HKD 3.6B (Reserve Fund threshold)</w:t>
            </w:r>
          </w:p>
        </w:tc>
        <w:tc>
          <w:tcPr>
            <w:tcW w:type="dxa" w:w="540"/>
          </w:tcPr>
          <w:p>
            <w:pPr/>
            <w:r>
              <w:rPr>
                <w:sz w:val="18"/>
              </w:rPr>
              <w:t>10% of RF</w:t>
            </w:r>
          </w:p>
        </w:tc>
        <w:tc>
          <w:tcPr>
            <w:tcW w:type="dxa" w:w="540"/>
          </w:tcPr>
          <w:p>
            <w:pPr/>
            <w:r>
              <w:rPr>
                <w:sz w:val="18"/>
              </w:rPr>
              <w:t>T+1/T+2</w:t>
            </w:r>
          </w:p>
        </w:tc>
        <w:tc>
          <w:tcPr>
            <w:tcW w:type="dxa" w:w="540"/>
          </w:tcPr>
          <w:p>
            <w:pPr/>
            <w:r>
              <w:rPr>
                <w:sz w:val="18"/>
              </w:rPr>
              <w:t>N/A</w:t>
            </w:r>
          </w:p>
        </w:tc>
        <w:tc>
          <w:tcPr>
            <w:tcW w:type="dxa" w:w="540"/>
          </w:tcPr>
          <w:p>
            <w:pPr/>
            <w:r>
              <w:rPr>
                <w:sz w:val="18"/>
              </w:rPr>
              <w:t>[unverified]</w:t>
            </w:r>
          </w:p>
        </w:tc>
        <w:tc>
          <w:tcPr>
            <w:tcW w:type="dxa" w:w="540"/>
          </w:tcPr>
          <w:p>
            <w:pPr/>
            <w:r>
              <w:rPr>
                <w:sz w:val="18"/>
              </w:rPr>
              <w:t>N/A</w:t>
            </w:r>
          </w:p>
        </w:tc>
      </w:tr>
      <w:tr>
        <w:tc>
          <w:tcPr>
            <w:tcW w:type="dxa" w:w="540"/>
          </w:tcPr>
          <w:p>
            <w:pPr/>
            <w:r>
              <w:rPr>
                <w:sz w:val="18"/>
              </w:rPr>
              <w:t>**CDP**</w:t>
            </w:r>
          </w:p>
        </w:tc>
        <w:tc>
          <w:tcPr>
            <w:tcW w:type="dxa" w:w="540"/>
          </w:tcPr>
          <w:p>
            <w:pPr/>
            <w:r>
              <w:rPr>
                <w:sz w:val="18"/>
              </w:rPr>
              <w:t>Singapore</w:t>
            </w:r>
          </w:p>
        </w:tc>
        <w:tc>
          <w:tcPr>
            <w:tcW w:type="dxa" w:w="540"/>
          </w:tcPr>
          <w:p>
            <w:pPr/>
            <w:r>
              <w:rPr>
                <w:sz w:val="18"/>
              </w:rPr>
              <w:t>CCP+CSD</w:t>
            </w:r>
          </w:p>
        </w:tc>
        <w:tc>
          <w:tcPr>
            <w:tcW w:type="dxa" w:w="540"/>
          </w:tcPr>
          <w:p>
            <w:pPr/>
            <w:r>
              <w:rPr>
                <w:sz w:val="18"/>
              </w:rPr>
              <w:t>SGX</w:t>
            </w:r>
          </w:p>
        </w:tc>
        <w:tc>
          <w:tcPr>
            <w:tcW w:type="dxa" w:w="540"/>
          </w:tcPr>
          <w:p>
            <w:pPr/>
            <w:r>
              <w:rPr>
                <w:sz w:val="18"/>
              </w:rPr>
              <w:t>1987</w:t>
            </w:r>
          </w:p>
        </w:tc>
        <w:tc>
          <w:tcPr>
            <w:tcW w:type="dxa" w:w="540"/>
          </w:tcPr>
          <w:p>
            <w:pPr/>
            <w:r>
              <w:rPr>
                <w:sz w:val="18"/>
              </w:rPr>
              <w:t>Securities (SGX-ST)</w:t>
            </w:r>
          </w:p>
        </w:tc>
        <w:tc>
          <w:tcPr>
            <w:tcW w:type="dxa" w:w="540"/>
          </w:tcPr>
          <w:p>
            <w:pPr/>
            <w:r>
              <w:rPr>
                <w:sz w:val="18"/>
              </w:rPr>
              <w:t>Risk-based VaR</w:t>
            </w:r>
          </w:p>
        </w:tc>
        <w:tc>
          <w:tcPr>
            <w:tcW w:type="dxa" w:w="540"/>
          </w:tcPr>
          <w:p>
            <w:pPr/>
            <w:r>
              <w:rPr>
                <w:sz w:val="18"/>
              </w:rPr>
              <w:t>99%</w:t>
            </w:r>
          </w:p>
        </w:tc>
        <w:tc>
          <w:tcPr>
            <w:tcW w:type="dxa" w:w="540"/>
          </w:tcPr>
          <w:p>
            <w:pPr/>
            <w:r>
              <w:rPr>
                <w:sz w:val="18"/>
              </w:rPr>
              <w:t>1-5d</w:t>
            </w:r>
          </w:p>
        </w:tc>
        <w:tc>
          <w:tcPr>
            <w:tcW w:type="dxa" w:w="540"/>
          </w:tcPr>
          <w:p>
            <w:pPr/>
            <w:r>
              <w:rPr>
                <w:sz w:val="18"/>
              </w:rPr>
              <w:t>[data not available]</w:t>
            </w:r>
          </w:p>
        </w:tc>
        <w:tc>
          <w:tcPr>
            <w:tcW w:type="dxa" w:w="540"/>
          </w:tcPr>
          <w:p>
            <w:pPr/>
            <w:r>
              <w:rPr>
                <w:sz w:val="18"/>
              </w:rPr>
              <w:t>S$80M</w:t>
            </w:r>
          </w:p>
        </w:tc>
        <w:tc>
          <w:tcPr>
            <w:tcW w:type="dxa" w:w="540"/>
          </w:tcPr>
          <w:p>
            <w:pPr/>
            <w:r>
              <w:rPr>
                <w:sz w:val="18"/>
              </w:rPr>
              <w:t>&gt;=25% of CF</w:t>
            </w:r>
          </w:p>
        </w:tc>
        <w:tc>
          <w:tcPr>
            <w:tcW w:type="dxa" w:w="540"/>
          </w:tcPr>
          <w:p>
            <w:pPr/>
            <w:r>
              <w:rPr>
                <w:sz w:val="18"/>
              </w:rPr>
              <w:t>T+2</w:t>
            </w:r>
          </w:p>
        </w:tc>
        <w:tc>
          <w:tcPr>
            <w:tcW w:type="dxa" w:w="540"/>
          </w:tcPr>
          <w:p>
            <w:pPr/>
            <w:r>
              <w:rPr>
                <w:sz w:val="18"/>
              </w:rPr>
              <w:t>Model 3</w:t>
            </w:r>
          </w:p>
        </w:tc>
        <w:tc>
          <w:tcPr>
            <w:tcW w:type="dxa" w:w="540"/>
          </w:tcPr>
          <w:p>
            <w:pPr/>
            <w:r>
              <w:rPr>
                <w:sz w:val="18"/>
              </w:rPr>
              <w:t>[data not available]</w:t>
            </w:r>
          </w:p>
        </w:tc>
        <w:tc>
          <w:tcPr>
            <w:tcW w:type="dxa" w:w="540"/>
          </w:tcPr>
          <w:p>
            <w:pPr/>
            <w:r>
              <w:rPr>
                <w:sz w:val="18"/>
              </w:rPr>
              <w:t>N/A</w:t>
            </w:r>
          </w:p>
        </w:tc>
      </w:tr>
      <w:tr>
        <w:tc>
          <w:tcPr>
            <w:tcW w:type="dxa" w:w="540"/>
          </w:tcPr>
          <w:p>
            <w:pPr/>
            <w:r>
              <w:rPr>
                <w:sz w:val="18"/>
              </w:rPr>
              <w:t>**Cboe Clear Europe**</w:t>
            </w:r>
          </w:p>
        </w:tc>
        <w:tc>
          <w:tcPr>
            <w:tcW w:type="dxa" w:w="540"/>
          </w:tcPr>
          <w:p>
            <w:pPr/>
            <w:r>
              <w:rPr>
                <w:sz w:val="18"/>
              </w:rPr>
              <w:t>Netherlands</w:t>
            </w:r>
          </w:p>
        </w:tc>
        <w:tc>
          <w:tcPr>
            <w:tcW w:type="dxa" w:w="540"/>
          </w:tcPr>
          <w:p>
            <w:pPr/>
            <w:r>
              <w:rPr>
                <w:sz w:val="18"/>
              </w:rPr>
              <w:t>CCP</w:t>
            </w:r>
          </w:p>
        </w:tc>
        <w:tc>
          <w:tcPr>
            <w:tcW w:type="dxa" w:w="540"/>
          </w:tcPr>
          <w:p>
            <w:pPr/>
            <w:r>
              <w:rPr>
                <w:sz w:val="18"/>
              </w:rPr>
              <w:t>Cboe</w:t>
            </w:r>
          </w:p>
        </w:tc>
        <w:tc>
          <w:tcPr>
            <w:tcW w:type="dxa" w:w="540"/>
          </w:tcPr>
          <w:p>
            <w:pPr/>
            <w:r>
              <w:rPr>
                <w:sz w:val="18"/>
              </w:rPr>
              <w:t>2007</w:t>
            </w:r>
          </w:p>
        </w:tc>
        <w:tc>
          <w:tcPr>
            <w:tcW w:type="dxa" w:w="540"/>
          </w:tcPr>
          <w:p>
            <w:pPr/>
            <w:r>
              <w:rPr>
                <w:sz w:val="18"/>
              </w:rPr>
              <w:t>Cash equities, equity derivatives, SFTs</w:t>
            </w:r>
          </w:p>
        </w:tc>
        <w:tc>
          <w:tcPr>
            <w:tcW w:type="dxa" w:w="540"/>
          </w:tcPr>
          <w:p>
            <w:pPr/>
            <w:r>
              <w:rPr>
                <w:sz w:val="18"/>
              </w:rPr>
              <w:t>Historical CVaR</w:t>
            </w:r>
          </w:p>
        </w:tc>
        <w:tc>
          <w:tcPr>
            <w:tcW w:type="dxa" w:w="540"/>
          </w:tcPr>
          <w:p>
            <w:pPr/>
            <w:r>
              <w:rPr>
                <w:sz w:val="18"/>
              </w:rPr>
              <w:t>99%</w:t>
            </w:r>
          </w:p>
        </w:tc>
        <w:tc>
          <w:tcPr>
            <w:tcW w:type="dxa" w:w="540"/>
          </w:tcPr>
          <w:p>
            <w:pPr/>
            <w:r>
              <w:rPr>
                <w:sz w:val="18"/>
              </w:rPr>
              <w:t>2d</w:t>
            </w:r>
          </w:p>
        </w:tc>
        <w:tc>
          <w:tcPr>
            <w:tcW w:type="dxa" w:w="540"/>
          </w:tcPr>
          <w:p>
            <w:pPr/>
            <w:r>
              <w:rPr>
                <w:sz w:val="18"/>
              </w:rPr>
              <w:t>Cover 1/2</w:t>
            </w:r>
          </w:p>
        </w:tc>
        <w:tc>
          <w:tcPr>
            <w:tcW w:type="dxa" w:w="540"/>
          </w:tcPr>
          <w:p>
            <w:pPr/>
            <w:r>
              <w:rPr>
                <w:sz w:val="18"/>
              </w:rPr>
              <w:t>[data not available]</w:t>
            </w:r>
          </w:p>
        </w:tc>
        <w:tc>
          <w:tcPr>
            <w:tcW w:type="dxa" w:w="540"/>
          </w:tcPr>
          <w:p>
            <w:pPr/>
            <w:r>
              <w:rPr>
                <w:sz w:val="18"/>
              </w:rPr>
              <w:t>~EUR 6.8M</w:t>
            </w:r>
          </w:p>
        </w:tc>
        <w:tc>
          <w:tcPr>
            <w:tcW w:type="dxa" w:w="540"/>
          </w:tcPr>
          <w:p>
            <w:pPr/>
            <w:r>
              <w:rPr>
                <w:sz w:val="18"/>
              </w:rPr>
              <w:t>T+2 (EU)</w:t>
            </w:r>
          </w:p>
        </w:tc>
        <w:tc>
          <w:tcPr>
            <w:tcW w:type="dxa" w:w="540"/>
          </w:tcPr>
          <w:p>
            <w:pPr/>
            <w:r>
              <w:rPr>
                <w:sz w:val="18"/>
              </w:rPr>
              <w:t>Model 3</w:t>
            </w:r>
          </w:p>
        </w:tc>
        <w:tc>
          <w:tcPr>
            <w:tcW w:type="dxa" w:w="540"/>
          </w:tcPr>
          <w:p>
            <w:pPr/>
            <w:r>
              <w:rPr>
                <w:sz w:val="18"/>
              </w:rPr>
              <w:t>Yes (EU)</w:t>
            </w:r>
          </w:p>
        </w:tc>
        <w:tc>
          <w:tcPr>
            <w:tcW w:type="dxa" w:w="540"/>
          </w:tcPr>
          <w:p>
            <w:pPr/>
            <w:r>
              <w:rPr>
                <w:sz w:val="18"/>
              </w:rPr>
              <w:t>N/A</w:t>
            </w:r>
          </w:p>
        </w:tc>
      </w:tr>
      <w:tr>
        <w:tc>
          <w:tcPr>
            <w:tcW w:type="dxa" w:w="540"/>
          </w:tcPr>
          <w:p>
            <w:pPr/>
            <w:r>
              <w:rPr>
                <w:sz w:val="18"/>
              </w:rPr>
              <w:t>**ICE Clear U.S.**</w:t>
            </w:r>
          </w:p>
        </w:tc>
        <w:tc>
          <w:tcPr>
            <w:tcW w:type="dxa" w:w="540"/>
          </w:tcPr>
          <w:p>
            <w:pPr/>
            <w:r>
              <w:rPr>
                <w:sz w:val="18"/>
              </w:rPr>
              <w:t>U.S.</w:t>
            </w:r>
          </w:p>
        </w:tc>
        <w:tc>
          <w:tcPr>
            <w:tcW w:type="dxa" w:w="540"/>
          </w:tcPr>
          <w:p>
            <w:pPr/>
            <w:r>
              <w:rPr>
                <w:sz w:val="18"/>
              </w:rPr>
              <w:t>CCP</w:t>
            </w:r>
          </w:p>
        </w:tc>
        <w:tc>
          <w:tcPr>
            <w:tcW w:type="dxa" w:w="540"/>
          </w:tcPr>
          <w:p>
            <w:pPr/>
            <w:r>
              <w:rPr>
                <w:sz w:val="18"/>
              </w:rPr>
              <w:t>ICE</w:t>
            </w:r>
          </w:p>
        </w:tc>
        <w:tc>
          <w:tcPr>
            <w:tcW w:type="dxa" w:w="540"/>
          </w:tcPr>
          <w:p>
            <w:pPr/>
            <w:r>
              <w:rPr>
                <w:sz w:val="18"/>
              </w:rPr>
              <w:t>2007</w:t>
            </w:r>
          </w:p>
        </w:tc>
        <w:tc>
          <w:tcPr>
            <w:tcW w:type="dxa" w:w="540"/>
          </w:tcPr>
          <w:p>
            <w:pPr/>
            <w:r>
              <w:rPr>
                <w:sz w:val="18"/>
              </w:rPr>
              <w:t>Agri, energy, equity derivatives</w:t>
            </w:r>
          </w:p>
        </w:tc>
        <w:tc>
          <w:tcPr>
            <w:tcW w:type="dxa" w:w="540"/>
          </w:tcPr>
          <w:p>
            <w:pPr/>
            <w:r>
              <w:rPr>
                <w:sz w:val="18"/>
              </w:rPr>
              <w:t>IRM 1/IRM 2 (FHS-VaR)</w:t>
            </w:r>
          </w:p>
        </w:tc>
        <w:tc>
          <w:tcPr>
            <w:tcW w:type="dxa" w:w="540"/>
          </w:tcPr>
          <w:p>
            <w:pPr/>
            <w:r>
              <w:rPr>
                <w:sz w:val="18"/>
              </w:rPr>
              <w:t>[varies]</w:t>
            </w:r>
          </w:p>
        </w:tc>
        <w:tc>
          <w:tcPr>
            <w:tcW w:type="dxa" w:w="540"/>
          </w:tcPr>
          <w:p>
            <w:pPr/>
            <w:r>
              <w:rPr>
                <w:sz w:val="18"/>
              </w:rPr>
              <w:t>1d</w:t>
            </w:r>
          </w:p>
        </w:tc>
        <w:tc>
          <w:tcPr>
            <w:tcW w:type="dxa" w:w="540"/>
          </w:tcPr>
          <w:p>
            <w:pPr/>
            <w:r>
              <w:rPr>
                <w:sz w:val="18"/>
              </w:rPr>
              <w:t>Cover 2</w:t>
            </w:r>
          </w:p>
        </w:tc>
        <w:tc>
          <w:tcPr>
            <w:tcW w:type="dxa" w:w="540"/>
          </w:tcPr>
          <w:p>
            <w:pPr/>
            <w:r>
              <w:rPr>
                <w:sz w:val="18"/>
              </w:rPr>
              <w:t>[data not available]</w:t>
            </w:r>
          </w:p>
        </w:tc>
        <w:tc>
          <w:tcPr>
            <w:tcW w:type="dxa" w:w="540"/>
          </w:tcPr>
          <w:p>
            <w:pPr/>
            <w:r>
              <w:rPr>
                <w:sz w:val="18"/>
              </w:rPr>
              <w:t>~$75M</w:t>
            </w:r>
          </w:p>
        </w:tc>
        <w:tc>
          <w:tcPr>
            <w:tcW w:type="dxa" w:w="540"/>
          </w:tcPr>
          <w:p>
            <w:pPr/>
            <w:r>
              <w:rPr>
                <w:sz w:val="18"/>
              </w:rPr>
              <w:t>N/A (derivatives)</w:t>
            </w:r>
          </w:p>
        </w:tc>
        <w:tc>
          <w:tcPr>
            <w:tcW w:type="dxa" w:w="540"/>
          </w:tcPr>
          <w:p>
            <w:pPr/>
            <w:r>
              <w:rPr>
                <w:sz w:val="18"/>
              </w:rPr>
              <w:t>N/A</w:t>
            </w:r>
          </w:p>
        </w:tc>
        <w:tc>
          <w:tcPr>
            <w:tcW w:type="dxa" w:w="540"/>
          </w:tcPr>
          <w:p>
            <w:pPr/>
            <w:r>
              <w:rPr>
                <w:sz w:val="18"/>
              </w:rPr>
              <w:t>Yes [unverified]</w:t>
            </w:r>
          </w:p>
        </w:tc>
        <w:tc>
          <w:tcPr>
            <w:tcW w:type="dxa" w:w="540"/>
          </w:tcPr>
          <w:p>
            <w:pPr/>
            <w:r>
              <w:rPr>
                <w:sz w:val="18"/>
              </w:rPr>
              <w:t>No</w:t>
            </w:r>
          </w:p>
        </w:tc>
      </w:tr>
      <w:tr>
        <w:tc>
          <w:tcPr>
            <w:tcW w:type="dxa" w:w="540"/>
          </w:tcPr>
          <w:p>
            <w:pPr/>
            <w:r>
              <w:rPr>
                <w:sz w:val="18"/>
              </w:rPr>
              <w:t>**ICE Clear Europe**</w:t>
            </w:r>
          </w:p>
        </w:tc>
        <w:tc>
          <w:tcPr>
            <w:tcW w:type="dxa" w:w="540"/>
          </w:tcPr>
          <w:p>
            <w:pPr/>
            <w:r>
              <w:rPr>
                <w:sz w:val="18"/>
              </w:rPr>
              <w:t>UK</w:t>
            </w:r>
          </w:p>
        </w:tc>
        <w:tc>
          <w:tcPr>
            <w:tcW w:type="dxa" w:w="540"/>
          </w:tcPr>
          <w:p>
            <w:pPr/>
            <w:r>
              <w:rPr>
                <w:sz w:val="18"/>
              </w:rPr>
              <w:t>CCP</w:t>
            </w:r>
          </w:p>
        </w:tc>
        <w:tc>
          <w:tcPr>
            <w:tcW w:type="dxa" w:w="540"/>
          </w:tcPr>
          <w:p>
            <w:pPr/>
            <w:r>
              <w:rPr>
                <w:sz w:val="18"/>
              </w:rPr>
              <w:t>ICE</w:t>
            </w:r>
          </w:p>
        </w:tc>
        <w:tc>
          <w:tcPr>
            <w:tcW w:type="dxa" w:w="540"/>
          </w:tcPr>
          <w:p>
            <w:pPr/>
            <w:r>
              <w:rPr>
                <w:sz w:val="18"/>
              </w:rPr>
              <w:t>2008</w:t>
            </w:r>
          </w:p>
        </w:tc>
        <w:tc>
          <w:tcPr>
            <w:tcW w:type="dxa" w:w="540"/>
          </w:tcPr>
          <w:p>
            <w:pPr/>
            <w:r>
              <w:rPr>
                <w:sz w:val="18"/>
              </w:rPr>
              <w:t>Energy, FI, equities, softs, freight</w:t>
            </w:r>
          </w:p>
        </w:tc>
        <w:tc>
          <w:tcPr>
            <w:tcW w:type="dxa" w:w="540"/>
          </w:tcPr>
          <w:p>
            <w:pPr/>
            <w:r>
              <w:rPr>
                <w:sz w:val="18"/>
              </w:rPr>
              <w:t>IRM 1/IRM 2</w:t>
            </w:r>
          </w:p>
        </w:tc>
        <w:tc>
          <w:tcPr>
            <w:tcW w:type="dxa" w:w="540"/>
          </w:tcPr>
          <w:p>
            <w:pPr/>
            <w:r>
              <w:rPr>
                <w:sz w:val="18"/>
              </w:rPr>
              <w:t>[varies]</w:t>
            </w:r>
          </w:p>
        </w:tc>
        <w:tc>
          <w:tcPr>
            <w:tcW w:type="dxa" w:w="540"/>
          </w:tcPr>
          <w:p>
            <w:pPr/>
            <w:r>
              <w:rPr>
                <w:sz w:val="18"/>
              </w:rPr>
              <w:t>1d</w:t>
            </w:r>
          </w:p>
        </w:tc>
        <w:tc>
          <w:tcPr>
            <w:tcW w:type="dxa" w:w="540"/>
          </w:tcPr>
          <w:p>
            <w:pPr/>
            <w:r>
              <w:rPr>
                <w:sz w:val="18"/>
              </w:rPr>
              <w:t>Cover 2</w:t>
            </w:r>
          </w:p>
        </w:tc>
        <w:tc>
          <w:tcPr>
            <w:tcW w:type="dxa" w:w="540"/>
          </w:tcPr>
          <w:p>
            <w:pPr/>
            <w:r>
              <w:rPr>
                <w:sz w:val="18"/>
              </w:rPr>
              <w:t>~$2.9B (GF min)</w:t>
            </w:r>
          </w:p>
        </w:tc>
        <w:tc>
          <w:tcPr>
            <w:tcW w:type="dxa" w:w="540"/>
          </w:tcPr>
          <w:p>
            <w:pPr/>
            <w:r>
              <w:rPr>
                <w:sz w:val="18"/>
              </w:rPr>
              <w:t>ICE SITG + $100M insurance</w:t>
            </w:r>
          </w:p>
        </w:tc>
        <w:tc>
          <w:tcPr>
            <w:tcW w:type="dxa" w:w="540"/>
          </w:tcPr>
          <w:p>
            <w:pPr/>
            <w:r>
              <w:rPr>
                <w:sz w:val="18"/>
              </w:rPr>
              <w:t>N/A (derivatives)</w:t>
            </w:r>
          </w:p>
        </w:tc>
        <w:tc>
          <w:tcPr>
            <w:tcW w:type="dxa" w:w="540"/>
          </w:tcPr>
          <w:p>
            <w:pPr/>
            <w:r>
              <w:rPr>
                <w:sz w:val="18"/>
              </w:rPr>
              <w:t>N/A</w:t>
            </w:r>
          </w:p>
        </w:tc>
        <w:tc>
          <w:tcPr>
            <w:tcW w:type="dxa" w:w="540"/>
          </w:tcPr>
          <w:p>
            <w:pPr/>
            <w:r>
              <w:rPr>
                <w:sz w:val="18"/>
              </w:rPr>
              <w:t>Yes</w:t>
            </w:r>
          </w:p>
        </w:tc>
        <w:tc>
          <w:tcPr>
            <w:tcW w:type="dxa" w:w="540"/>
          </w:tcPr>
          <w:p>
            <w:pPr/>
            <w:r>
              <w:rPr>
                <w:sz w:val="18"/>
              </w:rPr>
              <w:t>No</w:t>
            </w:r>
          </w:p>
        </w:tc>
      </w:tr>
      <w:tr>
        <w:tc>
          <w:tcPr>
            <w:tcW w:type="dxa" w:w="540"/>
          </w:tcPr>
          <w:p>
            <w:pPr/>
            <w:r>
              <w:rPr>
                <w:sz w:val="18"/>
              </w:rPr>
              <w:t>**ICE Clear Credit**</w:t>
            </w:r>
          </w:p>
        </w:tc>
        <w:tc>
          <w:tcPr>
            <w:tcW w:type="dxa" w:w="540"/>
          </w:tcPr>
          <w:p>
            <w:pPr/>
            <w:r>
              <w:rPr>
                <w:sz w:val="18"/>
              </w:rPr>
              <w:t>U.S.</w:t>
            </w:r>
          </w:p>
        </w:tc>
        <w:tc>
          <w:tcPr>
            <w:tcW w:type="dxa" w:w="540"/>
          </w:tcPr>
          <w:p>
            <w:pPr/>
            <w:r>
              <w:rPr>
                <w:sz w:val="18"/>
              </w:rPr>
              <w:t>CCP</w:t>
            </w:r>
          </w:p>
        </w:tc>
        <w:tc>
          <w:tcPr>
            <w:tcW w:type="dxa" w:w="540"/>
          </w:tcPr>
          <w:p>
            <w:pPr/>
            <w:r>
              <w:rPr>
                <w:sz w:val="18"/>
              </w:rPr>
              <w:t>ICE</w:t>
            </w:r>
          </w:p>
        </w:tc>
        <w:tc>
          <w:tcPr>
            <w:tcW w:type="dxa" w:w="540"/>
          </w:tcPr>
          <w:p>
            <w:pPr/>
            <w:r>
              <w:rPr>
                <w:sz w:val="18"/>
              </w:rPr>
              <w:t>2009</w:t>
            </w:r>
          </w:p>
        </w:tc>
        <w:tc>
          <w:tcPr>
            <w:tcW w:type="dxa" w:w="540"/>
          </w:tcPr>
          <w:p>
            <w:pPr/>
            <w:r>
              <w:rPr>
                <w:sz w:val="18"/>
              </w:rPr>
              <w:t>CDS, U.S. Treasuries (from 2026)</w:t>
            </w:r>
          </w:p>
        </w:tc>
        <w:tc>
          <w:tcPr>
            <w:tcW w:type="dxa" w:w="540"/>
          </w:tcPr>
          <w:p>
            <w:pPr/>
            <w:r>
              <w:rPr>
                <w:sz w:val="18"/>
              </w:rPr>
              <w:t>[CDS-specific model]</w:t>
            </w:r>
          </w:p>
        </w:tc>
        <w:tc>
          <w:tcPr>
            <w:tcW w:type="dxa" w:w="540"/>
          </w:tcPr>
          <w:p>
            <w:pPr/>
            <w:r>
              <w:rPr>
                <w:sz w:val="18"/>
              </w:rPr>
              <w:t>[varies]</w:t>
            </w:r>
          </w:p>
        </w:tc>
        <w:tc>
          <w:tcPr>
            <w:tcW w:type="dxa" w:w="540"/>
          </w:tcPr>
          <w:p>
            <w:pPr/>
            <w:r>
              <w:rPr>
                <w:sz w:val="18"/>
              </w:rPr>
              <w:t>N/A</w:t>
            </w:r>
          </w:p>
        </w:tc>
        <w:tc>
          <w:tcPr>
            <w:tcW w:type="dxa" w:w="540"/>
          </w:tcPr>
          <w:p>
            <w:pPr/>
            <w:r>
              <w:rPr>
                <w:sz w:val="18"/>
              </w:rPr>
              <w:t>Cover 2</w:t>
            </w:r>
          </w:p>
        </w:tc>
        <w:tc>
          <w:tcPr>
            <w:tcW w:type="dxa" w:w="540"/>
          </w:tcPr>
          <w:p>
            <w:pPr/>
            <w:r>
              <w:rPr>
                <w:sz w:val="18"/>
              </w:rPr>
              <w:t>[data not available]</w:t>
            </w:r>
          </w:p>
        </w:tc>
        <w:tc>
          <w:tcPr>
            <w:tcW w:type="dxa" w:w="540"/>
          </w:tcPr>
          <w:p>
            <w:pPr/>
            <w:r>
              <w:rPr>
                <w:sz w:val="18"/>
              </w:rPr>
              <w:t>$100M + $75M insurance</w:t>
            </w:r>
          </w:p>
        </w:tc>
        <w:tc>
          <w:tcPr>
            <w:tcW w:type="dxa" w:w="540"/>
          </w:tcPr>
          <w:p>
            <w:pPr/>
            <w:r>
              <w:rPr>
                <w:sz w:val="18"/>
              </w:rPr>
              <w:t>N/A</w:t>
            </w:r>
          </w:p>
        </w:tc>
        <w:tc>
          <w:tcPr>
            <w:tcW w:type="dxa" w:w="540"/>
          </w:tcPr>
          <w:p>
            <w:pPr/>
            <w:r>
              <w:rPr>
                <w:sz w:val="18"/>
              </w:rPr>
              <w:t>N/A</w:t>
            </w:r>
          </w:p>
        </w:tc>
        <w:tc>
          <w:tcPr>
            <w:tcW w:type="dxa" w:w="540"/>
          </w:tcPr>
          <w:p>
            <w:pPr/>
            <w:r>
              <w:rPr>
                <w:sz w:val="18"/>
              </w:rPr>
              <w:t>Yes</w:t>
            </w:r>
          </w:p>
        </w:tc>
        <w:tc>
          <w:tcPr>
            <w:tcW w:type="dxa" w:w="540"/>
          </w:tcPr>
          <w:p>
            <w:pPr/>
            <w:r>
              <w:rPr>
                <w:sz w:val="18"/>
              </w:rPr>
              <w:t>Yes</w:t>
            </w:r>
          </w:p>
        </w:tc>
      </w:tr>
      <w:tr>
        <w:tc>
          <w:tcPr>
            <w:tcW w:type="dxa" w:w="540"/>
          </w:tcPr>
          <w:p>
            <w:pPr/>
            <w:r>
              <w:rPr>
                <w:sz w:val="18"/>
              </w:rPr>
              <w:t>**ASX Clear**</w:t>
            </w:r>
          </w:p>
        </w:tc>
        <w:tc>
          <w:tcPr>
            <w:tcW w:type="dxa" w:w="540"/>
          </w:tcPr>
          <w:p>
            <w:pPr/>
            <w:r>
              <w:rPr>
                <w:sz w:val="18"/>
              </w:rPr>
              <w:t>Australia</w:t>
            </w:r>
          </w:p>
        </w:tc>
        <w:tc>
          <w:tcPr>
            <w:tcW w:type="dxa" w:w="540"/>
          </w:tcPr>
          <w:p>
            <w:pPr/>
            <w:r>
              <w:rPr>
                <w:sz w:val="18"/>
              </w:rPr>
              <w:t>CCP</w:t>
            </w:r>
          </w:p>
        </w:tc>
        <w:tc>
          <w:tcPr>
            <w:tcW w:type="dxa" w:w="540"/>
          </w:tcPr>
          <w:p>
            <w:pPr/>
            <w:r>
              <w:rPr>
                <w:sz w:val="18"/>
              </w:rPr>
              <w:t>ASX</w:t>
            </w:r>
          </w:p>
        </w:tc>
        <w:tc>
          <w:tcPr>
            <w:tcW w:type="dxa" w:w="540"/>
          </w:tcPr>
          <w:p>
            <w:pPr/>
            <w:r>
              <w:rPr>
                <w:sz w:val="18"/>
              </w:rPr>
              <w:t>1969</w:t>
            </w:r>
          </w:p>
        </w:tc>
        <w:tc>
          <w:tcPr>
            <w:tcW w:type="dxa" w:w="540"/>
          </w:tcPr>
          <w:p>
            <w:pPr/>
            <w:r>
              <w:rPr>
                <w:sz w:val="18"/>
              </w:rPr>
              <w:t>Cash equities, ETOs</w:t>
            </w:r>
          </w:p>
        </w:tc>
        <w:tc>
          <w:tcPr>
            <w:tcW w:type="dxa" w:w="540"/>
          </w:tcPr>
          <w:p>
            <w:pPr/>
            <w:r>
              <w:rPr>
                <w:sz w:val="18"/>
              </w:rPr>
              <w:t>FHSVaR (cash); SPAN (ETOs)</w:t>
            </w:r>
          </w:p>
        </w:tc>
        <w:tc>
          <w:tcPr>
            <w:tcW w:type="dxa" w:w="540"/>
          </w:tcPr>
          <w:p>
            <w:pPr/>
            <w:r>
              <w:rPr>
                <w:sz w:val="18"/>
              </w:rPr>
              <w:t>High</w:t>
            </w:r>
          </w:p>
        </w:tc>
        <w:tc>
          <w:tcPr>
            <w:tcW w:type="dxa" w:w="540"/>
          </w:tcPr>
          <w:p>
            <w:pPr/>
            <w:r>
              <w:rPr>
                <w:sz w:val="18"/>
              </w:rPr>
              <w:t>Settlement / 1d</w:t>
            </w:r>
          </w:p>
        </w:tc>
        <w:tc>
          <w:tcPr>
            <w:tcW w:type="dxa" w:w="540"/>
          </w:tcPr>
          <w:p>
            <w:pPr/>
            <w:r>
              <w:rPr>
                <w:sz w:val="18"/>
              </w:rPr>
              <w:t>Cover 2</w:t>
            </w:r>
          </w:p>
        </w:tc>
        <w:tc>
          <w:tcPr>
            <w:tcW w:type="dxa" w:w="540"/>
          </w:tcPr>
          <w:p>
            <w:pPr/>
            <w:r>
              <w:rPr>
                <w:sz w:val="18"/>
              </w:rPr>
              <w:t>AUD 250M (100% ASX)</w:t>
            </w:r>
          </w:p>
        </w:tc>
        <w:tc>
          <w:tcPr>
            <w:tcW w:type="dxa" w:w="540"/>
          </w:tcPr>
          <w:p>
            <w:pPr/>
            <w:r>
              <w:rPr>
                <w:sz w:val="18"/>
              </w:rPr>
              <w:t>AUD 250M (100%)</w:t>
            </w:r>
          </w:p>
        </w:tc>
        <w:tc>
          <w:tcPr>
            <w:tcW w:type="dxa" w:w="540"/>
          </w:tcPr>
          <w:p>
            <w:pPr/>
            <w:r>
              <w:rPr>
                <w:sz w:val="18"/>
              </w:rPr>
              <w:t>T+2</w:t>
            </w:r>
          </w:p>
        </w:tc>
        <w:tc>
          <w:tcPr>
            <w:tcW w:type="dxa" w:w="540"/>
          </w:tcPr>
          <w:p>
            <w:pPr/>
            <w:r>
              <w:rPr>
                <w:sz w:val="18"/>
              </w:rPr>
              <w:t>Model 3</w:t>
            </w:r>
          </w:p>
        </w:tc>
        <w:tc>
          <w:tcPr>
            <w:tcW w:type="dxa" w:w="540"/>
          </w:tcPr>
          <w:p>
            <w:pPr/>
            <w:r>
              <w:rPr>
                <w:sz w:val="18"/>
              </w:rPr>
              <w:t>Yes</w:t>
            </w:r>
          </w:p>
        </w:tc>
        <w:tc>
          <w:tcPr>
            <w:tcW w:type="dxa" w:w="540"/>
          </w:tcPr>
          <w:p>
            <w:pPr/>
            <w:r>
              <w:rPr>
                <w:sz w:val="18"/>
              </w:rPr>
              <w:t>N/A</w:t>
            </w:r>
          </w:p>
        </w:tc>
      </w:tr>
      <w:tr>
        <w:tc>
          <w:tcPr>
            <w:tcW w:type="dxa" w:w="540"/>
          </w:tcPr>
          <w:p>
            <w:pPr/>
            <w:r>
              <w:rPr>
                <w:sz w:val="18"/>
              </w:rPr>
              <w:t>**ASX Clear (Futures)**</w:t>
            </w:r>
          </w:p>
        </w:tc>
        <w:tc>
          <w:tcPr>
            <w:tcW w:type="dxa" w:w="540"/>
          </w:tcPr>
          <w:p>
            <w:pPr/>
            <w:r>
              <w:rPr>
                <w:sz w:val="18"/>
              </w:rPr>
              <w:t>Australia</w:t>
            </w:r>
          </w:p>
        </w:tc>
        <w:tc>
          <w:tcPr>
            <w:tcW w:type="dxa" w:w="540"/>
          </w:tcPr>
          <w:p>
            <w:pPr/>
            <w:r>
              <w:rPr>
                <w:sz w:val="18"/>
              </w:rPr>
              <w:t>CCP</w:t>
            </w:r>
          </w:p>
        </w:tc>
        <w:tc>
          <w:tcPr>
            <w:tcW w:type="dxa" w:w="540"/>
          </w:tcPr>
          <w:p>
            <w:pPr/>
            <w:r>
              <w:rPr>
                <w:sz w:val="18"/>
              </w:rPr>
              <w:t>ASX</w:t>
            </w:r>
          </w:p>
        </w:tc>
        <w:tc>
          <w:tcPr>
            <w:tcW w:type="dxa" w:w="540"/>
          </w:tcPr>
          <w:p>
            <w:pPr/>
            <w:r>
              <w:rPr>
                <w:sz w:val="18"/>
              </w:rPr>
              <w:t>1999</w:t>
            </w:r>
          </w:p>
        </w:tc>
        <w:tc>
          <w:tcPr>
            <w:tcW w:type="dxa" w:w="540"/>
          </w:tcPr>
          <w:p>
            <w:pPr/>
            <w:r>
              <w:rPr>
                <w:sz w:val="18"/>
              </w:rPr>
              <w:t>Futures, OTC IRS, energy, agri</w:t>
            </w:r>
          </w:p>
        </w:tc>
        <w:tc>
          <w:tcPr>
            <w:tcW w:type="dxa" w:w="540"/>
          </w:tcPr>
          <w:p>
            <w:pPr/>
            <w:r>
              <w:rPr>
                <w:sz w:val="18"/>
              </w:rPr>
              <w:t>SPAN (ETD); FHSVaR (OTC)</w:t>
            </w:r>
          </w:p>
        </w:tc>
        <w:tc>
          <w:tcPr>
            <w:tcW w:type="dxa" w:w="540"/>
          </w:tcPr>
          <w:p>
            <w:pPr/>
            <w:r>
              <w:rPr>
                <w:sz w:val="18"/>
              </w:rPr>
              <w:t>3 std dev</w:t>
            </w:r>
          </w:p>
        </w:tc>
        <w:tc>
          <w:tcPr>
            <w:tcW w:type="dxa" w:w="540"/>
          </w:tcPr>
          <w:p>
            <w:pPr/>
            <w:r>
              <w:rPr>
                <w:sz w:val="18"/>
              </w:rPr>
              <w:t>1d / 5d</w:t>
            </w:r>
          </w:p>
        </w:tc>
        <w:tc>
          <w:tcPr>
            <w:tcW w:type="dxa" w:w="540"/>
          </w:tcPr>
          <w:p>
            <w:pPr/>
            <w:r>
              <w:rPr>
                <w:sz w:val="18"/>
              </w:rPr>
              <w:t>Cover 2</w:t>
            </w:r>
          </w:p>
        </w:tc>
        <w:tc>
          <w:tcPr>
            <w:tcW w:type="dxa" w:w="540"/>
          </w:tcPr>
          <w:p>
            <w:pPr/>
            <w:r>
              <w:rPr>
                <w:sz w:val="18"/>
              </w:rPr>
              <w:t>AUD 650M</w:t>
            </w:r>
          </w:p>
        </w:tc>
        <w:tc>
          <w:tcPr>
            <w:tcW w:type="dxa" w:w="540"/>
          </w:tcPr>
          <w:p>
            <w:pPr/>
            <w:r>
              <w:rPr>
                <w:sz w:val="18"/>
              </w:rPr>
              <w:t>AUD 450M (69%)</w:t>
            </w:r>
          </w:p>
        </w:tc>
        <w:tc>
          <w:tcPr>
            <w:tcW w:type="dxa" w:w="540"/>
          </w:tcPr>
          <w:p>
            <w:pPr/>
            <w:r>
              <w:rPr>
                <w:sz w:val="18"/>
              </w:rPr>
              <w:t>Daily</w:t>
            </w:r>
          </w:p>
        </w:tc>
        <w:tc>
          <w:tcPr>
            <w:tcW w:type="dxa" w:w="540"/>
          </w:tcPr>
          <w:p>
            <w:pPr/>
            <w:r>
              <w:rPr>
                <w:sz w:val="18"/>
              </w:rPr>
              <w:t>N/A</w:t>
            </w:r>
          </w:p>
        </w:tc>
        <w:tc>
          <w:tcPr>
            <w:tcW w:type="dxa" w:w="540"/>
          </w:tcPr>
          <w:p>
            <w:pPr/>
            <w:r>
              <w:rPr>
                <w:sz w:val="18"/>
              </w:rPr>
              <w:t>Yes</w:t>
            </w:r>
          </w:p>
        </w:tc>
        <w:tc>
          <w:tcPr>
            <w:tcW w:type="dxa" w:w="540"/>
          </w:tcPr>
          <w:p>
            <w:pPr/>
            <w:r>
              <w:rPr>
                <w:sz w:val="18"/>
              </w:rPr>
              <w:t>N/A</w:t>
            </w:r>
          </w:p>
        </w:tc>
      </w:tr>
      <w:tr>
        <w:tc>
          <w:tcPr>
            <w:tcW w:type="dxa" w:w="540"/>
          </w:tcPr>
          <w:p>
            <w:pPr/>
            <w:r>
              <w:rPr>
                <w:sz w:val="18"/>
              </w:rPr>
              <w:t>**SIX x-clear**</w:t>
            </w:r>
          </w:p>
        </w:tc>
        <w:tc>
          <w:tcPr>
            <w:tcW w:type="dxa" w:w="540"/>
          </w:tcPr>
          <w:p>
            <w:pPr/>
            <w:r>
              <w:rPr>
                <w:sz w:val="18"/>
              </w:rPr>
              <w:t>Switzerland</w:t>
            </w:r>
          </w:p>
        </w:tc>
        <w:tc>
          <w:tcPr>
            <w:tcW w:type="dxa" w:w="540"/>
          </w:tcPr>
          <w:p>
            <w:pPr/>
            <w:r>
              <w:rPr>
                <w:sz w:val="18"/>
              </w:rPr>
              <w:t>CCP</w:t>
            </w:r>
          </w:p>
        </w:tc>
        <w:tc>
          <w:tcPr>
            <w:tcW w:type="dxa" w:w="540"/>
          </w:tcPr>
          <w:p>
            <w:pPr/>
            <w:r>
              <w:rPr>
                <w:sz w:val="18"/>
              </w:rPr>
              <w:t>SIX Group</w:t>
            </w:r>
          </w:p>
        </w:tc>
        <w:tc>
          <w:tcPr>
            <w:tcW w:type="dxa" w:w="540"/>
          </w:tcPr>
          <w:p>
            <w:pPr/>
            <w:r>
              <w:rPr>
                <w:sz w:val="18"/>
              </w:rPr>
              <w:t>2003</w:t>
            </w:r>
          </w:p>
        </w:tc>
        <w:tc>
          <w:tcPr>
            <w:tcW w:type="dxa" w:w="540"/>
          </w:tcPr>
          <w:p>
            <w:pPr/>
            <w:r>
              <w:rPr>
                <w:sz w:val="18"/>
              </w:rPr>
              <w:t>Cash equities, bonds</w:t>
            </w:r>
          </w:p>
        </w:tc>
        <w:tc>
          <w:tcPr>
            <w:tcW w:type="dxa" w:w="540"/>
          </w:tcPr>
          <w:p>
            <w:pPr/>
            <w:r>
              <w:rPr>
                <w:sz w:val="18"/>
              </w:rPr>
              <w:t>SECOM-based</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T+2</w:t>
            </w:r>
          </w:p>
        </w:tc>
        <w:tc>
          <w:tcPr>
            <w:tcW w:type="dxa" w:w="540"/>
          </w:tcPr>
          <w:p>
            <w:pPr/>
            <w:r>
              <w:rPr>
                <w:sz w:val="18"/>
              </w:rPr>
              <w:t>[data not available]</w:t>
            </w:r>
          </w:p>
        </w:tc>
        <w:tc>
          <w:tcPr>
            <w:tcW w:type="dxa" w:w="540"/>
          </w:tcPr>
          <w:p>
            <w:pPr/>
            <w:r>
              <w:rPr>
                <w:sz w:val="18"/>
              </w:rPr>
              <w:t>Yes (FINMA)</w:t>
            </w:r>
          </w:p>
        </w:tc>
        <w:tc>
          <w:tcPr>
            <w:tcW w:type="dxa" w:w="540"/>
          </w:tcPr>
          <w:p>
            <w:pPr/>
            <w:r>
              <w:rPr>
                <w:sz w:val="18"/>
              </w:rPr>
              <w:t>N/A</w:t>
            </w:r>
          </w:p>
        </w:tc>
      </w:tr>
      <w:tr>
        <w:tc>
          <w:tcPr>
            <w:tcW w:type="dxa" w:w="540"/>
          </w:tcPr>
          <w:p>
            <w:pPr/>
            <w:r>
              <w:rPr>
                <w:sz w:val="18"/>
              </w:rPr>
              <w:t>**Euroclear**</w:t>
            </w:r>
          </w:p>
        </w:tc>
        <w:tc>
          <w:tcPr>
            <w:tcW w:type="dxa" w:w="540"/>
          </w:tcPr>
          <w:p>
            <w:pPr/>
            <w:r>
              <w:rPr>
                <w:sz w:val="18"/>
              </w:rPr>
              <w:t>Belgium</w:t>
            </w:r>
          </w:p>
        </w:tc>
        <w:tc>
          <w:tcPr>
            <w:tcW w:type="dxa" w:w="540"/>
          </w:tcPr>
          <w:p>
            <w:pPr/>
            <w:r>
              <w:rPr>
                <w:sz w:val="18"/>
              </w:rPr>
              <w:t>ICSD+CSDs</w:t>
            </w:r>
          </w:p>
        </w:tc>
        <w:tc>
          <w:tcPr>
            <w:tcW w:type="dxa" w:w="540"/>
          </w:tcPr>
          <w:p>
            <w:pPr/>
            <w:r>
              <w:rPr>
                <w:sz w:val="18"/>
              </w:rPr>
              <w:t>User-owned</w:t>
            </w:r>
          </w:p>
        </w:tc>
        <w:tc>
          <w:tcPr>
            <w:tcW w:type="dxa" w:w="540"/>
          </w:tcPr>
          <w:p>
            <w:pPr/>
            <w:r>
              <w:rPr>
                <w:sz w:val="18"/>
              </w:rPr>
              <w:t>1968</w:t>
            </w:r>
          </w:p>
        </w:tc>
        <w:tc>
          <w:tcPr>
            <w:tcW w:type="dxa" w:w="540"/>
          </w:tcPr>
          <w:p>
            <w:pPr/>
            <w:r>
              <w:rPr>
                <w:sz w:val="18"/>
              </w:rPr>
              <w:t>International + domestic securities (48 markets)</w:t>
            </w:r>
          </w:p>
        </w:tc>
        <w:tc>
          <w:tcPr>
            <w:tcW w:type="dxa" w:w="540"/>
          </w:tcPr>
          <w:p>
            <w:pPr/>
            <w:r>
              <w:rPr>
                <w:sz w:val="18"/>
              </w:rPr>
              <w:t>N/A (CSD, not CCP)</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T+2 (EU)</w:t>
            </w:r>
          </w:p>
        </w:tc>
        <w:tc>
          <w:tcPr>
            <w:tcW w:type="dxa" w:w="540"/>
          </w:tcPr>
          <w:p>
            <w:pPr/>
            <w:r>
              <w:rPr>
                <w:sz w:val="18"/>
              </w:rPr>
              <w:t>Model 1/3</w:t>
            </w:r>
          </w:p>
        </w:tc>
        <w:tc>
          <w:tcPr>
            <w:tcW w:type="dxa" w:w="540"/>
          </w:tcPr>
          <w:p>
            <w:pPr/>
            <w:r>
              <w:rPr>
                <w:sz w:val="18"/>
              </w:rPr>
              <w:t>N/A</w:t>
            </w:r>
          </w:p>
        </w:tc>
        <w:tc>
          <w:tcPr>
            <w:tcW w:type="dxa" w:w="540"/>
          </w:tcPr>
          <w:p>
            <w:pPr/>
            <w:r>
              <w:rPr>
                <w:sz w:val="18"/>
              </w:rPr>
              <w:t>N/A</w:t>
            </w:r>
          </w:p>
        </w:tc>
      </w:tr>
      <w:tr>
        <w:tc>
          <w:tcPr>
            <w:tcW w:type="dxa" w:w="540"/>
          </w:tcPr>
          <w:p>
            <w:pPr/>
            <w:r>
              <w:rPr>
                <w:sz w:val="18"/>
              </w:rPr>
              <w:t>**Clearstream**</w:t>
            </w:r>
          </w:p>
        </w:tc>
        <w:tc>
          <w:tcPr>
            <w:tcW w:type="dxa" w:w="540"/>
          </w:tcPr>
          <w:p>
            <w:pPr/>
            <w:r>
              <w:rPr>
                <w:sz w:val="18"/>
              </w:rPr>
              <w:t>Luxembourg/Germany</w:t>
            </w:r>
          </w:p>
        </w:tc>
        <w:tc>
          <w:tcPr>
            <w:tcW w:type="dxa" w:w="540"/>
          </w:tcPr>
          <w:p>
            <w:pPr/>
            <w:r>
              <w:rPr>
                <w:sz w:val="18"/>
              </w:rPr>
              <w:t>ICSD+CSD</w:t>
            </w:r>
          </w:p>
        </w:tc>
        <w:tc>
          <w:tcPr>
            <w:tcW w:type="dxa" w:w="540"/>
          </w:tcPr>
          <w:p>
            <w:pPr/>
            <w:r>
              <w:rPr>
                <w:sz w:val="18"/>
              </w:rPr>
              <w:t>Deutsche Borse</w:t>
            </w:r>
          </w:p>
        </w:tc>
        <w:tc>
          <w:tcPr>
            <w:tcW w:type="dxa" w:w="540"/>
          </w:tcPr>
          <w:p>
            <w:pPr/>
            <w:r>
              <w:rPr>
                <w:sz w:val="18"/>
              </w:rPr>
              <w:t>2000</w:t>
            </w:r>
          </w:p>
        </w:tc>
        <w:tc>
          <w:tcPr>
            <w:tcW w:type="dxa" w:w="540"/>
          </w:tcPr>
          <w:p>
            <w:pPr/>
            <w:r>
              <w:rPr>
                <w:sz w:val="18"/>
              </w:rPr>
              <w:t>International + domestic securities (60 markets)</w:t>
            </w:r>
          </w:p>
        </w:tc>
        <w:tc>
          <w:tcPr>
            <w:tcW w:type="dxa" w:w="540"/>
          </w:tcPr>
          <w:p>
            <w:pPr/>
            <w:r>
              <w:rPr>
                <w:sz w:val="18"/>
              </w:rPr>
              <w:t>N/A (CSD, not CCP)</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T+2 (EU)</w:t>
            </w:r>
          </w:p>
        </w:tc>
        <w:tc>
          <w:tcPr>
            <w:tcW w:type="dxa" w:w="540"/>
          </w:tcPr>
          <w:p>
            <w:pPr/>
            <w:r>
              <w:rPr>
                <w:sz w:val="18"/>
              </w:rPr>
              <w:t>Model 1/3</w:t>
            </w:r>
          </w:p>
        </w:tc>
        <w:tc>
          <w:tcPr>
            <w:tcW w:type="dxa" w:w="540"/>
          </w:tcPr>
          <w:p>
            <w:pPr/>
            <w:r>
              <w:rPr>
                <w:sz w:val="18"/>
              </w:rPr>
              <w:t>N/A</w:t>
            </w:r>
          </w:p>
        </w:tc>
        <w:tc>
          <w:tcPr>
            <w:tcW w:type="dxa" w:w="540"/>
          </w:tcPr>
          <w:p>
            <w:pPr/>
            <w:r>
              <w:rPr>
                <w:sz w:val="18"/>
              </w:rPr>
              <w:t>N/A</w:t>
            </w:r>
          </w:p>
        </w:tc>
      </w:tr>
      <w:tr>
        <w:tc>
          <w:tcPr>
            <w:tcW w:type="dxa" w:w="540"/>
          </w:tcPr>
          <w:p>
            <w:pPr/>
            <w:r>
              <w:rPr>
                <w:sz w:val="18"/>
              </w:rPr>
              <w:t>**CSDC**</w:t>
            </w:r>
          </w:p>
        </w:tc>
        <w:tc>
          <w:tcPr>
            <w:tcW w:type="dxa" w:w="540"/>
          </w:tcPr>
          <w:p>
            <w:pPr/>
            <w:r>
              <w:rPr>
                <w:sz w:val="18"/>
              </w:rPr>
              <w:t>China</w:t>
            </w:r>
          </w:p>
        </w:tc>
        <w:tc>
          <w:tcPr>
            <w:tcW w:type="dxa" w:w="540"/>
          </w:tcPr>
          <w:p>
            <w:pPr/>
            <w:r>
              <w:rPr>
                <w:sz w:val="18"/>
              </w:rPr>
              <w:t>CCP+CSD</w:t>
            </w:r>
          </w:p>
        </w:tc>
        <w:tc>
          <w:tcPr>
            <w:tcW w:type="dxa" w:w="540"/>
          </w:tcPr>
          <w:p>
            <w:pPr/>
            <w:r>
              <w:rPr>
                <w:sz w:val="18"/>
              </w:rPr>
              <w:t>SSE+SZSE (50/50)</w:t>
            </w:r>
          </w:p>
        </w:tc>
        <w:tc>
          <w:tcPr>
            <w:tcW w:type="dxa" w:w="540"/>
          </w:tcPr>
          <w:p>
            <w:pPr/>
            <w:r>
              <w:rPr>
                <w:sz w:val="18"/>
              </w:rPr>
              <w:t>2001</w:t>
            </w:r>
          </w:p>
        </w:tc>
        <w:tc>
          <w:tcPr>
            <w:tcW w:type="dxa" w:w="540"/>
          </w:tcPr>
          <w:p>
            <w:pPr/>
            <w:r>
              <w:rPr>
                <w:sz w:val="18"/>
              </w:rPr>
              <w:t>A-shares, bonds, ETFs, options</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T+1</w:t>
            </w:r>
          </w:p>
        </w:tc>
        <w:tc>
          <w:tcPr>
            <w:tcW w:type="dxa" w:w="540"/>
          </w:tcPr>
          <w:p>
            <w:pPr/>
            <w:r>
              <w:rPr>
                <w:sz w:val="18"/>
              </w:rPr>
              <w:t>Model 3</w:t>
            </w:r>
          </w:p>
        </w:tc>
        <w:tc>
          <w:tcPr>
            <w:tcW w:type="dxa" w:w="540"/>
          </w:tcPr>
          <w:p>
            <w:pPr/>
            <w:r>
              <w:rPr>
                <w:sz w:val="18"/>
              </w:rPr>
              <w:t>N/A</w:t>
            </w:r>
          </w:p>
        </w:tc>
        <w:tc>
          <w:tcPr>
            <w:tcW w:type="dxa" w:w="540"/>
          </w:tcPr>
          <w:p>
            <w:pPr/>
            <w:r>
              <w:rPr>
                <w:sz w:val="18"/>
              </w:rPr>
              <w:t>N/A</w:t>
            </w:r>
          </w:p>
        </w:tc>
      </w:tr>
      <w:tr>
        <w:tc>
          <w:tcPr>
            <w:tcW w:type="dxa" w:w="540"/>
          </w:tcPr>
          <w:p>
            <w:pPr/>
            <w:r>
              <w:rPr>
                <w:sz w:val="18"/>
              </w:rPr>
              <w:t>**CCIL**</w:t>
            </w:r>
          </w:p>
        </w:tc>
        <w:tc>
          <w:tcPr>
            <w:tcW w:type="dxa" w:w="540"/>
          </w:tcPr>
          <w:p>
            <w:pPr/>
            <w:r>
              <w:rPr>
                <w:sz w:val="18"/>
              </w:rPr>
              <w:t>India</w:t>
            </w:r>
          </w:p>
        </w:tc>
        <w:tc>
          <w:tcPr>
            <w:tcW w:type="dxa" w:w="540"/>
          </w:tcPr>
          <w:p>
            <w:pPr/>
            <w:r>
              <w:rPr>
                <w:sz w:val="18"/>
              </w:rPr>
              <w:t>CCP</w:t>
            </w:r>
          </w:p>
        </w:tc>
        <w:tc>
          <w:tcPr>
            <w:tcW w:type="dxa" w:w="540"/>
          </w:tcPr>
          <w:p>
            <w:pPr/>
            <w:r>
              <w:rPr>
                <w:sz w:val="18"/>
              </w:rPr>
              <w:t>SBI + banks</w:t>
            </w:r>
          </w:p>
        </w:tc>
        <w:tc>
          <w:tcPr>
            <w:tcW w:type="dxa" w:w="540"/>
          </w:tcPr>
          <w:p>
            <w:pPr/>
            <w:r>
              <w:rPr>
                <w:sz w:val="18"/>
              </w:rPr>
              <w:t>2001</w:t>
            </w:r>
          </w:p>
        </w:tc>
        <w:tc>
          <w:tcPr>
            <w:tcW w:type="dxa" w:w="540"/>
          </w:tcPr>
          <w:p>
            <w:pPr/>
            <w:r>
              <w:rPr>
                <w:sz w:val="18"/>
              </w:rPr>
              <w:t>G-Sec, TREPS, forex, IRS</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T+0 to T+2</w:t>
            </w:r>
          </w:p>
        </w:tc>
        <w:tc>
          <w:tcPr>
            <w:tcW w:type="dxa" w:w="540"/>
          </w:tcPr>
          <w:p>
            <w:pPr/>
            <w:r>
              <w:rPr>
                <w:sz w:val="18"/>
              </w:rPr>
              <w:t>[data not available]</w:t>
            </w:r>
          </w:p>
        </w:tc>
        <w:tc>
          <w:tcPr>
            <w:tcW w:type="dxa" w:w="540"/>
          </w:tcPr>
          <w:p>
            <w:pPr/>
            <w:r>
              <w:rPr>
                <w:sz w:val="18"/>
              </w:rPr>
              <w:t>Yes (RBI; ESMA derecognized 2022-2026)</w:t>
            </w:r>
          </w:p>
        </w:tc>
        <w:tc>
          <w:tcPr>
            <w:tcW w:type="dxa" w:w="540"/>
          </w:tcPr>
          <w:p>
            <w:pPr/>
            <w:r>
              <w:rPr>
                <w:sz w:val="18"/>
              </w:rPr>
              <w:t>N/A</w:t>
            </w:r>
          </w:p>
        </w:tc>
      </w:tr>
      <w:tr>
        <w:tc>
          <w:tcPr>
            <w:tcW w:type="dxa" w:w="540"/>
          </w:tcPr>
          <w:p>
            <w:pPr/>
            <w:r>
              <w:rPr>
                <w:sz w:val="18"/>
              </w:rPr>
              <w:t>**CDS**</w:t>
            </w:r>
          </w:p>
        </w:tc>
        <w:tc>
          <w:tcPr>
            <w:tcW w:type="dxa" w:w="540"/>
          </w:tcPr>
          <w:p>
            <w:pPr/>
            <w:r>
              <w:rPr>
                <w:sz w:val="18"/>
              </w:rPr>
              <w:t>Canada</w:t>
            </w:r>
          </w:p>
        </w:tc>
        <w:tc>
          <w:tcPr>
            <w:tcW w:type="dxa" w:w="540"/>
          </w:tcPr>
          <w:p>
            <w:pPr/>
            <w:r>
              <w:rPr>
                <w:sz w:val="18"/>
              </w:rPr>
              <w:t>CCP+CSD</w:t>
            </w:r>
          </w:p>
        </w:tc>
        <w:tc>
          <w:tcPr>
            <w:tcW w:type="dxa" w:w="540"/>
          </w:tcPr>
          <w:p>
            <w:pPr/>
            <w:r>
              <w:rPr>
                <w:sz w:val="18"/>
              </w:rPr>
              <w:t>TMX Group</w:t>
            </w:r>
          </w:p>
        </w:tc>
        <w:tc>
          <w:tcPr>
            <w:tcW w:type="dxa" w:w="540"/>
          </w:tcPr>
          <w:p>
            <w:pPr/>
            <w:r>
              <w:rPr>
                <w:sz w:val="18"/>
              </w:rPr>
              <w:t>1970</w:t>
            </w:r>
          </w:p>
        </w:tc>
        <w:tc>
          <w:tcPr>
            <w:tcW w:type="dxa" w:w="540"/>
          </w:tcPr>
          <w:p>
            <w:pPr/>
            <w:r>
              <w:rPr>
                <w:sz w:val="18"/>
              </w:rPr>
              <w:t>Equities (CCP via CNS), bonds (settlement only)</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T+1</w:t>
            </w:r>
          </w:p>
        </w:tc>
        <w:tc>
          <w:tcPr>
            <w:tcW w:type="dxa" w:w="540"/>
          </w:tcPr>
          <w:p>
            <w:pPr/>
            <w:r>
              <w:rPr>
                <w:sz w:val="18"/>
              </w:rPr>
              <w:t>Model 2</w:t>
            </w:r>
          </w:p>
        </w:tc>
        <w:tc>
          <w:tcPr>
            <w:tcW w:type="dxa" w:w="540"/>
          </w:tcPr>
          <w:p>
            <w:pPr/>
            <w:r>
              <w:rPr>
                <w:sz w:val="18"/>
              </w:rPr>
              <w:t>N/A</w:t>
            </w:r>
          </w:p>
        </w:tc>
        <w:tc>
          <w:tcPr>
            <w:tcW w:type="dxa" w:w="540"/>
          </w:tcPr>
          <w:p>
            <w:pPr/>
            <w:r>
              <w:rPr>
                <w:sz w:val="18"/>
              </w:rPr>
              <w:t>Yes (BoC designated)</w:t>
            </w:r>
          </w:p>
        </w:tc>
      </w:tr>
      <w:tr>
        <w:tc>
          <w:tcPr>
            <w:tcW w:type="dxa" w:w="540"/>
          </w:tcPr>
          <w:p>
            <w:pPr/>
            <w:r>
              <w:rPr>
                <w:sz w:val="18"/>
              </w:rPr>
              <w:t>**Muqassa**</w:t>
            </w:r>
          </w:p>
        </w:tc>
        <w:tc>
          <w:tcPr>
            <w:tcW w:type="dxa" w:w="540"/>
          </w:tcPr>
          <w:p>
            <w:pPr/>
            <w:r>
              <w:rPr>
                <w:sz w:val="18"/>
              </w:rPr>
              <w:t>Saudi Arabia</w:t>
            </w:r>
          </w:p>
        </w:tc>
        <w:tc>
          <w:tcPr>
            <w:tcW w:type="dxa" w:w="540"/>
          </w:tcPr>
          <w:p>
            <w:pPr/>
            <w:r>
              <w:rPr>
                <w:sz w:val="18"/>
              </w:rPr>
              <w:t>CCP</w:t>
            </w:r>
          </w:p>
        </w:tc>
        <w:tc>
          <w:tcPr>
            <w:tcW w:type="dxa" w:w="540"/>
          </w:tcPr>
          <w:p>
            <w:pPr/>
            <w:r>
              <w:rPr>
                <w:sz w:val="18"/>
              </w:rPr>
              <w:t>Saudi Tadawul Group</w:t>
            </w:r>
          </w:p>
        </w:tc>
        <w:tc>
          <w:tcPr>
            <w:tcW w:type="dxa" w:w="540"/>
          </w:tcPr>
          <w:p>
            <w:pPr/>
            <w:r>
              <w:rPr>
                <w:sz w:val="18"/>
              </w:rPr>
              <w:t>2018</w:t>
            </w:r>
          </w:p>
        </w:tc>
        <w:tc>
          <w:tcPr>
            <w:tcW w:type="dxa" w:w="540"/>
          </w:tcPr>
          <w:p>
            <w:pPr/>
            <w:r>
              <w:rPr>
                <w:sz w:val="18"/>
              </w:rPr>
              <w:t>Equities, sukuk, derivatives, repo</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[data not available]</w:t>
            </w:r>
          </w:p>
        </w:tc>
        <w:tc>
          <w:tcPr>
            <w:tcW w:type="dxa" w:w="540"/>
          </w:tcPr>
          <w:p>
            <w:pPr/>
            <w:r>
              <w:rPr>
                <w:sz w:val="18"/>
              </w:rPr>
              <w:t>T+2</w:t>
            </w:r>
          </w:p>
        </w:tc>
        <w:tc>
          <w:tcPr>
            <w:tcW w:type="dxa" w:w="540"/>
          </w:tcPr>
          <w:p>
            <w:pPr/>
            <w:r>
              <w:rPr>
                <w:sz w:val="18"/>
              </w:rPr>
              <w:t>[data not available]</w:t>
            </w:r>
          </w:p>
        </w:tc>
        <w:tc>
          <w:tcPr>
            <w:tcW w:type="dxa" w:w="540"/>
          </w:tcPr>
          <w:p>
            <w:pPr/>
            <w:r>
              <w:rPr>
                <w:sz w:val="18"/>
              </w:rPr>
              <w:t>Yes (CMA designated)</w:t>
            </w:r>
          </w:p>
        </w:tc>
        <w:tc>
          <w:tcPr>
            <w:tcW w:type="dxa" w:w="540"/>
          </w:tcPr>
          <w:p>
            <w:pPr/>
            <w:r>
              <w:rPr>
                <w:sz w:val="18"/>
              </w:rPr>
              <w:t>N/A</w:t>
            </w:r>
          </w:p>
        </w:tc>
      </w:tr>
      <w:tr>
        <w:tc>
          <w:tcPr>
            <w:tcW w:type="dxa" w:w="540"/>
          </w:tcPr>
          <w:p>
            <w:pPr/>
            <w:r>
              <w:rPr>
                <w:sz w:val="18"/>
              </w:rPr>
              <w:t>**KRX**</w:t>
            </w:r>
          </w:p>
        </w:tc>
        <w:tc>
          <w:tcPr>
            <w:tcW w:type="dxa" w:w="540"/>
          </w:tcPr>
          <w:p>
            <w:pPr/>
            <w:r>
              <w:rPr>
                <w:sz w:val="18"/>
              </w:rPr>
              <w:t>South Korea</w:t>
            </w:r>
          </w:p>
        </w:tc>
        <w:tc>
          <w:tcPr>
            <w:tcW w:type="dxa" w:w="540"/>
          </w:tcPr>
          <w:p>
            <w:pPr/>
            <w:r>
              <w:rPr>
                <w:sz w:val="18"/>
              </w:rPr>
              <w:t>CCP (integrated exchange-CCP)</w:t>
            </w:r>
          </w:p>
        </w:tc>
        <w:tc>
          <w:tcPr>
            <w:tcW w:type="dxa" w:w="540"/>
          </w:tcPr>
          <w:p>
            <w:pPr/>
            <w:r>
              <w:rPr>
                <w:sz w:val="18"/>
              </w:rPr>
              <w:t>Public institution (FSC)</w:t>
            </w:r>
          </w:p>
        </w:tc>
        <w:tc>
          <w:tcPr>
            <w:tcW w:type="dxa" w:w="540"/>
          </w:tcPr>
          <w:p>
            <w:pPr/>
            <w:r>
              <w:rPr>
                <w:sz w:val="18"/>
              </w:rPr>
              <w:t>2005</w:t>
            </w:r>
          </w:p>
        </w:tc>
        <w:tc>
          <w:tcPr>
            <w:tcW w:type="dxa" w:w="540"/>
          </w:tcPr>
          <w:p>
            <w:pPr/>
            <w:r>
              <w:rPr>
                <w:sz w:val="18"/>
              </w:rPr>
              <w:t>Equities, derivatives, bonds, OTC IRS/CRS</w:t>
            </w:r>
          </w:p>
        </w:tc>
        <w:tc>
          <w:tcPr>
            <w:tcW w:type="dxa" w:w="540"/>
          </w:tcPr>
          <w:p>
            <w:pPr/>
            <w:r>
              <w:rPr>
                <w:sz w:val="18"/>
              </w:rPr>
              <w:t>KRX-SPAN</w:t>
            </w:r>
          </w:p>
        </w:tc>
        <w:tc>
          <w:tcPr>
            <w:tcW w:type="dxa" w:w="540"/>
          </w:tcPr>
          <w:p>
            <w:pPr/>
            <w:r>
              <w:rPr>
                <w:sz w:val="18"/>
              </w:rPr>
              <w:t>Not disclosed</w:t>
            </w:r>
          </w:p>
        </w:tc>
        <w:tc>
          <w:tcPr>
            <w:tcW w:type="dxa" w:w="540"/>
          </w:tcPr>
          <w:p>
            <w:pPr/>
            <w:r>
              <w:rPr>
                <w:sz w:val="18"/>
              </w:rPr>
              <w:t>1d / N/A</w:t>
            </w:r>
          </w:p>
        </w:tc>
        <w:tc>
          <w:tcPr>
            <w:tcW w:type="dxa" w:w="540"/>
          </w:tcPr>
          <w:p>
            <w:pPr/>
            <w:r>
              <w:rPr>
                <w:sz w:val="18"/>
              </w:rPr>
              <w:t>Cover 2 [unverified]</w:t>
            </w:r>
          </w:p>
        </w:tc>
        <w:tc>
          <w:tcPr>
            <w:tcW w:type="dxa" w:w="540"/>
          </w:tcPr>
          <w:p>
            <w:pPr/>
            <w:r>
              <w:rPr>
                <w:sz w:val="18"/>
              </w:rPr>
              <w:t>~KRW 100B (~$75M)</w:t>
            </w:r>
          </w:p>
        </w:tc>
        <w:tc>
          <w:tcPr>
            <w:tcW w:type="dxa" w:w="540"/>
          </w:tcPr>
          <w:p>
            <w:pPr/>
            <w:r>
              <w:rPr>
                <w:sz w:val="18"/>
              </w:rPr>
              <w:t>[data not available]</w:t>
            </w:r>
          </w:p>
        </w:tc>
        <w:tc>
          <w:tcPr>
            <w:tcW w:type="dxa" w:w="540"/>
          </w:tcPr>
          <w:p>
            <w:pPr/>
            <w:r>
              <w:rPr>
                <w:sz w:val="18"/>
              </w:rPr>
              <w:t>T+2</w:t>
            </w:r>
          </w:p>
        </w:tc>
        <w:tc>
          <w:tcPr>
            <w:tcW w:type="dxa" w:w="540"/>
          </w:tcPr>
          <w:p>
            <w:pPr/>
            <w:r>
              <w:rPr>
                <w:sz w:val="18"/>
              </w:rPr>
              <w:t>Model 3</w:t>
            </w:r>
          </w:p>
        </w:tc>
        <w:tc>
          <w:tcPr>
            <w:tcW w:type="dxa" w:w="540"/>
          </w:tcPr>
          <w:p>
            <w:pPr/>
            <w:r>
              <w:rPr>
                <w:sz w:val="18"/>
              </w:rPr>
              <w:t>Yes [unverified]</w:t>
            </w:r>
          </w:p>
        </w:tc>
        <w:tc>
          <w:tcPr>
            <w:tcW w:type="dxa" w:w="540"/>
          </w:tcPr>
          <w:p>
            <w:pPr/>
            <w:r>
              <w:rPr>
                <w:sz w:val="18"/>
              </w:rPr>
              <w:t>N/A</w:t>
            </w:r>
          </w:p>
        </w:tc>
      </w:tr>
      <w:tr>
        <w:tc>
          <w:tcPr>
            <w:tcW w:type="dxa" w:w="540"/>
          </w:tcPr>
          <w:p>
            <w:pPr/>
            <w:r>
              <w:rPr>
                <w:sz w:val="18"/>
              </w:rPr>
              <w:t>**KSD**</w:t>
            </w:r>
          </w:p>
        </w:tc>
        <w:tc>
          <w:tcPr>
            <w:tcW w:type="dxa" w:w="540"/>
          </w:tcPr>
          <w:p>
            <w:pPr/>
            <w:r>
              <w:rPr>
                <w:sz w:val="18"/>
              </w:rPr>
              <w:t>South Korea</w:t>
            </w:r>
          </w:p>
        </w:tc>
        <w:tc>
          <w:tcPr>
            <w:tcW w:type="dxa" w:w="540"/>
          </w:tcPr>
          <w:p>
            <w:pPr/>
            <w:r>
              <w:rPr>
                <w:sz w:val="18"/>
              </w:rPr>
              <w:t>CSD</w:t>
            </w:r>
          </w:p>
        </w:tc>
        <w:tc>
          <w:tcPr>
            <w:tcW w:type="dxa" w:w="540"/>
          </w:tcPr>
          <w:p>
            <w:pPr/>
            <w:r>
              <w:rPr>
                <w:sz w:val="18"/>
              </w:rPr>
              <w:t>Public institution (FSC)</w:t>
            </w:r>
          </w:p>
        </w:tc>
        <w:tc>
          <w:tcPr>
            <w:tcW w:type="dxa" w:w="540"/>
          </w:tcPr>
          <w:p>
            <w:pPr/>
            <w:r>
              <w:rPr>
                <w:sz w:val="18"/>
              </w:rPr>
              <w:t>1974</w:t>
            </w:r>
          </w:p>
        </w:tc>
        <w:tc>
          <w:tcPr>
            <w:tcW w:type="dxa" w:w="540"/>
          </w:tcPr>
          <w:p>
            <w:pPr/>
            <w:r>
              <w:rPr>
                <w:sz w:val="18"/>
              </w:rPr>
              <w:t>All listed securities, bonds, ETFs, funds</w:t>
            </w:r>
          </w:p>
        </w:tc>
        <w:tc>
          <w:tcPr>
            <w:tcW w:type="dxa" w:w="540"/>
          </w:tcPr>
          <w:p>
            <w:pPr/>
            <w:r>
              <w:rPr>
                <w:sz w:val="18"/>
              </w:rPr>
              <w:t>N/A (CSD)</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N/A</w:t>
            </w:r>
          </w:p>
        </w:tc>
        <w:tc>
          <w:tcPr>
            <w:tcW w:type="dxa" w:w="540"/>
          </w:tcPr>
          <w:p>
            <w:pPr/>
            <w:r>
              <w:rPr>
                <w:sz w:val="18"/>
              </w:rPr>
              <w:t>T+2</w:t>
            </w:r>
          </w:p>
        </w:tc>
        <w:tc>
          <w:tcPr>
            <w:tcW w:type="dxa" w:w="540"/>
          </w:tcPr>
          <w:p>
            <w:pPr/>
            <w:r>
              <w:rPr>
                <w:sz w:val="18"/>
              </w:rPr>
              <w:t>Model 3</w:t>
            </w:r>
          </w:p>
        </w:tc>
        <w:tc>
          <w:tcPr>
            <w:tcW w:type="dxa" w:w="540"/>
          </w:tcPr>
          <w:p>
            <w:pPr/>
            <w:r>
              <w:rPr>
                <w:sz w:val="18"/>
              </w:rPr>
              <w:t>N/A</w:t>
            </w:r>
          </w:p>
        </w:tc>
        <w:tc>
          <w:tcPr>
            <w:tcW w:type="dxa" w:w="540"/>
          </w:tcPr>
          <w:p>
            <w:pPr/>
            <w:r>
              <w:rPr>
                <w:sz w:val="18"/>
              </w:rPr>
              <w:t>N/A</w:t>
            </w:r>
          </w:p>
        </w:tc>
      </w:tr>
    </w:tbl>
    <w:p/>
    <w:p>
      <w:pPr>
        <w:pStyle w:val="Heading3"/>
      </w:pPr>
      <w:r>
        <w:t>10.2 Global Ranking by Scale</w:t>
      </w:r>
    </w:p>
    <w:p>
      <w:r>
        <w:t>By Total Initial Margin Held (approximate, most recent available data):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Rank</w:t>
            </w:r>
          </w:p>
        </w:tc>
        <w:tc>
          <w:tcPr>
            <w:tcW w:type="dxa" w:w="2160"/>
          </w:tcPr>
          <w:p>
            <w:pPr/>
            <w:r>
              <w:rPr>
                <w:b/>
                <w:sz w:val="18"/>
              </w:rPr>
              <w:t>CCP</w:t>
            </w:r>
          </w:p>
        </w:tc>
        <w:tc>
          <w:tcPr>
            <w:tcW w:type="dxa" w:w="2160"/>
          </w:tcPr>
          <w:p>
            <w:pPr/>
            <w:r>
              <w:rPr>
                <w:b/>
                <w:sz w:val="18"/>
              </w:rPr>
              <w:t>Approximate Total IM</w:t>
            </w:r>
          </w:p>
        </w:tc>
        <w:tc>
          <w:tcPr>
            <w:tcW w:type="dxa" w:w="2160"/>
          </w:tcPr>
          <w:p>
            <w:pPr/>
            <w:r>
              <w:rPr>
                <w:b/>
                <w:sz w:val="18"/>
              </w:rPr>
              <w:t>Period</w:t>
            </w:r>
          </w:p>
        </w:tc>
      </w:tr>
      <w:tr>
        <w:tc>
          <w:tcPr>
            <w:tcW w:type="dxa" w:w="2160"/>
          </w:tcPr>
          <w:p>
            <w:pPr/>
            <w:r>
              <w:rPr>
                <w:sz w:val="18"/>
              </w:rPr>
              <w:t>1</w:t>
            </w:r>
          </w:p>
        </w:tc>
        <w:tc>
          <w:tcPr>
            <w:tcW w:type="dxa" w:w="2160"/>
          </w:tcPr>
          <w:p>
            <w:pPr/>
            <w:r>
              <w:rPr>
                <w:sz w:val="18"/>
              </w:rPr>
              <w:t>**LCH Ltd** (SwapClear alone)</w:t>
            </w:r>
          </w:p>
        </w:tc>
        <w:tc>
          <w:tcPr>
            <w:tcW w:type="dxa" w:w="2160"/>
          </w:tcPr>
          <w:p>
            <w:pPr/>
            <w:r>
              <w:rPr>
                <w:sz w:val="18"/>
              </w:rPr>
              <w:t>~$240 billion</w:t>
            </w:r>
          </w:p>
        </w:tc>
        <w:tc>
          <w:tcPr>
            <w:tcW w:type="dxa" w:w="2160"/>
          </w:tcPr>
          <w:p>
            <w:pPr/>
            <w:r>
              <w:rPr>
                <w:sz w:val="18"/>
              </w:rPr>
              <w:t>Q4 2024</w:t>
            </w:r>
          </w:p>
        </w:tc>
      </w:tr>
      <w:tr>
        <w:tc>
          <w:tcPr>
            <w:tcW w:type="dxa" w:w="2160"/>
          </w:tcPr>
          <w:p>
            <w:pPr/>
            <w:r>
              <w:rPr>
                <w:sz w:val="18"/>
              </w:rPr>
              <w:t>2</w:t>
            </w:r>
          </w:p>
        </w:tc>
        <w:tc>
          <w:tcPr>
            <w:tcW w:type="dxa" w:w="2160"/>
          </w:tcPr>
          <w:p>
            <w:pPr/>
            <w:r>
              <w:rPr>
                <w:sz w:val="18"/>
              </w:rPr>
              <w:t>**OCC**</w:t>
            </w:r>
          </w:p>
        </w:tc>
        <w:tc>
          <w:tcPr>
            <w:tcW w:type="dxa" w:w="2160"/>
          </w:tcPr>
          <w:p>
            <w:pPr/>
            <w:r>
              <w:rPr>
                <w:sz w:val="18"/>
              </w:rPr>
              <w:t>~$180 billion</w:t>
            </w:r>
          </w:p>
        </w:tc>
        <w:tc>
          <w:tcPr>
            <w:tcW w:type="dxa" w:w="2160"/>
          </w:tcPr>
          <w:p>
            <w:pPr/>
            <w:r>
              <w:rPr>
                <w:sz w:val="18"/>
              </w:rPr>
              <w:t>Q3 2025</w:t>
            </w:r>
          </w:p>
        </w:tc>
      </w:tr>
      <w:tr>
        <w:tc>
          <w:tcPr>
            <w:tcW w:type="dxa" w:w="2160"/>
          </w:tcPr>
          <w:p>
            <w:pPr/>
            <w:r>
              <w:rPr>
                <w:sz w:val="18"/>
              </w:rPr>
              <w:t>3</w:t>
            </w:r>
          </w:p>
        </w:tc>
        <w:tc>
          <w:tcPr>
            <w:tcW w:type="dxa" w:w="2160"/>
          </w:tcPr>
          <w:p>
            <w:pPr/>
            <w:r>
              <w:rPr>
                <w:sz w:val="18"/>
              </w:rPr>
              <w:t>**CME Clearing**</w:t>
            </w:r>
          </w:p>
        </w:tc>
        <w:tc>
          <w:tcPr>
            <w:tcW w:type="dxa" w:w="2160"/>
          </w:tcPr>
          <w:p>
            <w:pPr/>
            <w:r>
              <w:rPr>
                <w:sz w:val="18"/>
              </w:rPr>
              <w:t>~$87.4 billion (cash at Fed, inc. IM + GF)</w:t>
            </w:r>
          </w:p>
        </w:tc>
        <w:tc>
          <w:tcPr>
            <w:tcW w:type="dxa" w:w="2160"/>
          </w:tcPr>
          <w:p>
            <w:pPr/>
            <w:r>
              <w:rPr>
                <w:sz w:val="18"/>
              </w:rPr>
              <w:t>Dec 2024</w:t>
            </w:r>
          </w:p>
        </w:tc>
      </w:tr>
      <w:tr>
        <w:tc>
          <w:tcPr>
            <w:tcW w:type="dxa" w:w="2160"/>
          </w:tcPr>
          <w:p>
            <w:pPr/>
            <w:r>
              <w:rPr>
                <w:sz w:val="18"/>
              </w:rPr>
              <w:t>4</w:t>
            </w:r>
          </w:p>
        </w:tc>
        <w:tc>
          <w:tcPr>
            <w:tcW w:type="dxa" w:w="2160"/>
          </w:tcPr>
          <w:p>
            <w:pPr/>
            <w:r>
              <w:rPr>
                <w:sz w:val="18"/>
              </w:rPr>
              <w:t>**FICC-GSD** (DTCC)</w:t>
            </w:r>
          </w:p>
        </w:tc>
        <w:tc>
          <w:tcPr>
            <w:tcW w:type="dxa" w:w="2160"/>
          </w:tcPr>
          <w:p>
            <w:pPr/>
            <w:r>
              <w:rPr>
                <w:sz w:val="18"/>
              </w:rPr>
              <w:t>~$65.5 billion</w:t>
            </w:r>
          </w:p>
        </w:tc>
        <w:tc>
          <w:tcPr>
            <w:tcW w:type="dxa" w:w="2160"/>
          </w:tcPr>
          <w:p>
            <w:pPr/>
            <w:r>
              <w:rPr>
                <w:sz w:val="18"/>
              </w:rPr>
              <w:t>Q4 2024</w:t>
            </w:r>
          </w:p>
        </w:tc>
      </w:tr>
      <w:tr>
        <w:tc>
          <w:tcPr>
            <w:tcW w:type="dxa" w:w="2160"/>
          </w:tcPr>
          <w:p>
            <w:pPr/>
            <w:r>
              <w:rPr>
                <w:sz w:val="18"/>
              </w:rPr>
              <w:t>5</w:t>
            </w:r>
          </w:p>
        </w:tc>
        <w:tc>
          <w:tcPr>
            <w:tcW w:type="dxa" w:w="2160"/>
          </w:tcPr>
          <w:p>
            <w:pPr/>
            <w:r>
              <w:rPr>
                <w:sz w:val="18"/>
              </w:rPr>
              <w:t>**Eurex Clearing**</w:t>
            </w:r>
          </w:p>
        </w:tc>
        <w:tc>
          <w:tcPr>
            <w:tcW w:type="dxa" w:w="2160"/>
          </w:tcPr>
          <w:p>
            <w:pPr/>
            <w:r>
              <w:rPr>
                <w:sz w:val="18"/>
              </w:rPr>
              <w:t>~EUR 44 billion (OTC IRS + FI + other)</w:t>
            </w:r>
          </w:p>
        </w:tc>
        <w:tc>
          <w:tcPr>
            <w:tcW w:type="dxa" w:w="2160"/>
          </w:tcPr>
          <w:p>
            <w:pPr/>
            <w:r>
              <w:rPr>
                <w:sz w:val="18"/>
              </w:rPr>
              <w:t>Q1 2025 partial</w:t>
            </w:r>
          </w:p>
        </w:tc>
      </w:tr>
      <w:tr>
        <w:tc>
          <w:tcPr>
            <w:tcW w:type="dxa" w:w="2160"/>
          </w:tcPr>
          <w:p>
            <w:pPr/>
            <w:r>
              <w:rPr>
                <w:sz w:val="18"/>
              </w:rPr>
              <w:t>6</w:t>
            </w:r>
          </w:p>
        </w:tc>
        <w:tc>
          <w:tcPr>
            <w:tcW w:type="dxa" w:w="2160"/>
          </w:tcPr>
          <w:p>
            <w:pPr/>
            <w:r>
              <w:rPr>
                <w:sz w:val="18"/>
              </w:rPr>
              <w:t>**ICE Clear U.S.**</w:t>
            </w:r>
          </w:p>
        </w:tc>
        <w:tc>
          <w:tcPr>
            <w:tcW w:type="dxa" w:w="2160"/>
          </w:tcPr>
          <w:p>
            <w:pPr/>
            <w:r>
              <w:rPr>
                <w:sz w:val="18"/>
              </w:rPr>
              <w:t>~$23 billion</w:t>
            </w:r>
          </w:p>
        </w:tc>
        <w:tc>
          <w:tcPr>
            <w:tcW w:type="dxa" w:w="2160"/>
          </w:tcPr>
          <w:p>
            <w:pPr/>
            <w:r>
              <w:rPr>
                <w:sz w:val="18"/>
              </w:rPr>
              <w:t>Q3 2025</w:t>
            </w:r>
          </w:p>
        </w:tc>
      </w:tr>
      <w:tr>
        <w:tc>
          <w:tcPr>
            <w:tcW w:type="dxa" w:w="2160"/>
          </w:tcPr>
          <w:p>
            <w:pPr/>
            <w:r>
              <w:rPr>
                <w:sz w:val="18"/>
              </w:rPr>
              <w:t>7</w:t>
            </w:r>
          </w:p>
        </w:tc>
        <w:tc>
          <w:tcPr>
            <w:tcW w:type="dxa" w:w="2160"/>
          </w:tcPr>
          <w:p>
            <w:pPr/>
            <w:r>
              <w:rPr>
                <w:sz w:val="18"/>
              </w:rPr>
              <w:t>**ICE Clear Credit**</w:t>
            </w:r>
          </w:p>
        </w:tc>
        <w:tc>
          <w:tcPr>
            <w:tcW w:type="dxa" w:w="2160"/>
          </w:tcPr>
          <w:p>
            <w:pPr/>
            <w:r>
              <w:rPr>
                <w:sz w:val="18"/>
              </w:rPr>
              <w:t>&gt;$20 billion (at Federal Reserve)</w:t>
            </w:r>
          </w:p>
        </w:tc>
        <w:tc>
          <w:tcPr>
            <w:tcW w:type="dxa" w:w="2160"/>
          </w:tcPr>
          <w:p>
            <w:pPr/>
            <w:r>
              <w:rPr>
                <w:sz w:val="18"/>
              </w:rPr>
              <w:t>2025</w:t>
            </w:r>
          </w:p>
        </w:tc>
      </w:tr>
      <w:tr>
        <w:tc>
          <w:tcPr>
            <w:tcW w:type="dxa" w:w="2160"/>
          </w:tcPr>
          <w:p>
            <w:pPr/>
            <w:r>
              <w:rPr>
                <w:sz w:val="18"/>
              </w:rPr>
              <w:t>8</w:t>
            </w:r>
          </w:p>
        </w:tc>
        <w:tc>
          <w:tcPr>
            <w:tcW w:type="dxa" w:w="2160"/>
          </w:tcPr>
          <w:p>
            <w:pPr/>
            <w:r>
              <w:rPr>
                <w:sz w:val="18"/>
              </w:rPr>
              <w:t>**NSCC** (DTCC)</w:t>
            </w:r>
          </w:p>
        </w:tc>
        <w:tc>
          <w:tcPr>
            <w:tcW w:type="dxa" w:w="2160"/>
          </w:tcPr>
          <w:p>
            <w:pPr/>
            <w:r>
              <w:rPr>
                <w:sz w:val="18"/>
              </w:rPr>
              <w:t>~$11.2 billion (Clearing Fund)</w:t>
            </w:r>
          </w:p>
        </w:tc>
        <w:tc>
          <w:tcPr>
            <w:tcW w:type="dxa" w:w="2160"/>
          </w:tcPr>
          <w:p>
            <w:pPr/>
            <w:r>
              <w:rPr>
                <w:sz w:val="18"/>
              </w:rPr>
              <w:t>2024 avg</w:t>
            </w:r>
          </w:p>
        </w:tc>
      </w:tr>
      <w:tr>
        <w:tc>
          <w:tcPr>
            <w:tcW w:type="dxa" w:w="2160"/>
          </w:tcPr>
          <w:p>
            <w:pPr/>
            <w:r>
              <w:rPr>
                <w:sz w:val="18"/>
              </w:rPr>
              <w:t>9</w:t>
            </w:r>
          </w:p>
        </w:tc>
        <w:tc>
          <w:tcPr>
            <w:tcW w:type="dxa" w:w="2160"/>
          </w:tcPr>
          <w:p>
            <w:pPr/>
            <w:r>
              <w:rPr>
                <w:sz w:val="18"/>
              </w:rPr>
              <w:t>**LCH** (ForexClear)</w:t>
            </w:r>
          </w:p>
        </w:tc>
        <w:tc>
          <w:tcPr>
            <w:tcW w:type="dxa" w:w="2160"/>
          </w:tcPr>
          <w:p>
            <w:pPr/>
            <w:r>
              <w:rPr>
                <w:sz w:val="18"/>
              </w:rPr>
              <w:t>~$10.7 billion</w:t>
            </w:r>
          </w:p>
        </w:tc>
        <w:tc>
          <w:tcPr>
            <w:tcW w:type="dxa" w:w="2160"/>
          </w:tcPr>
          <w:p>
            <w:pPr/>
            <w:r>
              <w:rPr>
                <w:sz w:val="18"/>
              </w:rPr>
              <w:t>Q2 2024</w:t>
            </w:r>
          </w:p>
        </w:tc>
      </w:tr>
      <w:tr>
        <w:tc>
          <w:tcPr>
            <w:tcW w:type="dxa" w:w="2160"/>
          </w:tcPr>
          <w:p>
            <w:pPr/>
            <w:r>
              <w:rPr>
                <w:sz w:val="18"/>
              </w:rPr>
              <w:t>10</w:t>
            </w:r>
          </w:p>
        </w:tc>
        <w:tc>
          <w:tcPr>
            <w:tcW w:type="dxa" w:w="2160"/>
          </w:tcPr>
          <w:p>
            <w:pPr/>
            <w:r>
              <w:rPr>
                <w:sz w:val="18"/>
              </w:rPr>
              <w:t>**LCH SA** (CDSClear)</w:t>
            </w:r>
          </w:p>
        </w:tc>
        <w:tc>
          <w:tcPr>
            <w:tcW w:type="dxa" w:w="2160"/>
          </w:tcPr>
          <w:p>
            <w:pPr/>
            <w:r>
              <w:rPr>
                <w:sz w:val="18"/>
              </w:rPr>
              <w:t>~$10.2 billion</w:t>
            </w:r>
          </w:p>
        </w:tc>
        <w:tc>
          <w:tcPr>
            <w:tcW w:type="dxa" w:w="2160"/>
          </w:tcPr>
          <w:p>
            <w:pPr/>
            <w:r>
              <w:rPr>
                <w:sz w:val="18"/>
              </w:rPr>
              <w:t>Q4 2024</w:t>
            </w:r>
          </w:p>
        </w:tc>
      </w:tr>
    </w:tbl>
    <w:p/>
    <w:p>
      <w:r>
        <w:t>By Default Fund Size (approximate):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Rank</w:t>
            </w:r>
          </w:p>
        </w:tc>
        <w:tc>
          <w:tcPr>
            <w:tcW w:type="dxa" w:w="2880"/>
          </w:tcPr>
          <w:p>
            <w:pPr/>
            <w:r>
              <w:rPr>
                <w:b/>
                <w:sz w:val="18"/>
              </w:rPr>
              <w:t>CCP</w:t>
            </w:r>
          </w:p>
        </w:tc>
        <w:tc>
          <w:tcPr>
            <w:tcW w:type="dxa" w:w="2880"/>
          </w:tcPr>
          <w:p>
            <w:pPr/>
            <w:r>
              <w:rPr>
                <w:b/>
                <w:sz w:val="18"/>
              </w:rPr>
              <w:t>Approximate DF Size</w:t>
            </w:r>
          </w:p>
        </w:tc>
      </w:tr>
      <w:tr>
        <w:tc>
          <w:tcPr>
            <w:tcW w:type="dxa" w:w="2880"/>
          </w:tcPr>
          <w:p>
            <w:pPr/>
            <w:r>
              <w:rPr>
                <w:sz w:val="18"/>
              </w:rPr>
              <w:t>1</w:t>
            </w:r>
          </w:p>
        </w:tc>
        <w:tc>
          <w:tcPr>
            <w:tcW w:type="dxa" w:w="2880"/>
          </w:tcPr>
          <w:p>
            <w:pPr/>
            <w:r>
              <w:rPr>
                <w:sz w:val="18"/>
              </w:rPr>
              <w:t>**OCC**</w:t>
            </w:r>
          </w:p>
        </w:tc>
        <w:tc>
          <w:tcPr>
            <w:tcW w:type="dxa" w:w="2880"/>
          </w:tcPr>
          <w:p>
            <w:pPr/>
            <w:r>
              <w:rPr>
                <w:sz w:val="18"/>
              </w:rPr>
              <w:t>~$19.5 billion</w:t>
            </w:r>
          </w:p>
        </w:tc>
      </w:tr>
      <w:tr>
        <w:tc>
          <w:tcPr>
            <w:tcW w:type="dxa" w:w="2880"/>
          </w:tcPr>
          <w:p>
            <w:pPr/>
            <w:r>
              <w:rPr>
                <w:sz w:val="18"/>
              </w:rPr>
              <w:t>2</w:t>
            </w:r>
          </w:p>
        </w:tc>
        <w:tc>
          <w:tcPr>
            <w:tcW w:type="dxa" w:w="2880"/>
          </w:tcPr>
          <w:p>
            <w:pPr/>
            <w:r>
              <w:rPr>
                <w:sz w:val="18"/>
              </w:rPr>
              <w:t>**NSCC** (DTCC)</w:t>
            </w:r>
          </w:p>
        </w:tc>
        <w:tc>
          <w:tcPr>
            <w:tcW w:type="dxa" w:w="2880"/>
          </w:tcPr>
          <w:p>
            <w:pPr/>
            <w:r>
              <w:rPr>
                <w:sz w:val="18"/>
              </w:rPr>
              <w:t>~$11.2 billion</w:t>
            </w:r>
          </w:p>
        </w:tc>
      </w:tr>
      <w:tr>
        <w:tc>
          <w:tcPr>
            <w:tcW w:type="dxa" w:w="2880"/>
          </w:tcPr>
          <w:p>
            <w:pPr/>
            <w:r>
              <w:rPr>
                <w:sz w:val="18"/>
              </w:rPr>
              <w:t>3</w:t>
            </w:r>
          </w:p>
        </w:tc>
        <w:tc>
          <w:tcPr>
            <w:tcW w:type="dxa" w:w="2880"/>
          </w:tcPr>
          <w:p>
            <w:pPr/>
            <w:r>
              <w:rPr>
                <w:sz w:val="18"/>
              </w:rPr>
              <w:t>**CME** (Base + IRS GFs)</w:t>
            </w:r>
          </w:p>
        </w:tc>
        <w:tc>
          <w:tcPr>
            <w:tcW w:type="dxa" w:w="2880"/>
          </w:tcPr>
          <w:p>
            <w:pPr/>
            <w:r>
              <w:rPr>
                <w:sz w:val="18"/>
              </w:rPr>
              <w:t>~$10.1 billion</w:t>
            </w:r>
          </w:p>
        </w:tc>
      </w:tr>
      <w:tr>
        <w:tc>
          <w:tcPr>
            <w:tcW w:type="dxa" w:w="2880"/>
          </w:tcPr>
          <w:p>
            <w:pPr/>
            <w:r>
              <w:rPr>
                <w:sz w:val="18"/>
              </w:rPr>
              <w:t>4</w:t>
            </w:r>
          </w:p>
        </w:tc>
        <w:tc>
          <w:tcPr>
            <w:tcW w:type="dxa" w:w="2880"/>
          </w:tcPr>
          <w:p>
            <w:pPr/>
            <w:r>
              <w:rPr>
                <w:sz w:val="18"/>
              </w:rPr>
              <w:t>**HKSCC**</w:t>
            </w:r>
          </w:p>
        </w:tc>
        <w:tc>
          <w:tcPr>
            <w:tcW w:type="dxa" w:w="2880"/>
          </w:tcPr>
          <w:p>
            <w:pPr/>
            <w:r>
              <w:rPr>
                <w:sz w:val="18"/>
              </w:rPr>
              <w:t>HKD 7.3 billion (~$935M)</w:t>
            </w:r>
          </w:p>
        </w:tc>
      </w:tr>
      <w:tr>
        <w:tc>
          <w:tcPr>
            <w:tcW w:type="dxa" w:w="2880"/>
          </w:tcPr>
          <w:p>
            <w:pPr/>
            <w:r>
              <w:rPr>
                <w:sz w:val="18"/>
              </w:rPr>
              <w:t>5</w:t>
            </w:r>
          </w:p>
        </w:tc>
        <w:tc>
          <w:tcPr>
            <w:tcW w:type="dxa" w:w="2880"/>
          </w:tcPr>
          <w:p>
            <w:pPr/>
            <w:r>
              <w:rPr>
                <w:sz w:val="18"/>
              </w:rPr>
              <w:t>**HKCC**</w:t>
            </w:r>
          </w:p>
        </w:tc>
        <w:tc>
          <w:tcPr>
            <w:tcW w:type="dxa" w:w="2880"/>
          </w:tcPr>
          <w:p>
            <w:pPr/>
            <w:r>
              <w:rPr>
                <w:sz w:val="18"/>
              </w:rPr>
              <w:t>HKD 7.3 billion (~$935M)</w:t>
            </w:r>
          </w:p>
        </w:tc>
      </w:tr>
      <w:tr>
        <w:tc>
          <w:tcPr>
            <w:tcW w:type="dxa" w:w="2880"/>
          </w:tcPr>
          <w:p>
            <w:pPr/>
            <w:r>
              <w:rPr>
                <w:sz w:val="18"/>
              </w:rPr>
              <w:t>6</w:t>
            </w:r>
          </w:p>
        </w:tc>
        <w:tc>
          <w:tcPr>
            <w:tcW w:type="dxa" w:w="2880"/>
          </w:tcPr>
          <w:p>
            <w:pPr/>
            <w:r>
              <w:rPr>
                <w:sz w:val="18"/>
              </w:rPr>
              <w:t>**LCH Ltd** (SwapClear)</w:t>
            </w:r>
          </w:p>
        </w:tc>
        <w:tc>
          <w:tcPr>
            <w:tcW w:type="dxa" w:w="2880"/>
          </w:tcPr>
          <w:p>
            <w:pPr/>
            <w:r>
              <w:rPr>
                <w:sz w:val="18"/>
              </w:rPr>
              <w:t>~GBP 6 billion (~$7.6B)</w:t>
            </w:r>
          </w:p>
        </w:tc>
      </w:tr>
      <w:tr>
        <w:tc>
          <w:tcPr>
            <w:tcW w:type="dxa" w:w="2880"/>
          </w:tcPr>
          <w:p>
            <w:pPr/>
            <w:r>
              <w:rPr>
                <w:sz w:val="18"/>
              </w:rPr>
              <w:t>7</w:t>
            </w:r>
          </w:p>
        </w:tc>
        <w:tc>
          <w:tcPr>
            <w:tcW w:type="dxa" w:w="2880"/>
          </w:tcPr>
          <w:p>
            <w:pPr/>
            <w:r>
              <w:rPr>
                <w:sz w:val="18"/>
              </w:rPr>
              <w:t>**ICE Clear Europe** (F&amp;O)</w:t>
            </w:r>
          </w:p>
        </w:tc>
        <w:tc>
          <w:tcPr>
            <w:tcW w:type="dxa" w:w="2880"/>
          </w:tcPr>
          <w:p>
            <w:pPr/>
            <w:r>
              <w:rPr>
                <w:sz w:val="18"/>
              </w:rPr>
              <w:t>~$2.9 billion</w:t>
            </w:r>
          </w:p>
        </w:tc>
      </w:tr>
      <w:tr>
        <w:tc>
          <w:tcPr>
            <w:tcW w:type="dxa" w:w="2880"/>
          </w:tcPr>
          <w:p>
            <w:pPr/>
            <w:r>
              <w:rPr>
                <w:sz w:val="18"/>
              </w:rPr>
              <w:t>8</w:t>
            </w:r>
          </w:p>
        </w:tc>
        <w:tc>
          <w:tcPr>
            <w:tcW w:type="dxa" w:w="2880"/>
          </w:tcPr>
          <w:p>
            <w:pPr/>
            <w:r>
              <w:rPr>
                <w:sz w:val="18"/>
              </w:rPr>
              <w:t>**Eurex Clearing**</w:t>
            </w:r>
          </w:p>
        </w:tc>
        <w:tc>
          <w:tcPr>
            <w:tcW w:type="dxa" w:w="2880"/>
          </w:tcPr>
          <w:p>
            <w:pPr/>
            <w:r>
              <w:rPr>
                <w:sz w:val="18"/>
              </w:rPr>
              <w:t>~EUR 3 billion</w:t>
            </w:r>
          </w:p>
        </w:tc>
      </w:tr>
      <w:tr>
        <w:tc>
          <w:tcPr>
            <w:tcW w:type="dxa" w:w="2880"/>
          </w:tcPr>
          <w:p>
            <w:pPr/>
            <w:r>
              <w:rPr>
                <w:sz w:val="18"/>
              </w:rPr>
              <w:t>9</w:t>
            </w:r>
          </w:p>
        </w:tc>
        <w:tc>
          <w:tcPr>
            <w:tcW w:type="dxa" w:w="2880"/>
          </w:tcPr>
          <w:p>
            <w:pPr/>
            <w:r>
              <w:rPr>
                <w:sz w:val="18"/>
              </w:rPr>
              <w:t>**LCH SA** (CDSClear)</w:t>
            </w:r>
          </w:p>
        </w:tc>
        <w:tc>
          <w:tcPr>
            <w:tcW w:type="dxa" w:w="2880"/>
          </w:tcPr>
          <w:p>
            <w:pPr/>
            <w:r>
              <w:rPr>
                <w:sz w:val="18"/>
              </w:rPr>
              <w:t>~EUR 2.77 billion</w:t>
            </w:r>
          </w:p>
        </w:tc>
      </w:tr>
      <w:tr>
        <w:tc>
          <w:tcPr>
            <w:tcW w:type="dxa" w:w="2880"/>
          </w:tcPr>
          <w:p>
            <w:pPr/>
            <w:r>
              <w:rPr>
                <w:sz w:val="18"/>
              </w:rPr>
              <w:t>10</w:t>
            </w:r>
          </w:p>
        </w:tc>
        <w:tc>
          <w:tcPr>
            <w:tcW w:type="dxa" w:w="2880"/>
          </w:tcPr>
          <w:p>
            <w:pPr/>
            <w:r>
              <w:rPr>
                <w:sz w:val="18"/>
              </w:rPr>
              <w:t>**ASX Clear (Futures)**</w:t>
            </w:r>
          </w:p>
        </w:tc>
        <w:tc>
          <w:tcPr>
            <w:tcW w:type="dxa" w:w="2880"/>
          </w:tcPr>
          <w:p>
            <w:pPr/>
            <w:r>
              <w:rPr>
                <w:sz w:val="18"/>
              </w:rPr>
              <w:t>AUD 650 million (~$430M)</w:t>
            </w:r>
          </w:p>
        </w:tc>
      </w:tr>
    </w:tbl>
    <w:p/>
    <w:p>
      <w:r>
        <w:t>By Assets Under Custody (CSDs):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Rank</w:t>
            </w:r>
          </w:p>
        </w:tc>
        <w:tc>
          <w:tcPr>
            <w:tcW w:type="dxa" w:w="2880"/>
          </w:tcPr>
          <w:p>
            <w:pPr/>
            <w:r>
              <w:rPr>
                <w:b/>
                <w:sz w:val="18"/>
              </w:rPr>
              <w:t>CSD</w:t>
            </w:r>
          </w:p>
        </w:tc>
        <w:tc>
          <w:tcPr>
            <w:tcW w:type="dxa" w:w="2880"/>
          </w:tcPr>
          <w:p>
            <w:pPr/>
            <w:r>
              <w:rPr>
                <w:b/>
                <w:sz w:val="18"/>
              </w:rPr>
              <w:t>Approximate AUC</w:t>
            </w:r>
          </w:p>
        </w:tc>
      </w:tr>
      <w:tr>
        <w:tc>
          <w:tcPr>
            <w:tcW w:type="dxa" w:w="2880"/>
          </w:tcPr>
          <w:p>
            <w:pPr/>
            <w:r>
              <w:rPr>
                <w:sz w:val="18"/>
              </w:rPr>
              <w:t>1</w:t>
            </w:r>
          </w:p>
        </w:tc>
        <w:tc>
          <w:tcPr>
            <w:tcW w:type="dxa" w:w="2880"/>
          </w:tcPr>
          <w:p>
            <w:pPr/>
            <w:r>
              <w:rPr>
                <w:sz w:val="18"/>
              </w:rPr>
              <w:t>**DTC** (DTCC)</w:t>
            </w:r>
          </w:p>
        </w:tc>
        <w:tc>
          <w:tcPr>
            <w:tcW w:type="dxa" w:w="2880"/>
          </w:tcPr>
          <w:p>
            <w:pPr/>
            <w:r>
              <w:rPr>
                <w:sz w:val="18"/>
              </w:rPr>
              <w:t>$100+ trillion</w:t>
            </w:r>
          </w:p>
        </w:tc>
      </w:tr>
      <w:tr>
        <w:tc>
          <w:tcPr>
            <w:tcW w:type="dxa" w:w="2880"/>
          </w:tcPr>
          <w:p>
            <w:pPr/>
            <w:r>
              <w:rPr>
                <w:sz w:val="18"/>
              </w:rPr>
              <w:t>2</w:t>
            </w:r>
          </w:p>
        </w:tc>
        <w:tc>
          <w:tcPr>
            <w:tcW w:type="dxa" w:w="2880"/>
          </w:tcPr>
          <w:p>
            <w:pPr/>
            <w:r>
              <w:rPr>
                <w:sz w:val="18"/>
              </w:rPr>
              <w:t>**Euroclear** (Group)</w:t>
            </w:r>
          </w:p>
        </w:tc>
        <w:tc>
          <w:tcPr>
            <w:tcW w:type="dxa" w:w="2880"/>
          </w:tcPr>
          <w:p>
            <w:pPr/>
            <w:r>
              <w:rPr>
                <w:sz w:val="18"/>
              </w:rPr>
              <w:t>EUR 42.5 trillion</w:t>
            </w:r>
          </w:p>
        </w:tc>
      </w:tr>
      <w:tr>
        <w:tc>
          <w:tcPr>
            <w:tcW w:type="dxa" w:w="2880"/>
          </w:tcPr>
          <w:p>
            <w:pPr/>
            <w:r>
              <w:rPr>
                <w:sz w:val="18"/>
              </w:rPr>
              <w:t>3</w:t>
            </w:r>
          </w:p>
        </w:tc>
        <w:tc>
          <w:tcPr>
            <w:tcW w:type="dxa" w:w="2880"/>
          </w:tcPr>
          <w:p>
            <w:pPr/>
            <w:r>
              <w:rPr>
                <w:sz w:val="18"/>
              </w:rPr>
              <w:t>**Clearstream** (Group)</w:t>
            </w:r>
          </w:p>
        </w:tc>
        <w:tc>
          <w:tcPr>
            <w:tcW w:type="dxa" w:w="2880"/>
          </w:tcPr>
          <w:p>
            <w:pPr/>
            <w:r>
              <w:rPr>
                <w:sz w:val="18"/>
              </w:rPr>
              <w:t>EUR 20+ trillion</w:t>
            </w:r>
          </w:p>
        </w:tc>
      </w:tr>
      <w:tr>
        <w:tc>
          <w:tcPr>
            <w:tcW w:type="dxa" w:w="2880"/>
          </w:tcPr>
          <w:p>
            <w:pPr/>
            <w:r>
              <w:rPr>
                <w:sz w:val="18"/>
              </w:rPr>
              <w:t>4</w:t>
            </w:r>
          </w:p>
        </w:tc>
        <w:tc>
          <w:tcPr>
            <w:tcW w:type="dxa" w:w="2880"/>
          </w:tcPr>
          <w:p>
            <w:pPr/>
            <w:r>
              <w:rPr>
                <w:sz w:val="18"/>
              </w:rPr>
              <w:t>**CSDC** (ChinaClear)</w:t>
            </w:r>
          </w:p>
        </w:tc>
        <w:tc>
          <w:tcPr>
            <w:tcW w:type="dxa" w:w="2880"/>
          </w:tcPr>
          <w:p>
            <w:pPr/>
            <w:r>
              <w:rPr>
                <w:sz w:val="18"/>
              </w:rPr>
              <w:t>RMB 11.05 quadrillion (~$1.5 quadrillion) [note: this figure may represent custody value rather than AUC]</w:t>
            </w:r>
          </w:p>
        </w:tc>
      </w:tr>
      <w:tr>
        <w:tc>
          <w:tcPr>
            <w:tcW w:type="dxa" w:w="2880"/>
          </w:tcPr>
          <w:p>
            <w:pPr/>
            <w:r>
              <w:rPr>
                <w:sz w:val="18"/>
              </w:rPr>
              <w:t>5</w:t>
            </w:r>
          </w:p>
        </w:tc>
        <w:tc>
          <w:tcPr>
            <w:tcW w:type="dxa" w:w="2880"/>
          </w:tcPr>
          <w:p>
            <w:pPr/>
            <w:r>
              <w:rPr>
                <w:sz w:val="18"/>
              </w:rPr>
              <w:t>**KSD** (Korea)</w:t>
            </w:r>
          </w:p>
        </w:tc>
        <w:tc>
          <w:tcPr>
            <w:tcW w:type="dxa" w:w="2880"/>
          </w:tcPr>
          <w:p>
            <w:pPr/>
            <w:r>
              <w:rPr>
                <w:sz w:val="18"/>
              </w:rPr>
              <w:t>KRW 3,149 trillion (~$2.4 trillion) [data as of 2014]</w:t>
            </w:r>
          </w:p>
        </w:tc>
      </w:tr>
    </w:tbl>
    <w:p/>
    <w:p>
      <w:pPr>
        <w:pStyle w:val="Heading3"/>
      </w:pPr>
      <w:r>
        <w:t>10.3 KRX/KSD Positioning</w:t>
      </w:r>
    </w:p>
    <w:p>
      <w:r>
        <w:t>Korea's post-trade infrastructure, centered on KRX (as CCP) and KSD (as CSD), can be benchmarked against global peers across key dimensions:</w:t>
      </w:r>
    </w:p>
    <w:p>
      <w:r>
        <w:t>Structural Model:</w:t>
      </w:r>
    </w:p>
    <w:p>
      <w:pPr>
        <w:pStyle w:val="ListBullet"/>
      </w:pPr>
      <w:r>
        <w:t>KRX operates as an integrated exchange-CCP entity (similar to pre-reform structures), while most Tier 1 peers separate exchange and CCP functions (e.g., JPX/JSCC, HKEX/HKSCC, CME Group/CME Clearing)</w:t>
      </w:r>
    </w:p>
    <w:p>
      <w:pPr>
        <w:pStyle w:val="ListBullet"/>
      </w:pPr>
      <w:r>
        <w:t>KSD operates as a separate CSD, comparable to JASDEC (Japan), Clearstream (Germany), or HKSCC's depository function</w:t>
      </w:r>
    </w:p>
    <w:p>
      <w:pPr>
        <w:pStyle w:val="ListBullet"/>
      </w:pPr>
      <w:r>
        <w:t>The KRX-KSD split mirrors the CDP-SGX-DC model in Singapore and the JSCC-JASDEC model in Japan</w:t>
      </w:r>
    </w:p>
    <w:p>
      <w:r>
        <w:t>Margin Methodology:</w:t>
      </w:r>
    </w:p>
    <w:p>
      <w:pPr>
        <w:pStyle w:val="ListBullet"/>
      </w:pPr>
      <w:r>
        <w:t>KRX uses KRX-SPAN (modified SPAN) for listed derivatives -- placing it alongside HKCC (PRiME/SPAN) and ASX Clear (Futures) (SPAN) in the SPAN-based group</w:t>
      </w:r>
    </w:p>
    <w:p>
      <w:pPr>
        <w:pStyle w:val="ListBullet"/>
      </w:pPr>
      <w:r>
        <w:t>The global trend is moving away from SPAN toward VaR/ES-based methods (CME SPAN 2, JSCC VaR, Eurex Prisma, ICE IRM 2). KRX may consider a similar migration to align with global best practices</w:t>
      </w:r>
    </w:p>
    <w:p>
      <w:pPr>
        <w:pStyle w:val="ListBullet"/>
      </w:pPr>
      <w:r>
        <w:t>For OTC clearing, KRX uses a VaR-based method, consistent with the global standard</w:t>
      </w:r>
    </w:p>
    <w:p>
      <w:r>
        <w:t>Settlement Cycle:</w:t>
      </w:r>
    </w:p>
    <w:p>
      <w:pPr>
        <w:pStyle w:val="ListBullet"/>
      </w:pPr>
      <w:r>
        <w:t>KRX operates at T+2 for equities, in line with Japan (T+2), Hong Kong (T+2), Singapore (T+2), Australia (T+2), and the EU (T+2)</w:t>
      </w:r>
    </w:p>
    <w:p>
      <w:pPr>
        <w:pStyle w:val="ListBullet"/>
      </w:pPr>
      <w:r>
        <w:t>The U.S. and Canada moved to T+1 in May 2024; India achieved T+1 in January 2023; China operates at T+1</w:t>
      </w:r>
    </w:p>
    <w:p>
      <w:pPr>
        <w:pStyle w:val="ListBullet"/>
      </w:pPr>
      <w:r>
        <w:t>Korea is monitoring the global T+1 trend but has not announced a formal transition timeline</w:t>
      </w:r>
    </w:p>
    <w:p>
      <w:pPr>
        <w:pStyle w:val="ListBullet"/>
      </w:pPr>
      <w:r>
        <w:t>KRX settles government bonds at T+1, comparable to Japan (T+1 for JGBs since May 2018)</w:t>
      </w:r>
    </w:p>
    <w:p>
      <w:r>
        <w:t>Default Waterfall:</w:t>
      </w:r>
    </w:p>
    <w:p>
      <w:pPr>
        <w:pStyle w:val="ListBullet"/>
      </w:pPr>
      <w:r>
        <w:t>KRX's Joint Compensation Fund for derivatives is estimated at ~KRW 100 billion (~$75M), comparable in scale to CDP's S$80M but significantly smaller than Tier 1 CCPs</w:t>
      </w:r>
    </w:p>
    <w:p>
      <w:pPr>
        <w:pStyle w:val="ListBullet"/>
      </w:pPr>
      <w:r>
        <w:t>KRX places its own SITG contribution in the waterfall before non-defaulting members' resources, consistent with global best practice</w:t>
      </w:r>
    </w:p>
    <w:p>
      <w:pPr>
        <w:pStyle w:val="ListBullet"/>
      </w:pPr>
      <w:r>
        <w:t>The structure follows the "defaulter pays first" principle, standard across all major CCPs</w:t>
      </w:r>
    </w:p>
    <w:p>
      <w:r>
        <w:t>OTC Clearing Scope:</w:t>
      </w:r>
    </w:p>
    <w:p>
      <w:pPr>
        <w:pStyle w:val="ListBullet"/>
      </w:pPr>
      <w:r>
        <w:t>KRX's OTC clearing scope (KRW IRS, KRW CRS) is narrower than JSCC (JPY IRS + CDS + JGB), LCH (multi-currency IRS + FX + CDS), or CME (multi-currency IRS + FX)</w:t>
      </w:r>
    </w:p>
    <w:p>
      <w:pPr>
        <w:pStyle w:val="ListBullet"/>
      </w:pPr>
      <w:r>
        <w:t>Expanding OTC clearing mandates and product coverage would align with global trends and G20 commitments</w:t>
      </w:r>
    </w:p>
    <w:p>
      <w:r>
        <w:t>Technology:</w:t>
      </w:r>
    </w:p>
    <w:p>
      <w:pPr>
        <w:pStyle w:val="ListBullet"/>
      </w:pPr>
      <w:r>
        <w:t>KRX uses EXTURE+ (KOSCOM-developed, 2014), an integrated exchange-clearing platform with ~30-50 microsecond latency and 100,000+ TPS. KSD operates dedicated settlement systems with ISO 20022 adoption and SWIFT connectivity. KRX has begun exporting its clearing/settlement technology (Thai Stock Exchange contract, April 2025). KSD's security token mandatory registration framework (effective January 2027) positions Korea as an early mover in DLT-based securities infrastructure.</w:t>
      </w:r>
    </w:p>
    <w:p>
      <w:pPr>
        <w:pStyle w:val="ListBullet"/>
      </w:pPr>
      <w:r>
        <w:t>Peers are investing heavily in cloud migration (DTCC-AWS, OCC-AWS, CME-Google Cloud, LCH-AWS/Azure, Eurex-Google Cloud) and DLT-based initiatives</w:t>
      </w:r>
    </w:p>
    <w:p>
      <w:pPr>
        <w:pStyle w:val="ListBullet"/>
      </w:pPr>
      <w:r>
        <w:t>The CHESS replacement failure at ASX (AUD 250M write-off) provides a cautionary example for technology modernization projects</w:t>
      </w:r>
    </w:p>
    <w:p>
      <w:r>
        <w:t>Regulatory Framework:</w:t>
      </w:r>
    </w:p>
    <w:p>
      <w:pPr>
        <w:pStyle w:val="ListBullet"/>
      </w:pPr>
      <w:r>
        <w:t>Korea's FSC/FSS oversight is comparable to Japan's JFSA/BOJ and Hong Kong's SFC/HKMA dual-regulator models</w:t>
      </w:r>
    </w:p>
    <w:p>
      <w:pPr>
        <w:pStyle w:val="ListBullet"/>
      </w:pPr>
      <w:r>
        <w:t>Korea does not have a dedicated CCP recovery and resolution regime, similar to Japan, Hong Kong, Singapore, and Australia -- unlike the EU (CCP RRR fully applicable since February 2023) and the U.S. (Dodd-Frank Title VIII/Title II)</w:t>
      </w:r>
    </w:p>
    <w:p>
      <w:pPr>
        <w:pStyle w:val="ListBullet"/>
      </w:pPr>
      <w:r>
        <w:t>Developing a CCP R&amp;R framework would align with FSB Key Attributes and global best practices</w:t>
      </w:r>
    </w:p>
    <w:p>
      <w:r>
        <w:t>Key Recommendations for KRX/KSD:</w:t>
      </w:r>
    </w:p>
    <w:p>
      <w:pPr>
        <w:pStyle w:val="ListNumber"/>
      </w:pPr>
      <w:r>
        <w:t>Margin methodology upgrade: Consider migrating from KRX-SPAN to a VaR/ES-based methodology (following JSCC's 2023 precedent)</w:t>
      </w:r>
    </w:p>
    <w:p>
      <w:pPr>
        <w:pStyle w:val="ListNumber"/>
      </w:pPr>
      <w:r>
        <w:t>T+1 readiness: Begin industry consultation and system readiness assessment for potential T+1 migration, monitoring UK/EU timelines (2027 target)</w:t>
      </w:r>
    </w:p>
    <w:p>
      <w:pPr>
        <w:pStyle w:val="ListNumber"/>
      </w:pPr>
      <w:r>
        <w:t>OTC clearing expansion: Evaluate expanding OTC clearing mandates to additional currency pairs and product types</w:t>
      </w:r>
    </w:p>
    <w:p>
      <w:pPr>
        <w:pStyle w:val="ListNumber"/>
      </w:pPr>
      <w:r>
        <w:t>CCP R&amp;R framework: Advocate for dedicated CCP recovery and resolution legislation</w:t>
      </w:r>
    </w:p>
    <w:p>
      <w:pPr>
        <w:pStyle w:val="ListNumber"/>
      </w:pPr>
      <w:r>
        <w:t>Technology modernization: Assess cloud migration opportunities and DLT/tokenization pilots for collateral management</w:t>
      </w:r>
    </w:p>
    <w:p>
      <w:pPr>
        <w:pStyle w:val="ListNumber"/>
      </w:pPr>
      <w:r>
        <w:t>Cross-border connectivity: Leverage existing KSD links with Euroclear/Clearstream/DTC; explore deeper integration with regional CCPs (JSCC, HKSCC) for cross-border clearing arrangements</w:t>
      </w:r>
    </w:p>
    <w:p>
      <w:r>
        <w:t>────────────────────────────────────────────────────────────</w:t>
      </w:r>
    </w:p>
    <w:p>
      <w:pPr>
        <w:pStyle w:val="Heading2"/>
      </w:pPr>
      <w:r>
        <w:t>Sources</w:t>
      </w:r>
    </w:p>
    <w:p>
      <w:pPr>
        <w:pStyle w:val="Heading3"/>
      </w:pPr>
      <w:r>
        <w:t>Individual Organization Files</w:t>
      </w:r>
    </w:p>
    <w:p>
      <w:pPr>
        <w:pStyle w:val="ListBullet"/>
      </w:pPr>
      <w:r>
        <w:t>`en/organizations/dtcc.md` -- DTCC (DTC/NSCC/FICC) deep dive</w:t>
      </w:r>
    </w:p>
    <w:p>
      <w:pPr>
        <w:pStyle w:val="ListBullet"/>
      </w:pPr>
      <w:r>
        <w:t>`en/organizations/lch.md` -- LCH (Ltd &amp; SA) deep dive</w:t>
      </w:r>
    </w:p>
    <w:p>
      <w:pPr>
        <w:pStyle w:val="ListBullet"/>
      </w:pPr>
      <w:r>
        <w:t>`en/organizations/occ.md` -- OCC deep dive</w:t>
      </w:r>
    </w:p>
    <w:p>
      <w:pPr>
        <w:pStyle w:val="ListBullet"/>
      </w:pPr>
      <w:r>
        <w:t>`en/organizations/cme_clearing.md` -- CME Clearing deep dive</w:t>
      </w:r>
    </w:p>
    <w:p>
      <w:pPr>
        <w:pStyle w:val="ListBullet"/>
      </w:pPr>
      <w:r>
        <w:t>`en/organizations/eurex_clearing.md` -- Eurex Clearing deep dive</w:t>
      </w:r>
    </w:p>
    <w:p>
      <w:pPr>
        <w:pStyle w:val="ListBullet"/>
      </w:pPr>
      <w:r>
        <w:t>`en/organizations/jscc.md` -- JSCC standard review</w:t>
      </w:r>
    </w:p>
    <w:p>
      <w:pPr>
        <w:pStyle w:val="ListBullet"/>
      </w:pPr>
      <w:r>
        <w:t>`en/organizations/hkex_clearing.md` -- HKEX Clearing (HKSCC/HKCC/SEOCH) standard review</w:t>
      </w:r>
    </w:p>
    <w:p>
      <w:pPr>
        <w:pStyle w:val="ListBullet"/>
      </w:pPr>
      <w:r>
        <w:t>`en/organizations/cdp.md` -- CDP (Singapore) standard review</w:t>
      </w:r>
    </w:p>
    <w:p>
      <w:pPr>
        <w:pStyle w:val="ListBullet"/>
      </w:pPr>
      <w:r>
        <w:t>`en/organizations/euroccp.md` -- Cboe Clear Europe standard review</w:t>
      </w:r>
    </w:p>
    <w:p>
      <w:pPr>
        <w:pStyle w:val="ListBullet"/>
      </w:pPr>
      <w:r>
        <w:t>`en/organizations/ice_clear.md` -- ICE Clear (U.S./Europe/Credit) standard review</w:t>
      </w:r>
    </w:p>
    <w:p>
      <w:pPr>
        <w:pStyle w:val="ListBullet"/>
      </w:pPr>
      <w:r>
        <w:t>`en/organizations/asx_clear.md` -- ASX Clear standard review</w:t>
      </w:r>
    </w:p>
    <w:p>
      <w:pPr>
        <w:pStyle w:val="ListBullet"/>
      </w:pPr>
      <w:r>
        <w:t>`en/organizations/six_xclear.md` -- SIX x-clear overview</w:t>
      </w:r>
    </w:p>
    <w:p>
      <w:pPr>
        <w:pStyle w:val="ListBullet"/>
      </w:pPr>
      <w:r>
        <w:t>`en/organizations/euroclear.md` -- Euroclear overview</w:t>
      </w:r>
    </w:p>
    <w:p>
      <w:pPr>
        <w:pStyle w:val="ListBullet"/>
      </w:pPr>
      <w:r>
        <w:t>`en/organizations/clearstream.md` -- Clearstream overview</w:t>
      </w:r>
    </w:p>
    <w:p>
      <w:pPr>
        <w:pStyle w:val="ListBullet"/>
      </w:pPr>
      <w:r>
        <w:t>`en/organizations/csdc.md` -- CSDC/ChinaClear overview</w:t>
      </w:r>
    </w:p>
    <w:p>
      <w:pPr>
        <w:pStyle w:val="ListBullet"/>
      </w:pPr>
      <w:r>
        <w:t>`en/organizations/ccil.md` -- CCIL overview</w:t>
      </w:r>
    </w:p>
    <w:p>
      <w:pPr>
        <w:pStyle w:val="ListBullet"/>
      </w:pPr>
      <w:r>
        <w:t>`en/organizations/cds_canada.md` -- CDS Canada overview</w:t>
      </w:r>
    </w:p>
    <w:p>
      <w:pPr>
        <w:pStyle w:val="ListBullet"/>
      </w:pPr>
      <w:r>
        <w:t>`en/organizations/muqassa.md` -- Muqassa overview</w:t>
      </w:r>
    </w:p>
    <w:p>
      <w:pPr>
        <w:pStyle w:val="Heading3"/>
      </w:pPr>
      <w:r>
        <w:t>System Files</w:t>
      </w:r>
    </w:p>
    <w:p>
      <w:pPr>
        <w:pStyle w:val="ListBullet"/>
      </w:pPr>
      <w:r>
        <w:t>`en/systems/dtcc_systems.md` -- DTCC core systems (CNS, DTC Settlement, FICC RTTM, Project Ion)</w:t>
      </w:r>
    </w:p>
    <w:p>
      <w:pPr>
        <w:pStyle w:val="ListBullet"/>
      </w:pPr>
      <w:r>
        <w:t>`en/systems/lch_systems.md` -- LCH platforms (MCCP, SwapClear/Murex, PAIRS engine)</w:t>
      </w:r>
    </w:p>
    <w:p>
      <w:pPr>
        <w:pStyle w:val="ListBullet"/>
      </w:pPr>
      <w:r>
        <w:t>`en/systems/eurex_clearing_prisma.md` -- Eurex C7 architecture and Prisma margin engine</w:t>
      </w:r>
    </w:p>
    <w:p>
      <w:pPr>
        <w:pStyle w:val="Heading3"/>
      </w:pPr>
      <w:r>
        <w:t>Regulation Files</w:t>
      </w:r>
    </w:p>
    <w:p>
      <w:pPr>
        <w:pStyle w:val="ListBullet"/>
      </w:pPr>
      <w:r>
        <w:t>`en/regulations/us_clearing_regulation.md` -- U.S. clearing regulatory framework</w:t>
      </w:r>
    </w:p>
    <w:p>
      <w:pPr>
        <w:pStyle w:val="ListBullet"/>
      </w:pPr>
      <w:r>
        <w:t>`en/regulations/eu_clearing_regulation.md` -- EU clearing regulatory framework (EMIR, CSDR)</w:t>
      </w:r>
    </w:p>
    <w:p>
      <w:pPr>
        <w:pStyle w:val="ListBullet"/>
      </w:pPr>
      <w:r>
        <w:t>`en/regulations/asia_clearing_regulation.md` -- Asia-Pacific clearing regulatory frameworks (Japan, Hong Kong, Singapore, Australia, Korea, India, China)</w:t>
      </w:r>
    </w:p>
    <w:p>
      <w:pPr>
        <w:pStyle w:val="Heading3"/>
      </w:pPr>
      <w:r>
        <w:t>External Data Sources Referenced</w:t>
      </w:r>
    </w:p>
    <w:p>
      <w:pPr>
        <w:pStyle w:val="ListBullet"/>
      </w:pPr>
      <w:r>
        <w:t>CPMI-IOSCO Public Quantitative Disclosures (quarterly, per CCP)</w:t>
      </w:r>
    </w:p>
    <w:p>
      <w:pPr>
        <w:pStyle w:val="ListBullet"/>
      </w:pPr>
      <w:r>
        <w:t>CCP Global PQD Quarterly Trends Reports</w:t>
      </w:r>
    </w:p>
    <w:p>
      <w:pPr>
        <w:pStyle w:val="ListBullet"/>
      </w:pPr>
      <w:r>
        <w:t>Clarus Financial Technology (CCP volumes and market share analysis)</w:t>
      </w:r>
    </w:p>
    <w:p>
      <w:pPr>
        <w:pStyle w:val="ListBullet"/>
      </w:pPr>
      <w:r>
        <w:t>BIS Red Book (payment and settlement systems by country)</w:t>
      </w:r>
    </w:p>
    <w:p>
      <w:pPr>
        <w:pStyle w:val="ListBullet"/>
      </w:pPr>
      <w:r>
        <w:t>IMF FSAP assessments</w:t>
      </w:r>
    </w:p>
    <w:p>
      <w:pPr>
        <w:pStyle w:val="ListBullet"/>
      </w:pPr>
      <w:r>
        <w:t>FSB annual resolution reports</w:t>
      </w:r>
    </w:p>
    <w:p>
      <w:pPr>
        <w:pStyle w:val="ListBullet"/>
      </w:pPr>
      <w:r>
        <w:t>ESMA CCP stress test reports</w:t>
      </w:r>
    </w:p>
    <w:p>
      <w:pPr>
        <w:pStyle w:val="ListBullet"/>
      </w:pPr>
      <w:r>
        <w:t>RBA annual assessments of ASX clearing and settlement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