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Clearing Corporation of India Limited (CCIL)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3 (Overview)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CCP (Central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The Clearing Corporation of India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CCIL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India / Mumbai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https://www.ccilindia.com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April 2001; operations commenced February 2002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Promoted by State Bank of India (SBI); shareholders include major Indian banks, primary dealers, and financial institutions </w:t>
            </w:r>
            <w:r>
              <w:rPr>
                <w:rFonts w:ascii="Calibri" w:hAnsi="Calibri"/>
                <w:color w:val="0563C1"/>
                <w:u w:val="single"/>
              </w:rPr>
              <w:t>Source: [CCIL Promoters/Shareholders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Paid-up Preference Share Capital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Rs 50 crore (5 crore 8.5% Redeemable Non-Convertible Cumulative Preference Shares) </w:t>
            </w:r>
            <w:r>
              <w:rPr>
                <w:rFonts w:ascii="Calibri" w:hAnsi="Calibri"/>
                <w:color w:val="0563C1"/>
                <w:u w:val="single"/>
              </w:rPr>
              <w:t>Source: [CCIL Company Profile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Net Worth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Rs 5,903 crore (as of 30 September 2024) </w:t>
            </w:r>
            <w:r>
              <w:rPr>
                <w:rFonts w:ascii="Calibri" w:hAnsi="Calibri"/>
                <w:color w:val="0563C1"/>
                <w:u w:val="single"/>
              </w:rPr>
              <w:t>Source: [ICRA Rating Report Feb 2025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Reserve Bank of India (RBI) -- authorized under the Payment and Settlement Systems Act, 2007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Yes -- granted by RBI (2014) based on compliance with PFMI standards </w:t>
            </w:r>
            <w:r>
              <w:rPr>
                <w:rFonts w:ascii="Calibri" w:hAnsi="Calibri"/>
                <w:color w:val="0563C1"/>
                <w:u w:val="single"/>
              </w:rPr>
              <w:t>Source: [Global Custodian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Designated as critical Financial Market Infrastructure (FMI) by RBI in July 2013; publishes PFMI qualitative and quantitative disclosures </w:t>
            </w:r>
            <w:r>
              <w:rPr>
                <w:rFonts w:ascii="Calibri" w:hAnsi="Calibri"/>
                <w:color w:val="0563C1"/>
                <w:u w:val="single"/>
              </w:rPr>
              <w:t>Source: [CCIL PFMI Disclosures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Credit Rating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AAA (Stable) by ICRA and CARE </w:t>
            </w:r>
            <w:r>
              <w:rPr>
                <w:rFonts w:ascii="Calibri" w:hAnsi="Calibri"/>
                <w:color w:val="0563C1"/>
                <w:u w:val="single"/>
              </w:rPr>
              <w:t>Source: [CARE Rating Mar 2025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Subsidiary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ClearCorp Dealing Systems (India) Ltd. -- develops and operates trading platforms (NDS-OM, TREPS, FX-CLEAR, etc.)</w:t>
            </w:r>
          </w:p>
        </w:tc>
      </w:tr>
    </w:tbl>
    <w:p/>
    <w:p>
      <w:pPr>
        <w:ind w:left="720"/>
        <w:shd w:fill="F0F0F0" w:val="clear"/>
      </w:pPr>
      <w:r>
        <w:rPr>
          <w:rFonts w:ascii="Calibri" w:hAnsi="Calibri"/>
          <w:i/>
        </w:rPr>
        <w:t>**Comparison with KRX/KSD:** CCIL is a specialized CCP focused on fixed income, forex, and money markets -- it does not clear equities or exchange-traded derivatives. This contrasts with KRX, which serves as CCP for all exchange-traded products (equities, derivatives). India's equity clearing is handled separately by NSCCL (NSE), ICCL (BSE), and MCX-CCL (commodity derivatives).</w:t>
      </w:r>
    </w:p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2001 (Apr)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CCIL incorporated; promoted by SBI and major Indian banks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2002 (Feb)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Commenced clearing and settlement of government securities transactions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2002 (Nov)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 clearing segment launched (USD/INR interbank spot and forward transactions)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Received INFINET membership for funds settlement through RBI's RTGS system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Collateralized Borrowing and Lending Obligation (CBLO) segment launched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Rupee Derivatives (IRS/FRA) clearing commenced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as payment system under Payment and Settlement Systems Act, 2007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 segment and forex forwards/swaps clearing introduced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2013 (Jul)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Designated as critical FMI by RBI for oversight under PFMI framework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Granted QCCP status by RBI </w:t>
            </w:r>
            <w:r>
              <w:rPr>
                <w:rFonts w:ascii="Calibri" w:hAnsi="Calibri"/>
                <w:color w:val="0563C1"/>
                <w:u w:val="single"/>
              </w:rPr>
              <w:t>Source: [MarketScreener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2018 (Nov)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TREPS (Tri-party Repo) replaced CBLO as the primary money market instrument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 (Oct)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ESMA refused recognition of CCIL (and five other Indian CCPs) under EMIR, citing lack of cooperation arrangement with RBI </w:t>
            </w:r>
            <w:r>
              <w:rPr>
                <w:rFonts w:ascii="Calibri" w:hAnsi="Calibri"/>
                <w:color w:val="0563C1"/>
                <w:u w:val="single"/>
              </w:rPr>
              <w:t>Source: [ESMA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 (Apr)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ESMA derecognition took effect -- European banks faced higher capital charges for CCIL exposures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ESMA-RBI MoU signed, enabling CCIL to re-apply for EMIR recognition </w:t>
            </w:r>
            <w:r>
              <w:rPr>
                <w:rFonts w:ascii="Calibri" w:hAnsi="Calibri"/>
                <w:color w:val="0563C1"/>
                <w:u w:val="single"/>
              </w:rPr>
              <w:t>Source: [Angel One</w:t>
            </w:r>
            <w:r>
              <w:rPr>
                <w:rFonts w:ascii="Calibri" w:hAnsi="Calibri"/>
              </w:rPr>
              <w:t>]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</w:t>
      </w:r>
    </w:p>
    <w:p>
      <w:r>
        <w:rPr>
          <w:rFonts w:ascii="Calibri" w:hAnsi="Calibri"/>
        </w:rPr>
        <w:t>CCIL operates across multiple market segments, each with distinct clearing mechanisms: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Segment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Products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Cycle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Launch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Government Securities (G-Sec)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Government bonds, T-Bills, State Development Loans, sovereign gold bonds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T+1 (outright); T+0 to T+2 (repo)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2002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TREPS (Tri-party Repo)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Collateralized money market borrowing/lending (replaced CBLO in 2018)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T+0 to T+1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2018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Forex Settlement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USD/INR spot, cash, tom; interbank forex transactions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T+0 / T+1 / T+2 (spot)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2002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Forex Forwards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USD/INR forwards, swaps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Per contract maturity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Rupee Derivatives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OTC Interest Rate Swaps (IRS) and Forward Rate Agreements (FRA) referenced to MIBOR, MIOIS, MIFOR, Modified MIFOR; tenors up to 10 years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Per contract maturity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2005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CDS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Credit Default Swaps [unverified -- limited activity]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Per contract terms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[CCIL Company Profile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NISM - Role of CCIL</w:t>
      </w:r>
      <w:r>
        <w:rPr>
          <w:rFonts w:ascii="Calibri" w:hAnsi="Calibri"/>
        </w:rPr>
        <w:t>]</w:t>
      </w:r>
    </w:p>
    <w:p>
      <w:r>
        <w:rPr>
          <w:rFonts w:ascii="Calibri" w:hAnsi="Calibri"/>
          <w:b/>
        </w:rPr>
        <w:t>Volume Breakdown (approximate FY2022 proportions):</w:t>
      </w:r>
    </w:p>
    <w:p>
      <w:pPr>
        <w:pStyle w:val="ListBullet"/>
      </w:pPr>
      <w:r>
        <w:rPr>
          <w:rFonts w:ascii="Calibri" w:hAnsi="Calibri"/>
        </w:rPr>
        <w:t>TREPS: ~40% of total turnover</w:t>
      </w:r>
    </w:p>
    <w:p>
      <w:pPr>
        <w:pStyle w:val="ListBullet"/>
      </w:pPr>
      <w:r>
        <w:rPr>
          <w:rFonts w:ascii="Calibri" w:hAnsi="Calibri"/>
        </w:rPr>
        <w:t>Government Securities: ~30%</w:t>
      </w:r>
    </w:p>
    <w:p>
      <w:pPr>
        <w:pStyle w:val="ListBullet"/>
      </w:pPr>
      <w:r>
        <w:rPr>
          <w:rFonts w:ascii="Calibri" w:hAnsi="Calibri"/>
        </w:rPr>
        <w:t>Forex: ~30%</w:t>
      </w:r>
    </w:p>
    <w:p>
      <w:r>
        <w:rPr>
          <w:rFonts w:ascii="Calibri" w:hAnsi="Calibri"/>
          <w:color w:val="0563C1"/>
          <w:u w:val="single"/>
        </w:rPr>
        <w:t>Source: [ICRA Rating Report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2.3 Netting</w:t>
      </w:r>
    </w:p>
    <w:p>
      <w:r>
        <w:rPr>
          <w:rFonts w:ascii="Calibri" w:hAnsi="Calibri"/>
        </w:rPr>
        <w:t>CCIL employs different netting mechanisms across its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Segment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Netting Method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G-Sec (Outright)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Multilateral netting -- all trades due for settlement on the same day are netted to arrive at a single net obligation per member per security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TREPS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Multilateral netting of funds along with outright and market repo trades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Forex (Spot)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Multilateral netting of USD and INR legs separately; net USD and net INR positions determined per member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Rupee Derivatives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Bilateral netting of cashflows; novation upon trade acceptance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 xml:space="preserve">For all guaranteed settlement segments, CCIL interposes itself as CCP through </w:t>
      </w:r>
      <w:r>
        <w:rPr>
          <w:rFonts w:ascii="Calibri" w:hAnsi="Calibri"/>
          <w:b/>
        </w:rPr>
        <w:t>novation</w:t>
      </w:r>
      <w:r>
        <w:rPr>
          <w:rFonts w:ascii="Calibri" w:hAnsi="Calibri"/>
        </w:rPr>
        <w:t xml:space="preserve"> -- the original bilateral trade is replaced by two contracts, one between CCIL and each counterparty</w:t>
      </w:r>
    </w:p>
    <w:p>
      <w:pPr>
        <w:pStyle w:val="ListBullet"/>
      </w:pPr>
      <w:r>
        <w:rPr>
          <w:rFonts w:ascii="Calibri" w:hAnsi="Calibri"/>
        </w:rPr>
        <w:t>Netting significantly reduces settlement exposure; in the forex segment, netting efficiency typically reduces gross obligations by 80-90% [unverified]</w:t>
      </w:r>
    </w:p>
    <w:p>
      <w:r>
        <w:rPr>
          <w:rFonts w:ascii="Calibri" w:hAnsi="Calibri"/>
          <w:color w:val="0563C1"/>
          <w:u w:val="single"/>
        </w:rPr>
        <w:t>Source: [CCIL Securities Settlement FAQ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CCIL Forex Settlement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2.4 Clearing Membership</w:t>
      </w:r>
    </w:p>
    <w:p>
      <w:r>
        <w:rPr>
          <w:rFonts w:ascii="Calibri" w:hAnsi="Calibri"/>
        </w:rPr>
        <w:t>CCIL has segment-specific membership: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Member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Eligible Entities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G-Sec Segment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Scheduled commercial banks, primary dealers, insurance companies, pension funds, mutual funds, FPIs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Forex Segment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dealer banks (AD Category I)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Rupee Derivatives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Market Makers (scheduled banks, standalone primary dealers, AIFIs); Non-Retail Entities; Retail Entities (corporates, FPIs)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TREPS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Banks, primary dealers, mutual funds, insurance companies, corporates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>All members must meet minimum net worth requirements and contribute to the Default Fund</w:t>
      </w:r>
    </w:p>
    <w:p>
      <w:pPr>
        <w:pStyle w:val="ListBullet"/>
      </w:pPr>
      <w:r>
        <w:rPr>
          <w:rFonts w:ascii="Calibri" w:hAnsi="Calibri"/>
        </w:rPr>
        <w:t>Members must maintain adequate collateral with CCIL for margin and settlement purposes</w:t>
      </w:r>
    </w:p>
    <w:p>
      <w:pPr>
        <w:pStyle w:val="ListBullet"/>
      </w:pPr>
      <w:r>
        <w:rPr>
          <w:rFonts w:ascii="Calibri" w:hAnsi="Calibri"/>
        </w:rPr>
        <w:t xml:space="preserve">With effect from November 2023, collateral contribution to the Securities Segment SGF became </w:t>
      </w:r>
      <w:r>
        <w:rPr>
          <w:rFonts w:ascii="Calibri" w:hAnsi="Calibri"/>
          <w:b/>
        </w:rPr>
        <w:t>segment-agnostic</w:t>
      </w:r>
      <w:r>
        <w:rPr>
          <w:rFonts w:ascii="Calibri" w:hAnsi="Calibri"/>
        </w:rPr>
        <w:t xml:space="preserve"> (common pool)</w:t>
      </w:r>
    </w:p>
    <w:p>
      <w:r>
        <w:rPr>
          <w:rFonts w:ascii="Calibri" w:hAnsi="Calibri"/>
          <w:color w:val="0563C1"/>
          <w:u w:val="single"/>
        </w:rPr>
        <w:t>Source: [CCIL Rupee Derivatives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CCIL Collateral Management</w:t>
      </w:r>
      <w:r>
        <w:rPr>
          <w:rFonts w:ascii="Calibri" w:hAnsi="Calibri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r>
        <w:rPr>
          <w:rFonts w:ascii="Calibri" w:hAnsi="Calibri"/>
        </w:rPr>
        <w:t>CCIL applies a comprehensive margin framework across all segments: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Margin Type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Initial Margin (IM)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Covers potential future exposure (PFE); calculated using VaR-based models with a confidence level of 99% and appropriate lookback/holding periods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Mark-to-Market (MTM)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Covers current exposure based on daily (or intraday) revaluation of open positions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Volatility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Additional margin charged during periods of heightened market volatility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Concentration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Charged when a member's positions are disproportionately large relative to the market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Spread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Applied to spread positions in the Rupee Derivatives segment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[CCIL Risk Management Introduction</w:t>
      </w:r>
      <w:r>
        <w:rPr>
          <w:rFonts w:ascii="Calibri" w:hAnsi="Calibri"/>
        </w:rPr>
        <w:t>]</w:t>
      </w:r>
    </w:p>
    <w:p>
      <w:r>
        <w:rPr>
          <w:rFonts w:ascii="Calibri" w:hAnsi="Calibri"/>
          <w:b/>
        </w:rPr>
        <w:t>Collateral Types Accepted:</w:t>
      </w:r>
    </w:p>
    <w:p>
      <w:pPr>
        <w:pStyle w:val="ListBullet"/>
      </w:pPr>
      <w:r>
        <w:rPr>
          <w:rFonts w:ascii="Calibri" w:hAnsi="Calibri"/>
        </w:rPr>
        <w:t>Cash (INR and USD depending on segment)</w:t>
      </w:r>
    </w:p>
    <w:p>
      <w:pPr>
        <w:pStyle w:val="ListBullet"/>
      </w:pPr>
      <w:r>
        <w:rPr>
          <w:rFonts w:ascii="Calibri" w:hAnsi="Calibri"/>
        </w:rPr>
        <w:t>Government of India securities and Treasury Bills</w:t>
      </w:r>
    </w:p>
    <w:p>
      <w:pPr>
        <w:pStyle w:val="ListBullet"/>
      </w:pPr>
      <w:r>
        <w:rPr>
          <w:rFonts w:ascii="Calibri" w:hAnsi="Calibri"/>
        </w:rPr>
        <w:t>Since November 2023, collateral can be posted to a segment-agnostic common pool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**Comparison with KRX:** KRX uses a SPAN-based margin system for derivatives and a VaR-based system for equities, with similar margin types (initial margin, variation margin, additional margin). CCIL's segment-specific margin models reflect the OTC/wholesale nature of its markets, while KRX's models are designed for exchange-traded retail/institutional markets.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r>
        <w:rPr>
          <w:rFonts w:ascii="Calibri" w:hAnsi="Calibri"/>
        </w:rPr>
        <w:t>CCIL maintains a default waterfall structure to absorb member default losses: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Resource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Amount (approx.)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Defaulting member's margins</w:t>
            </w:r>
            <w:r>
              <w:rPr>
                <w:rFonts w:ascii="Calibri" w:hAnsi="Calibri"/>
              </w:rPr>
              <w:t xml:space="preserve"> (IM, MTM, volatility margin)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per member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Defaulting member's Default Fund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Varies per member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CCIL's own capital -- "Skin in the Game"</w:t>
            </w:r>
            <w:r>
              <w:rPr>
                <w:rFonts w:ascii="Calibri" w:hAnsi="Calibri"/>
              </w:rPr>
              <w:t xml:space="preserve"> (Settlement Reserve Fund, SRF)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Rs 2,600 crore (as of 31 Mar 2024)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members' Default Fund contributions</w:t>
            </w:r>
            <w:r>
              <w:rPr>
                <w:rFonts w:ascii="Calibri" w:hAnsi="Calibri"/>
              </w:rPr>
              <w:t xml:space="preserve"> (loss mutualization)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Part of Rs 11,928 crore total DF (as of 30 Sep 2024)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Additional assessment on surviving members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As per CCIL's Bye-laws, Rules and Regulations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[CCIL PFMI Qualitative Disclosures Mar 2024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ICRA Rating Report Feb 2025</w:t>
      </w:r>
      <w:r>
        <w:rPr>
          <w:rFonts w:ascii="Calibri" w:hAnsi="Calibri"/>
        </w:rPr>
        <w:t>]</w:t>
      </w:r>
    </w:p>
    <w:p>
      <w:r>
        <w:rPr>
          <w:rFonts w:ascii="Calibri" w:hAnsi="Calibri"/>
          <w:b/>
        </w:rPr>
        <w:t>Default Fund Structure:</w:t>
      </w:r>
    </w:p>
    <w:p>
      <w:pPr>
        <w:pStyle w:val="ListBullet"/>
      </w:pPr>
      <w:r>
        <w:rPr>
          <w:rFonts w:ascii="Calibri" w:hAnsi="Calibri"/>
        </w:rPr>
        <w:t xml:space="preserve">CCIL maintains </w:t>
      </w:r>
      <w:r>
        <w:rPr>
          <w:rFonts w:ascii="Calibri" w:hAnsi="Calibri"/>
          <w:b/>
        </w:rPr>
        <w:t>six separate Default Funds</w:t>
      </w:r>
      <w:r>
        <w:rPr>
          <w:rFonts w:ascii="Calibri" w:hAnsi="Calibri"/>
        </w:rPr>
        <w:t xml:space="preserve"> across its segments</w:t>
      </w:r>
    </w:p>
    <w:p>
      <w:pPr>
        <w:pStyle w:val="ListBullet"/>
      </w:pPr>
      <w:r>
        <w:rPr>
          <w:rFonts w:ascii="Calibri" w:hAnsi="Calibri"/>
        </w:rPr>
        <w:t>Total Default Fund: Rs 11,928 crore (as of 30 September 2024)</w:t>
      </w:r>
    </w:p>
    <w:p>
      <w:pPr>
        <w:pStyle w:val="ListBullet"/>
      </w:pPr>
      <w:r>
        <w:rPr>
          <w:rFonts w:ascii="Calibri" w:hAnsi="Calibri"/>
        </w:rPr>
        <w:t>Members contribute cash and eligible Government of India securities / Treasury Bills</w:t>
      </w:r>
    </w:p>
    <w:p>
      <w:pPr>
        <w:pStyle w:val="ListBullet"/>
      </w:pPr>
      <w:r>
        <w:rPr>
          <w:rFonts w:ascii="Calibri" w:hAnsi="Calibri"/>
        </w:rPr>
        <w:t>Default Fund adequacy is regularly stress-tested</w:t>
      </w:r>
    </w:p>
    <w:p>
      <w:r>
        <w:rPr>
          <w:rFonts w:ascii="Calibri" w:hAnsi="Calibri"/>
          <w:color w:val="0563C1"/>
          <w:u w:val="single"/>
        </w:rPr>
        <w:t>Source: [CCIL Default Fund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**Comparison with KRX:** KRX's default waterfall similarly follows the sequence of defaulter's margin -&gt; defaulter's clearing fund contribution -&gt; KRX's own capital -&gt; non-defaulting members' clearing fund contributions. CCIL's SRF of Rs 2,600 crore (~USD 310 million) as skin-in-the-game is substantial for an emerging market CCP. KRX's joint compensation fund follows a comparable mutualization principle.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ListBullet"/>
      </w:pPr>
      <w:r>
        <w:rPr>
          <w:rFonts w:ascii="Calibri" w:hAnsi="Calibri"/>
        </w:rPr>
        <w:t xml:space="preserve">CCIL is designated as a </w:t>
      </w:r>
      <w:r>
        <w:rPr>
          <w:rFonts w:ascii="Calibri" w:hAnsi="Calibri"/>
          <w:b/>
        </w:rPr>
        <w:t>critical Financial Market Infrastructure (FMI)</w:t>
      </w:r>
      <w:r>
        <w:rPr>
          <w:rFonts w:ascii="Calibri" w:hAnsi="Calibri"/>
        </w:rPr>
        <w:t xml:space="preserve"> by RBI since July 2013</w:t>
      </w:r>
    </w:p>
    <w:p>
      <w:pPr>
        <w:pStyle w:val="ListBullet"/>
      </w:pPr>
      <w:r>
        <w:rPr>
          <w:rFonts w:ascii="Calibri" w:hAnsi="Calibri"/>
        </w:rPr>
        <w:t>RBI acts as the oversight and resolution authority under the Payment and Settlement Systems Act, 2007</w:t>
      </w:r>
    </w:p>
    <w:p>
      <w:pPr>
        <w:pStyle w:val="ListBullet"/>
      </w:pPr>
      <w:r>
        <w:rPr>
          <w:rFonts w:ascii="Calibri" w:hAnsi="Calibri"/>
        </w:rPr>
        <w:t>CCIL has recovery tools including:</w:t>
      </w:r>
    </w:p>
    <w:p>
      <w:pPr>
        <w:pStyle w:val="ListBullet"/>
      </w:pPr>
      <w:r>
        <w:rPr>
          <w:rFonts w:ascii="Calibri" w:hAnsi="Calibri"/>
        </w:rPr>
        <w:t>Cash calls / additional assessment on members</w:t>
      </w:r>
    </w:p>
    <w:p>
      <w:pPr>
        <w:pStyle w:val="ListBullet"/>
      </w:pPr>
      <w:r>
        <w:rPr>
          <w:rFonts w:ascii="Calibri" w:hAnsi="Calibri"/>
        </w:rPr>
        <w:t>Partial settlement / delayed settlement</w:t>
      </w:r>
    </w:p>
    <w:p>
      <w:pPr>
        <w:pStyle w:val="ListBullet"/>
      </w:pPr>
      <w:r>
        <w:rPr>
          <w:rFonts w:ascii="Calibri" w:hAnsi="Calibri"/>
        </w:rPr>
        <w:t>Loss allocation to surviving members</w:t>
      </w:r>
    </w:p>
    <w:p>
      <w:pPr>
        <w:pStyle w:val="ListBullet"/>
      </w:pPr>
      <w:r>
        <w:rPr>
          <w:rFonts w:ascii="Calibri" w:hAnsi="Calibri"/>
        </w:rPr>
        <w:t>Voluntary tear-up of positions [unverified]</w:t>
      </w:r>
    </w:p>
    <w:p>
      <w:pPr>
        <w:pStyle w:val="ListBullet"/>
      </w:pPr>
      <w:r>
        <w:rPr>
          <w:rFonts w:ascii="Calibri" w:hAnsi="Calibri"/>
        </w:rPr>
        <w:t>India does not yet have a dedicated CCP resolution framework comparable to EU CCPRRR or US OLA, though RBI's oversight framework provides de facto resolution powers [unverified]</w:t>
      </w:r>
    </w:p>
    <w:p>
      <w:pPr>
        <w:pStyle w:val="ListBullet"/>
      </w:pPr>
      <w:r>
        <w:rPr>
          <w:rFonts w:ascii="Calibri" w:hAnsi="Calibri"/>
        </w:rPr>
        <w:t>CCIL's systemic importance means RBI would likely intervene directly in a severe stress scenario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Segment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Standard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Mode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G-Sec (Outright, NDS-OM)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DVP via RBI's RTGS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G-Sec (Market Repo)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T+0 to T+1 (first leg); various (second leg)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DVP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TREPS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T+0 (same day); 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Net settlement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 Spot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PvP (Payment versus Payment)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 Cash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T+0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PvP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 Tom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PvP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 Forwards/Swaps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Per contract maturity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Net settlement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Rupee Derivatives (IRS)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Per cashflow dates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Net settlement of periodic cashflows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[CCIL Securities Settlement FAQ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CCIL Forex Settlement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4.2 DVP Model</w:t>
      </w:r>
    </w:p>
    <w:p>
      <w:r>
        <w:rPr>
          <w:rFonts w:ascii="Calibri" w:hAnsi="Calibri"/>
          <w:b/>
        </w:rPr>
        <w:t>Government Securities:</w:t>
      </w:r>
    </w:p>
    <w:p>
      <w:pPr>
        <w:pStyle w:val="ListBullet"/>
      </w:pPr>
      <w:r>
        <w:rPr>
          <w:rFonts w:ascii="Calibri" w:hAnsi="Calibri"/>
        </w:rPr>
        <w:t xml:space="preserve">CCIL uses </w:t>
      </w:r>
      <w:r>
        <w:rPr>
          <w:rFonts w:ascii="Calibri" w:hAnsi="Calibri"/>
          <w:b/>
        </w:rPr>
        <w:t>DVP Model 1</w:t>
      </w:r>
      <w:r>
        <w:rPr>
          <w:rFonts w:ascii="Calibri" w:hAnsi="Calibri"/>
        </w:rPr>
        <w:t xml:space="preserve"> (gross securities against gross funds) for non-netted trades and </w:t>
      </w:r>
      <w:r>
        <w:rPr>
          <w:rFonts w:ascii="Calibri" w:hAnsi="Calibri"/>
          <w:b/>
        </w:rPr>
        <w:t>DVP Model 3</w:t>
      </w:r>
      <w:r>
        <w:rPr>
          <w:rFonts w:ascii="Calibri" w:hAnsi="Calibri"/>
        </w:rPr>
        <w:t xml:space="preserve"> (net securities against net funds) for netted trades through RBI's RTGS system</w:t>
      </w:r>
    </w:p>
    <w:p>
      <w:pPr>
        <w:pStyle w:val="ListBullet"/>
      </w:pPr>
      <w:r>
        <w:rPr>
          <w:rFonts w:ascii="Calibri" w:hAnsi="Calibri"/>
        </w:rPr>
        <w:t>Securities leg settles through RBI's Securities Settlement System (SSS) / Public Debt Office (PDO)</w:t>
      </w:r>
    </w:p>
    <w:p>
      <w:pPr>
        <w:pStyle w:val="ListBullet"/>
      </w:pPr>
      <w:r>
        <w:rPr>
          <w:rFonts w:ascii="Calibri" w:hAnsi="Calibri"/>
        </w:rPr>
        <w:t>Funds leg settles through RBI's Real-Time Gross Settlement (RTGS) system</w:t>
      </w:r>
    </w:p>
    <w:p>
      <w:pPr>
        <w:pStyle w:val="ListBullet"/>
      </w:pPr>
      <w:r>
        <w:rPr>
          <w:rFonts w:ascii="Calibri" w:hAnsi="Calibri"/>
        </w:rPr>
        <w:t>Settlement finality is achieved upon completion of both legs through RBI's systems</w:t>
      </w:r>
    </w:p>
    <w:p>
      <w:r>
        <w:rPr>
          <w:rFonts w:ascii="Calibri" w:hAnsi="Calibri"/>
          <w:b/>
        </w:rPr>
        <w:t>Forex Settlement:</w:t>
      </w:r>
    </w:p>
    <w:p>
      <w:pPr>
        <w:pStyle w:val="ListBullet"/>
      </w:pPr>
      <w:r>
        <w:rPr>
          <w:rFonts w:ascii="Calibri" w:hAnsi="Calibri"/>
        </w:rPr>
        <w:t xml:space="preserve">Uses a </w:t>
      </w:r>
      <w:r>
        <w:rPr>
          <w:rFonts w:ascii="Calibri" w:hAnsi="Calibri"/>
          <w:b/>
        </w:rPr>
        <w:t>Payment versus Payment (PvP)</w:t>
      </w:r>
      <w:r>
        <w:rPr>
          <w:rFonts w:ascii="Calibri" w:hAnsi="Calibri"/>
        </w:rPr>
        <w:t xml:space="preserve"> mechanism for USD/INR settlement</w:t>
      </w:r>
    </w:p>
    <w:p>
      <w:pPr>
        <w:pStyle w:val="ListBullet"/>
      </w:pPr>
      <w:r>
        <w:rPr>
          <w:rFonts w:ascii="Calibri" w:hAnsi="Calibri"/>
        </w:rPr>
        <w:t>INR leg settles through RBI's RTGS</w:t>
      </w:r>
    </w:p>
    <w:p>
      <w:pPr>
        <w:pStyle w:val="ListBullet"/>
      </w:pPr>
      <w:r>
        <w:rPr>
          <w:rFonts w:ascii="Calibri" w:hAnsi="Calibri"/>
        </w:rPr>
        <w:t>USD leg settles through CCIL's USD settlement account with designated settlement banks</w:t>
      </w:r>
    </w:p>
    <w:p>
      <w:pPr>
        <w:pStyle w:val="ListBullet"/>
      </w:pPr>
      <w:r>
        <w:rPr>
          <w:rFonts w:ascii="Calibri" w:hAnsi="Calibri"/>
        </w:rPr>
        <w:t>Netting of USD and INR obligations separately before settlement</w:t>
      </w:r>
    </w:p>
    <w:p>
      <w:r>
        <w:rPr>
          <w:rFonts w:ascii="Calibri" w:hAnsi="Calibri"/>
          <w:color w:val="0563C1"/>
          <w:u w:val="single"/>
        </w:rPr>
        <w:t>Source: [CCIL PFMI Qualitative Disclosures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CCIL Guaranteed Settlement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**Comparison with KRX/KSD:** KSD uses DVP Model 3 (net/net) for equity settlement via BOK-Wire+. CCIL's use of DVP Model 1 for gross G-Sec trades reflects the wholesale, high-value nature of government bond transactions, while its netted settlement for TREPS and forex is similar in concept to KSD's approach for equities.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Platform / System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Operated By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NDS-OM</w:t>
            </w:r>
            <w:r>
              <w:rPr>
                <w:rFonts w:ascii="Calibri" w:hAnsi="Calibri"/>
              </w:rPr>
              <w:t xml:space="preserve"> (Negotiated Dealing System - Order Matching)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RBI-owned anonymous electronic trading platform for government securities; also used for OTC deal reporting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 (CCIL subsidiary)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NDS-CALL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Electronic dealing platform for Call, Notice &amp; Term Money market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FX-CLEAR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Electronic dealing platform for interbank forex transactions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FX-SWAP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Platform for forex swap transactions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TREPS</w:t>
            </w:r>
            <w:r>
              <w:rPr>
                <w:rFonts w:ascii="Calibri" w:hAnsi="Calibri"/>
              </w:rPr>
              <w:t xml:space="preserve"> (Tri-Party Repo Dealing System)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Replaced CBLO platform; facilitates collateralized borrowing and lending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ASTROID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Automated System for Tendering, Reporting, Operations, Information and Data Dissemination -- auction system for G-Sec primary issuance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ClearCorp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SARVAM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Service for Analysis of Risk, Valuation and Margining -- provides valuation, margining, collateral management, and risk analytics for Non-Centrally Cleared Derivatives (NCCDs)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CCIL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F-TRAC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Provides reference rates and valuations for fixed income and money market instruments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CCIL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[CCIL Company Profile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ClearCorp Company Profile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**Note:** ClearCorp Dealing Systems (India) Ltd., a wholly-owned subsidiary of CCIL, develops and operates most of the trading platforms. This vertical integration of trading and clearing infrastructure is distinctive -- it means CCIL (through ClearCorp) provides end-to-end infrastructure from trade execution to clearing and settlement for India's wholesale financial markets.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Primary Regulator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Reserve Bank of India (RBI)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Key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Payment and Settlement Systems Act, 2007; RBI (Payment and Settlement Systems) Regulations, 2008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as a payment system by RBI under PSS Act, 2007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FMI Designation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Designated as critical Financial Market Infrastructure by RBI (July 2013)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PFMI Oversight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Supervised using CPSS-IOSCO PFMI framework; publishes qualitative and quantitative disclosures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Granted by RBI (2014) based on PFMI compliance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ESMA Recognition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Lost EMIR third-country recognition in April 2023; ESMA-RBI MoU signed in 2026 to enable re-application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Governance Rules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CCIL's Bye-laws, Rules and Regulations (BRR) govern clearing operations, membership, risk management, and default procedures</w:t>
            </w:r>
          </w:p>
        </w:tc>
      </w:tr>
    </w:tbl>
    <w:p/>
    <w:p>
      <w:r>
        <w:rPr>
          <w:rFonts w:ascii="Calibri" w:hAnsi="Calibri"/>
          <w:b/>
        </w:rPr>
        <w:t>ESMA Derecognition Issue:</w:t>
      </w:r>
    </w:p>
    <w:p>
      <w:pPr>
        <w:pStyle w:val="ListBullet"/>
      </w:pPr>
      <w:r>
        <w:rPr>
          <w:rFonts w:ascii="Calibri" w:hAnsi="Calibri"/>
        </w:rPr>
        <w:t>In October 2022, ESMA refused recognition of CCIL under EMIR Article 25 due to the absence of a cooperation arrangement with RBI</w:t>
      </w:r>
    </w:p>
    <w:p>
      <w:pPr>
        <w:pStyle w:val="ListBullet"/>
      </w:pPr>
      <w:r>
        <w:rPr>
          <w:rFonts w:ascii="Calibri" w:hAnsi="Calibri"/>
        </w:rPr>
        <w:t>The core dispute was ESMA's demand for direct audit and inspection rights over CCIL, which RBI rejected as a sovereignty concern</w:t>
      </w:r>
    </w:p>
    <w:p>
      <w:pPr>
        <w:pStyle w:val="ListBullet"/>
      </w:pPr>
      <w:r>
        <w:rPr>
          <w:rFonts w:ascii="Calibri" w:hAnsi="Calibri"/>
        </w:rPr>
        <w:t>Derecognition took effect in April 2023, forcing European banks to apply higher capital charges (non-QCCP treatment) for CCIL exposures</w:t>
      </w:r>
    </w:p>
    <w:p>
      <w:pPr>
        <w:pStyle w:val="ListBullet"/>
      </w:pPr>
      <w:r>
        <w:rPr>
          <w:rFonts w:ascii="Calibri" w:hAnsi="Calibri"/>
        </w:rPr>
        <w:t>In 2026, ESMA and RBI signed an MoU resolving the impasse, enabling CCIL to re-apply for EMIR recognition</w:t>
      </w:r>
    </w:p>
    <w:p>
      <w:r>
        <w:rPr>
          <w:rFonts w:ascii="Calibri" w:hAnsi="Calibri"/>
          <w:color w:val="0563C1"/>
          <w:u w:val="single"/>
        </w:rPr>
        <w:t>Source: [ESMA Press Release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ESMA-RBI MoU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**Comparison with KRX:** KRX holds QCCP recognition in multiple jurisdictions. The CCIL-ESMA episode highlighted the tension between domestic regulatory sovereignty and international regulatory cooperation for CCPs -- an issue that does not significantly affect KRX given Korea's cooperative regulatory relationships with EU/US authorities.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Arrangement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RBI Systems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Deep integration with RBI's RTGS (funds settlement), SSS/PDO (securities settlement), and e-Kuber core banking system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CLS Bank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India is not a member of CLS Bank for forex settlement; CCIL's PvP mechanism serves as the domestic alternative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SWIFT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Uses SWIFT messaging for certain interbank communications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International Links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Limited direct CCP-to-CCP links; cross-border participation primarily through CCIL membership by foreign bank branches operating in India</w:t>
            </w:r>
          </w:p>
        </w:tc>
      </w:tr>
    </w:tbl>
    <w:p/>
    <w:p>
      <w:pPr>
        <w:pStyle w:val="ListBullet"/>
      </w:pPr>
      <w:r>
        <w:rPr>
          <w:rFonts w:ascii="Calibri" w:hAnsi="Calibri"/>
        </w:rPr>
        <w:t>CCIL does not have interoperability arrangements with other CCPs (unlike European CCPs that have CCP links for equity clearing)</w:t>
      </w:r>
    </w:p>
    <w:p>
      <w:pPr>
        <w:pStyle w:val="ListBullet"/>
      </w:pPr>
      <w:r>
        <w:rPr>
          <w:rFonts w:ascii="Calibri" w:hAnsi="Calibri"/>
        </w:rPr>
        <w:t>Foreign participation in Indian G-Sec and forex markets (by FPIs, etc.) occurs through CCIL members (custodian banks), not through direct CCP links</w:t>
      </w:r>
    </w:p>
    <w:p>
      <w:pPr>
        <w:pStyle w:val="ListBullet"/>
      </w:pPr>
      <w:r>
        <w:rPr>
          <w:rFonts w:ascii="Calibri" w:hAnsi="Calibri"/>
        </w:rPr>
        <w:t>The ESMA-RBI MoU (2026) may pave the way for deeper international integration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 (Nov)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Segment SGF collateral made segment-agnostic (common pool across segments)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CCIL PFMI Quantitative Disclosures published for December 2024 </w:t>
            </w:r>
            <w:r>
              <w:rPr>
                <w:rFonts w:ascii="Calibri" w:hAnsi="Calibri"/>
                <w:color w:val="0563C1"/>
                <w:u w:val="single"/>
              </w:rPr>
              <w:t>Source: [CCIL PQD Dec 2024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 (Sep)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39th Portfolio Compression cycle for MIBOR IRS: 27,622 out of 30,855 eligible trades terminated (89.4% compression rate) </w:t>
            </w:r>
            <w:r>
              <w:rPr>
                <w:rFonts w:ascii="Calibri" w:hAnsi="Calibri"/>
                <w:color w:val="0563C1"/>
                <w:u w:val="single"/>
              </w:rPr>
              <w:t>Source: [CCIL Derivatives Quarterly Q2 FY26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RBI proposed mandatory Unique Transaction Identifier (UTI) for all OTC rupee interest rate and foreign currency derivatives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Standalone Primary Dealers authorized as AD Category-III for non-deliverable derivative contracts involving the Rupee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ESMA-RBI MoU signed -- CCIL can re-apply for EMIR recognition, resolving the 3+ year derecognition dispute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Ongoing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SARVAM platform expansion for NCCD margining, collateral management, and risk analytics services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Ongoing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CCIL Factbook 2024-25 published with comprehensive segment-wise data </w:t>
            </w:r>
            <w:r>
              <w:rPr>
                <w:rFonts w:ascii="Calibri" w:hAnsi="Calibri"/>
                <w:color w:val="0563C1"/>
                <w:u w:val="single"/>
              </w:rPr>
              <w:t>Source: [CCIL Factbook 2024-25</w:t>
            </w:r>
            <w:r>
              <w:rPr>
                <w:rFonts w:ascii="Calibri" w:hAnsi="Calibri"/>
              </w:rPr>
              <w:t>]</w:t>
            </w:r>
          </w:p>
        </w:tc>
      </w:tr>
    </w:tbl>
    <w:p/>
    <w:p>
      <w:r>
        <w:rPr>
          <w:rFonts w:ascii="Calibri" w:hAnsi="Calibri"/>
          <w:b/>
        </w:rPr>
        <w:t>Key Trends:</w:t>
      </w:r>
    </w:p>
    <w:p>
      <w:pPr>
        <w:pStyle w:val="ListBullet"/>
      </w:pPr>
      <w:r>
        <w:rPr>
          <w:rFonts w:ascii="Calibri" w:hAnsi="Calibri"/>
        </w:rPr>
        <w:t>Resolution of ESMA recognition dispute will restore QCCP treatment for European bank exposures to CCIL</w:t>
      </w:r>
    </w:p>
    <w:p>
      <w:pPr>
        <w:pStyle w:val="ListBullet"/>
      </w:pPr>
      <w:r>
        <w:rPr>
          <w:rFonts w:ascii="Calibri" w:hAnsi="Calibri"/>
        </w:rPr>
        <w:t>Continued expansion of OTC derivatives clearing scope (IRS, FRA, potentially FX options)</w:t>
      </w:r>
    </w:p>
    <w:p>
      <w:pPr>
        <w:pStyle w:val="ListBullet"/>
      </w:pPr>
      <w:r>
        <w:rPr>
          <w:rFonts w:ascii="Calibri" w:hAnsi="Calibri"/>
        </w:rPr>
        <w:t>Portfolio compression exercises reducing outstanding notional in IRS market</w:t>
      </w:r>
    </w:p>
    <w:p>
      <w:pPr>
        <w:pStyle w:val="ListBullet"/>
      </w:pPr>
      <w:r>
        <w:rPr>
          <w:rFonts w:ascii="Calibri" w:hAnsi="Calibri"/>
        </w:rPr>
        <w:t>SARVAM platform extending CCIL's role beyond CCP into risk infrastructure for non-cleared derivatives</w:t>
      </w:r>
    </w:p>
    <w:p>
      <w:pPr>
        <w:pStyle w:val="ListBullet"/>
      </w:pPr>
      <w:r>
        <w:rPr>
          <w:rFonts w:ascii="Calibri" w:hAnsi="Calibri"/>
        </w:rPr>
        <w:t>India's G-Sec market inclusion in global bond indices (e.g., JP Morgan GBI-EM) driving increased foreign participation through CCIL's clearing infrastructure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Official Website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Company Profile / Introduction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Promoters / Shareholders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PFMI Qualitative Disclosures (March 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PFMI Quantitative Disclosures (December 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Factbook 2024-25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Risk Management Introduction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CCIL Default Fund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ClearCorp Company Profile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CARE Rating Report (March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ICRA Rating Report (February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ESMA - Indian CCPs Derecognition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ESMA - MoU with RBI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Global Custodian - CCIL QCCP Status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NISM - Role of CCIL in India's Markets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FSAP India - CPMI-IOSCO Assessment (2013)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World Bank FSAP India - PFMI Assessment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