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Central Depository Pte Ltd (CDP)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**Last Updated:** 2026-04-07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**Research Tier:** Tier 2 (Standard)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**Type:** CCP + CSD (Central Counterparty + Central Securities Depository)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Official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The Central Depository (Pte) Limited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Abbreviation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CDP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LEI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549300CMH3J8ASUM8N29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SWIFT Code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CDPLSGSGXXX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Country / 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Singapore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Address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SGX Centre 1, 2 Shenton Way, #02-02, Singapore 068804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Website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color w:val="0563C1"/>
                <w:u w:val="single"/>
              </w:rPr>
              <w:t>https://www.sgx.com/securities/depository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Year Established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1987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Parent Company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Singapore Exchange Limited (SGX Group) -- wholly-owned subsidiary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Monetary Authority of Singapore (MAS)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Approved Clearing House (ACH) under Securities and Futures Act 2001 (SFA); designated Central Depository under the Companies Act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CPMI-IOSCO PFMI Compliance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Yes -- publishes PFMI disclosure (</w:t>
            </w:r>
            <w:r>
              <w:rPr>
                <w:rFonts w:ascii="Calibri" w:hAnsi="Calibri"/>
                <w:color w:val="0563C1"/>
                <w:u w:val="single"/>
              </w:rPr>
              <w:t>SGX RegCo PFMI Page</w:t>
            </w:r>
            <w:r>
              <w:rPr>
                <w:rFonts w:ascii="Calibri" w:hAnsi="Calibri"/>
              </w:rPr>
              <w:t>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Role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Provides integrated clearing, settlement, and depository services for the Singapore securities market (equities and fixed income)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Systemic Importance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Designated as systemically important FMI by MAS; value of transactions cleared as percentage of Singapore GDP was ~94% (as of 2012 IMF assessment) [Source: IMF Country Report No. 13/345]</w:t>
            </w:r>
          </w:p>
        </w:tc>
      </w:tr>
    </w:tbl>
    <w:p/>
    <w:p>
      <w:r>
        <w:rPr>
          <w:rFonts w:ascii="Calibri" w:hAnsi="Calibri"/>
          <w:b/>
        </w:rPr>
        <w:t>Relationship to SGX Group:</w:t>
      </w:r>
    </w:p>
    <w:p>
      <w:r>
        <w:rPr>
          <w:rFonts w:ascii="Calibri" w:hAnsi="Calibri"/>
        </w:rPr>
        <w:t>CDP is one of two clearing houses within SGX Group:</w:t>
      </w:r>
    </w:p>
    <w:p>
      <w:pPr>
        <w:pStyle w:val="ListBullet"/>
      </w:pPr>
      <w:r>
        <w:rPr>
          <w:rFonts w:ascii="Calibri" w:hAnsi="Calibri"/>
          <w:b/>
        </w:rPr>
        <w:t>CDP</w:t>
      </w:r>
      <w:r>
        <w:rPr>
          <w:rFonts w:ascii="Calibri" w:hAnsi="Calibri"/>
        </w:rPr>
        <w:t xml:space="preserve"> -- clears and settles equities, corporate bonds, ETFs, REITs, unit trusts, warrants, depository receipts, and other listed securities traded on SGX-ST (Singapore Exchange Securities Trading)</w:t>
      </w:r>
    </w:p>
    <w:p>
      <w:pPr>
        <w:pStyle w:val="ListBullet"/>
      </w:pPr>
      <w:r>
        <w:rPr>
          <w:rFonts w:ascii="Calibri" w:hAnsi="Calibri"/>
          <w:b/>
        </w:rPr>
        <w:t>SGX-DC (SGX Derivatives Clearing Limited)</w:t>
      </w:r>
      <w:r>
        <w:rPr>
          <w:rFonts w:ascii="Calibri" w:hAnsi="Calibri"/>
        </w:rPr>
        <w:t xml:space="preserve"> -- clears derivatives products (futures, options, OTC derivatives); separate entity with its own clearing fund (~S$557 million as of Dec 2024)</w:t>
      </w:r>
    </w:p>
    <w:p>
      <w:r>
        <w:rPr>
          <w:rFonts w:ascii="Calibri" w:hAnsi="Calibri"/>
        </w:rPr>
        <w:t xml:space="preserve">Both CDP and SGX-DC are wholly-owned subsidiaries of SGX and are regulated as Designated Clearing Houses (DCHs) under the SFA. </w:t>
      </w:r>
      <w:r>
        <w:rPr>
          <w:rFonts w:ascii="Calibri" w:hAnsi="Calibri"/>
          <w:color w:val="0563C1"/>
          <w:u w:val="single"/>
        </w:rPr>
        <w:t>Source: MAS -- [Clearing Houses</w:t>
      </w:r>
      <w:r>
        <w:rPr>
          <w:rFonts w:ascii="Calibri" w:hAnsi="Calibri"/>
        </w:rPr>
        <w:t>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**KRX/KSD Comparison:** In Korea, KRX serves as the CCP while KSD serves as the CSD, and they are separate entities. In Singapore, CDP uniquely combines both CCP and CSD functions within a single legal entity.</w:t>
      </w:r>
    </w:p>
    <w:p>
      <w:pPr>
        <w:pStyle w:val="Heading3"/>
      </w:pPr>
      <w:r>
        <w:rPr>
          <w:rFonts w:ascii="Calibri" w:hAnsi="Calibri"/>
        </w:rPr>
        <w:t>Key Historical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Event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1987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CDP established as a wholly-owned subsidiary of the Stock Exchange of Singapore (SES) to serve as the central securities depository for the Singapore market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1999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SES and SIMEX merged to form Singapore Exchange (SGX); CDP became a subsidiary of SGX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2006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CDP implemented real-time surveillance capabilities for settlement risk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SGX embarked on post-trade modernisation programme to upgrade clearing, settlement, and depository systems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2016 (Jan)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Phase 1 of new Post-Trade System (PTS) went live -- clearing, settlement, and payment APIs with ISO 20022 messaging </w:t>
            </w:r>
            <w:r>
              <w:rPr>
                <w:rFonts w:ascii="Calibri" w:hAnsi="Calibri"/>
                <w:color w:val="0563C1"/>
                <w:u w:val="single"/>
              </w:rPr>
              <w:t>Source: [SWIFT Case Study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2018 (Dec)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Phase 2 of PTS launched -- new securities settlement and depository framework, powered by LSEG Technology; settlement cycle shortened from T+3 to T+2; true DVP settlement introduced </w:t>
            </w:r>
            <w:r>
              <w:rPr>
                <w:rFonts w:ascii="Calibri" w:hAnsi="Calibri"/>
                <w:color w:val="0563C1"/>
                <w:u w:val="single"/>
              </w:rPr>
              <w:t>Source: [LSEG Press Release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2019 (Jul)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Enhancements to default management capabilities implemented </w:t>
            </w:r>
            <w:r>
              <w:rPr>
                <w:rFonts w:ascii="Calibri" w:hAnsi="Calibri"/>
                <w:color w:val="0563C1"/>
                <w:u w:val="single"/>
              </w:rPr>
              <w:t>Source: [Allen &amp; Gledhill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2019 (Dec)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Securities Borrowing and Lending (SBL) programme enhanced with variable rates </w:t>
            </w:r>
            <w:r>
              <w:rPr>
                <w:rFonts w:ascii="Calibri" w:hAnsi="Calibri"/>
                <w:color w:val="0563C1"/>
                <w:u w:val="single"/>
              </w:rPr>
              <w:t>Source: [SGX Group Media Centre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2022 (Jun)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SGX CDP made available Marketnode's DLT-enabled direct-to-depository service for digital bond issuance </w:t>
            </w:r>
            <w:r>
              <w:rPr>
                <w:rFonts w:ascii="Calibri" w:hAnsi="Calibri"/>
                <w:color w:val="0563C1"/>
                <w:u w:val="single"/>
              </w:rPr>
              <w:t>Source: [SGX Group Media Centre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2023 (May)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Refinements to CDP margin and clearing fund frameworks implemented </w:t>
            </w:r>
            <w:r>
              <w:rPr>
                <w:rFonts w:ascii="Calibri" w:hAnsi="Calibri"/>
                <w:color w:val="0563C1"/>
                <w:u w:val="single"/>
              </w:rPr>
              <w:t>Source: [Allen &amp; Gledhill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 xml:space="preserve">SGX Group revised cap on clearing members' liability for multiple defaults </w:t>
            </w:r>
            <w:r>
              <w:rPr>
                <w:rFonts w:ascii="Calibri" w:hAnsi="Calibri"/>
                <w:color w:val="0563C1"/>
                <w:u w:val="single"/>
              </w:rPr>
              <w:t>Source: [Mondovisione</w:t>
            </w:r>
            <w:r>
              <w:rPr>
                <w:rFonts w:ascii="Calibri" w:hAnsi="Calibri"/>
              </w:rPr>
              <w:t>]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2. Clearing Model</w:t>
      </w:r>
    </w:p>
    <w:p>
      <w:pPr>
        <w:pStyle w:val="Heading3"/>
      </w:pPr>
      <w:r>
        <w:rPr>
          <w:rFonts w:ascii="Calibri" w:hAnsi="Calibri"/>
        </w:rPr>
        <w:t>2.1 CCP Services</w:t>
      </w:r>
    </w:p>
    <w:p>
      <w:r>
        <w:rPr>
          <w:rFonts w:ascii="Calibri" w:hAnsi="Calibri"/>
        </w:rPr>
        <w:t>CDP acts as the central counterparty for all securities traded on SGX-ST, providing clearing services for the following: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Product Class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Equities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Ordinary shares, preference shares listed on SGX-ST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Exchange Traded Funds (ETFs)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All ETFs listed on SGX-ST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REITs &amp; Business Trusts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Real Estate Investment Trusts and business trusts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Fixed Income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Listed corporate bonds, government bonds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Warrants &amp; Structured Products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Structured warrants, daily leverage certificates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Depository Receipts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Singapore Depository Receipts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Unit Trusts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Exchange-traded unit trusts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Extended Settlement (ES) Contracts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Marginable futures-like contracts on single stocks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Rights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Rights issues during corporate actions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[SGX Clearing Information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2.2 Novation Process</w:t>
      </w:r>
    </w:p>
    <w:p>
      <w:r>
        <w:rPr>
          <w:rFonts w:ascii="Calibri" w:hAnsi="Calibri"/>
        </w:rPr>
        <w:t>CDP becomes the counterparty to each side of a transaction through novation as soon as the trade is executed or reported on SGX-ST. The novation process differs based on membership type:</w:t>
      </w:r>
    </w:p>
    <w:p>
      <w:pPr>
        <w:pStyle w:val="ListBullet"/>
      </w:pPr>
      <w:r>
        <w:rPr>
          <w:rFonts w:ascii="Calibri" w:hAnsi="Calibri"/>
          <w:b/>
        </w:rPr>
        <w:t>Both parties are Clearing Members (CMs):</w:t>
      </w:r>
      <w:r>
        <w:rPr>
          <w:rFonts w:ascii="Calibri" w:hAnsi="Calibri"/>
        </w:rPr>
        <w:t xml:space="preserve"> The trade is directly novated to CDP, with CDP becoming the buyer to the selling CM and the seller to the buying CM.</w:t>
      </w:r>
    </w:p>
    <w:p>
      <w:pPr>
        <w:pStyle w:val="ListBullet"/>
      </w:pPr>
      <w:r>
        <w:rPr>
          <w:rFonts w:ascii="Calibri" w:hAnsi="Calibri"/>
          <w:b/>
        </w:rPr>
        <w:t>One party is a Trading Member (TM), the other a CM:</w:t>
      </w:r>
      <w:r>
        <w:rPr>
          <w:rFonts w:ascii="Calibri" w:hAnsi="Calibri"/>
        </w:rPr>
        <w:t xml:space="preserve"> The qualifying CM assumes the rights, duties, and obligations of the counterparty TM, and the transaction is then novated to CDP.</w:t>
      </w:r>
    </w:p>
    <w:p>
      <w:pPr>
        <w:pStyle w:val="ListBullet"/>
      </w:pPr>
      <w:r>
        <w:rPr>
          <w:rFonts w:ascii="Calibri" w:hAnsi="Calibri"/>
          <w:b/>
        </w:rPr>
        <w:t>Both parties are Trading-only Members:</w:t>
      </w:r>
      <w:r>
        <w:rPr>
          <w:rFonts w:ascii="Calibri" w:hAnsi="Calibri"/>
        </w:rPr>
        <w:t xml:space="preserve"> The respective qualifying CMs assume the rights and obligations of each TM, and the transaction is then novated to CDP.</w:t>
      </w:r>
    </w:p>
    <w:p>
      <w:r>
        <w:rPr>
          <w:rFonts w:ascii="Calibri" w:hAnsi="Calibri"/>
          <w:color w:val="0563C1"/>
          <w:u w:val="single"/>
        </w:rPr>
        <w:t>Source: [SGX Rulebook -- Rule 6.2 Clearing and Novation</w:t>
      </w:r>
      <w:r>
        <w:rPr>
          <w:rFonts w:ascii="Calibri" w:hAnsi="Calibri"/>
        </w:rPr>
        <w:t>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**KRX Comparison:** KRX follows a similar novation model -- upon trade execution on the exchange, KRX interposes itself as the CCP to both sides. The key difference is that KRX operates as a single integrated exchange-CCP entity, while CDP is a separate legal subsidiary within the SGX Group.</w:t>
      </w:r>
    </w:p>
    <w:p>
      <w:pPr>
        <w:pStyle w:val="Heading3"/>
      </w:pPr>
      <w:r>
        <w:rPr>
          <w:rFonts w:ascii="Calibri" w:hAnsi="Calibri"/>
        </w:rPr>
        <w:t>2.3 Netting</w:t>
      </w:r>
    </w:p>
    <w:p>
      <w:r>
        <w:rPr>
          <w:rFonts w:ascii="Calibri" w:hAnsi="Calibri"/>
        </w:rPr>
        <w:t>CDP operates a multilateral netting system:</w:t>
      </w:r>
    </w:p>
    <w:p>
      <w:pPr>
        <w:pStyle w:val="ListBullet"/>
      </w:pPr>
      <w:r>
        <w:rPr>
          <w:rFonts w:ascii="Calibri" w:hAnsi="Calibri"/>
          <w:b/>
        </w:rPr>
        <w:t>Securities Netting:</w:t>
      </w:r>
      <w:r>
        <w:rPr>
          <w:rFonts w:ascii="Calibri" w:hAnsi="Calibri"/>
        </w:rPr>
        <w:t xml:space="preserve"> Net securities obligations are calculated per Clearing Member per security. On T+2, each CM has a single net delivery or receive obligation for each security.</w:t>
      </w:r>
    </w:p>
    <w:p>
      <w:pPr>
        <w:pStyle w:val="ListBullet"/>
      </w:pPr>
      <w:r>
        <w:rPr>
          <w:rFonts w:ascii="Calibri" w:hAnsi="Calibri"/>
          <w:b/>
        </w:rPr>
        <w:t>Cash Netting:</w:t>
      </w:r>
      <w:r>
        <w:rPr>
          <w:rFonts w:ascii="Calibri" w:hAnsi="Calibri"/>
        </w:rPr>
        <w:t xml:space="preserve"> Net cash obligations are calculated per Clearing Member. A single net pay or receive amount is determined for each settlement day.</w:t>
      </w:r>
    </w:p>
    <w:p>
      <w:pPr>
        <w:pStyle w:val="ListBullet"/>
      </w:pPr>
      <w:r>
        <w:rPr>
          <w:rFonts w:ascii="Calibri" w:hAnsi="Calibri"/>
          <w:b/>
        </w:rPr>
        <w:t>Netting Cut-off:</w:t>
      </w:r>
      <w:r>
        <w:rPr>
          <w:rFonts w:ascii="Calibri" w:hAnsi="Calibri"/>
        </w:rPr>
        <w:t xml:space="preserve"> Netting occurs at end of trade day for trades executed that day, with settlement obligations due on T+2.</w:t>
      </w:r>
    </w:p>
    <w:p>
      <w:pPr>
        <w:pStyle w:val="Heading3"/>
      </w:pPr>
      <w:r>
        <w:rPr>
          <w:rFonts w:ascii="Calibri" w:hAnsi="Calibri"/>
        </w:rPr>
        <w:t>2.4 Clearing Membership</w:t>
      </w:r>
    </w:p>
    <w:p>
      <w:r>
        <w:rPr>
          <w:rFonts w:ascii="Calibri" w:hAnsi="Calibri"/>
        </w:rPr>
        <w:t>CDP has two categories of clearing membership: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Type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Minimum Capital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Key Requirements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General Clearing Member (GCM)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S$5 million base capital (or S$8 million if also a clearing member of SGX-DC)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Must be Singapore-registered corporation; hold Capital Markets Services Licence (unless exempt); register a CEO; maintain reserve fund (30% of audited net profits transferred annually until base capital less unappropriated profits reaches S$15 million)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Bank Clearing Member (BCM)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No specific minimum (subject to banking regulations)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Must be authorised to conduct banking business in Singapore; must have adequate credit rating indicating intrinsic safety and soundness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[SGX Rulebook -- Rule 3 Membership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SGX Rulebook -- Rule 5 Financial/Capital Requirements</w:t>
      </w:r>
      <w:r>
        <w:rPr>
          <w:rFonts w:ascii="Calibri" w:hAnsi="Calibri"/>
        </w:rPr>
        <w:t>]</w:t>
      </w:r>
    </w:p>
    <w:p>
      <w:r>
        <w:rPr>
          <w:rFonts w:ascii="Calibri" w:hAnsi="Calibri"/>
        </w:rPr>
        <w:t>Additional requirements:</w:t>
      </w:r>
    </w:p>
    <w:p>
      <w:pPr>
        <w:pStyle w:val="ListBullet"/>
      </w:pPr>
      <w:r>
        <w:rPr>
          <w:rFonts w:ascii="Calibri" w:hAnsi="Calibri"/>
        </w:rPr>
        <w:t>CDP may prescribe additional capital, financial, and other requirements based on volume, risk exposure, risk concentration, margin policies, and nature of business conducted</w:t>
      </w:r>
    </w:p>
    <w:p>
      <w:pPr>
        <w:pStyle w:val="ListBullet"/>
      </w:pPr>
      <w:r>
        <w:rPr>
          <w:rFonts w:ascii="Calibri" w:hAnsi="Calibri"/>
        </w:rPr>
        <w:t>GCMs can clear for their own account and for Trading Members they have qualified (sponsored)</w:t>
      </w:r>
    </w:p>
    <w:p>
      <w:pPr>
        <w:pStyle w:val="ListBullet"/>
      </w:pPr>
      <w:r>
        <w:rPr>
          <w:rFonts w:ascii="Calibri" w:hAnsi="Calibri"/>
        </w:rPr>
        <w:t>BCMs can clear for custodial clients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**KRX Comparison:** KRX clearing membership requires minimum net capital of KRW 10 billion (~S$10 million) for securities clearing members, broadly comparable to CDP's S$5 million threshold.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3. Risk Management</w:t>
      </w:r>
    </w:p>
    <w:p>
      <w:pPr>
        <w:pStyle w:val="Heading3"/>
      </w:pPr>
      <w:r>
        <w:rPr>
          <w:rFonts w:ascii="Calibri" w:hAnsi="Calibri"/>
        </w:rPr>
        <w:t>3.1 Margin Framework</w:t>
      </w:r>
    </w:p>
    <w:p>
      <w:r>
        <w:rPr>
          <w:rFonts w:ascii="Calibri" w:hAnsi="Calibri"/>
        </w:rPr>
        <w:t>CDP employs a risk-based margining framework for its clearing members: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Margin Methodology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Risk-based margin calculated at a confidence level of at least 99% [Source: SGX CDP PFMI Disclosure]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Close-out Period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 to 5 days depending on contract liquidity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Margin Calculation Frequency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At least twice daily (intraday and end-of-day)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Margin Types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Initial Margin, Variation Margin, Additional Margin (concentration, wrong-way risk)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Collateral Accepted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Cash (SGD), government securities, and other approved collateral with appropriate haircuts [unverified -- specific collateral schedule not confirmed from public sources]</w:t>
            </w:r>
          </w:p>
        </w:tc>
      </w:tr>
    </w:tbl>
    <w:p/>
    <w:p>
      <w:r>
        <w:rPr>
          <w:rFonts w:ascii="Calibri" w:hAnsi="Calibri"/>
        </w:rPr>
        <w:t>Key features of the margin framework (post-May 2023 refinements):</w:t>
      </w:r>
    </w:p>
    <w:p>
      <w:pPr>
        <w:pStyle w:val="ListBullet"/>
      </w:pPr>
      <w:r>
        <w:rPr>
          <w:rFonts w:ascii="Calibri" w:hAnsi="Calibri"/>
        </w:rPr>
        <w:t>Initial margin is designed to cover potential losses during the close-out period at a 99% confidence level</w:t>
      </w:r>
    </w:p>
    <w:p>
      <w:pPr>
        <w:pStyle w:val="ListBullet"/>
      </w:pPr>
      <w:r>
        <w:rPr>
          <w:rFonts w:ascii="Calibri" w:hAnsi="Calibri"/>
        </w:rPr>
        <w:t>Margin calculations incorporate both current market risk and historical stress scenarios</w:t>
      </w:r>
    </w:p>
    <w:p>
      <w:pPr>
        <w:pStyle w:val="ListBullet"/>
      </w:pPr>
      <w:r>
        <w:rPr>
          <w:rFonts w:ascii="Calibri" w:hAnsi="Calibri"/>
        </w:rPr>
        <w:t>CDP may call for additional margin during periods of heightened volatility</w:t>
      </w:r>
    </w:p>
    <w:p>
      <w:r>
        <w:rPr>
          <w:rFonts w:ascii="Calibri" w:hAnsi="Calibri"/>
          <w:color w:val="0563C1"/>
          <w:u w:val="single"/>
        </w:rPr>
        <w:t>Source: [Allen &amp; Gledhill -- CDP Margin and Clearing Fund Refinements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3.2 Margin Call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Cycle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Timing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Intraday Margin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During trading hours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CDP monitors positions intraday and may issue margin calls to cover shortfalls in margin requirements and potential mark-to-market losses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End-of-Day Margin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After market close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Full margin recalculation; margin calls issued for any shortfall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Margin Call Deadline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Within one Trading Day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Clearing Members must meet margin calls within one Trading Day after the event giving rise to the margin call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Customer Margin Restoration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Within two Market Days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CMs must call from customers to restore to Initial Margin level within 2 Market Days of Customer Asset Value falling below Customer Required Margins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[SGX Rulebook -- Rule 6A Margin Requirements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SGX Rulebook -- Regulatory Notice 3.3.12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3.3 Default Waterfall (with approximate sizes)</w:t>
      </w:r>
    </w:p>
    <w:p>
      <w:r>
        <w:rPr>
          <w:rFonts w:ascii="Calibri" w:hAnsi="Calibri"/>
        </w:rPr>
        <w:t>CDP's default waterfall specifies the order in which financial resources are applied following a clearing member default: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Layer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Resource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Approximate Size / Notes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Defaulter's Margin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Margins and collateral posted by the defaulting CM; first line of defence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Defaulter's Clearing Fund Contribution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The defaulting CM's funded contribution to the Clearing Fund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CDP's Skin-in-the-Game (SITG)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CDP's own capital contribution to the Clearing Fund -- at least 25% of the total Clearing Fund [unverified -- exact current CDP SITG amount not confirmed; the 25% ratio is derived from SGX Group-level statements]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Non-Defaulting CMs' Funded Clearing Fund Contributions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Funded contributions from other (non-defaulting) Clearing Members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Non-Defaulting CMs' Contingent Contributions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Unfunded (callable) contributions from non-defaulting CMs -- utilised only after all funded resources are exhausted (per 2023 refinements)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6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CDP's Remaining Capital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Any remaining financial resources of CDP</w:t>
            </w:r>
          </w:p>
        </w:tc>
      </w:tr>
    </w:tbl>
    <w:p/>
    <w:p>
      <w:r>
        <w:rPr>
          <w:rFonts w:ascii="Calibri" w:hAnsi="Calibri"/>
          <w:b/>
        </w:rPr>
        <w:t>Clearing Fund Size:</w:t>
      </w:r>
    </w:p>
    <w:p>
      <w:pPr>
        <w:pStyle w:val="ListBullet"/>
      </w:pPr>
      <w:r>
        <w:rPr>
          <w:rFonts w:ascii="Calibri" w:hAnsi="Calibri"/>
        </w:rPr>
        <w:t xml:space="preserve">Total CDP Clearing Fund: </w:t>
      </w:r>
      <w:r>
        <w:rPr>
          <w:rFonts w:ascii="Calibri" w:hAnsi="Calibri"/>
          <w:b/>
        </w:rPr>
        <w:t>S$80 million</w:t>
      </w:r>
      <w:r>
        <w:rPr>
          <w:rFonts w:ascii="Calibri" w:hAnsi="Calibri"/>
        </w:rPr>
        <w:t xml:space="preserve"> (as of 30 June 2024 and 31 December 2024) [Source: SGX Group Financial Results FY2024/H1 FY2025]</w:t>
      </w:r>
    </w:p>
    <w:p>
      <w:pPr>
        <w:pStyle w:val="ListBullet"/>
      </w:pPr>
      <w:r>
        <w:rPr>
          <w:rFonts w:ascii="Calibri" w:hAnsi="Calibri"/>
        </w:rPr>
        <w:t xml:space="preserve">For comparison, SGX-DC Clearing Fund: </w:t>
      </w:r>
      <w:r>
        <w:rPr>
          <w:rFonts w:ascii="Calibri" w:hAnsi="Calibri"/>
          <w:b/>
        </w:rPr>
        <w:t>S$557 million</w:t>
      </w:r>
      <w:r>
        <w:rPr>
          <w:rFonts w:ascii="Calibri" w:hAnsi="Calibri"/>
        </w:rPr>
        <w:t xml:space="preserve"> (as of same dates)</w:t>
      </w:r>
    </w:p>
    <w:p>
      <w:r>
        <w:rPr>
          <w:rFonts w:ascii="Calibri" w:hAnsi="Calibri"/>
          <w:b/>
        </w:rPr>
        <w:t>Key 2023 Refinements:</w:t>
      </w:r>
    </w:p>
    <w:p>
      <w:pPr>
        <w:pStyle w:val="ListBullet"/>
      </w:pPr>
      <w:r>
        <w:rPr>
          <w:rFonts w:ascii="Calibri" w:hAnsi="Calibri"/>
        </w:rPr>
        <w:t>Contingent contributions from non-defaulting CMs were deprioritised -- funded contributions (of both CMs and CDP) are now utilised ahead of unfunded resources</w:t>
      </w:r>
    </w:p>
    <w:p>
      <w:pPr>
        <w:pStyle w:val="ListBullet"/>
      </w:pPr>
      <w:r>
        <w:rPr>
          <w:rFonts w:ascii="Calibri" w:hAnsi="Calibri"/>
        </w:rPr>
        <w:t>A cap was placed on clearing members' total clearing fund liability to give certainty on maximum exposure</w:t>
      </w:r>
    </w:p>
    <w:p>
      <w:pPr>
        <w:pStyle w:val="ListBullet"/>
      </w:pPr>
      <w:r>
        <w:rPr>
          <w:rFonts w:ascii="Calibri" w:hAnsi="Calibri"/>
        </w:rPr>
        <w:t>CDP's own contribution was structured to be at least 25% of the total clearing fund, which SGX states is proportionately higher than many other CCPs in Europe and the US</w:t>
      </w:r>
    </w:p>
    <w:p>
      <w:r>
        <w:rPr>
          <w:rFonts w:ascii="Calibri" w:hAnsi="Calibri"/>
          <w:color w:val="0563C1"/>
          <w:u w:val="single"/>
        </w:rPr>
        <w:t>Source: [Allen &amp; Gledhill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SGX Group Financial Results H1 FY2025</w:t>
      </w:r>
      <w:r>
        <w:rPr>
          <w:rFonts w:ascii="Calibri" w:hAnsi="Calibri"/>
        </w:rPr>
        <w:t>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**KRX Comparison:** KRX's Joint Compensation Fund for the securities market was approximately KRW 100 billion (~S$100 million) as of 2023, broadly comparable in scale to CDP's S$80 million. KRX also places its own contribution (skin-in-the-game) in the waterfall ahead of non-defaulting members' contributions, consistent with CPMI-IOSCO guidance. [unverified -- KRX fund size approximate]</w:t>
      </w:r>
    </w:p>
    <w:p>
      <w:pPr>
        <w:pStyle w:val="Heading3"/>
      </w:pPr>
      <w:r>
        <w:rPr>
          <w:rFonts w:ascii="Calibri" w:hAnsi="Calibri"/>
        </w:rPr>
        <w:t>3.4 Default Fund / Guarantee Fund</w:t>
      </w:r>
    </w:p>
    <w:p>
      <w:r>
        <w:rPr>
          <w:rFonts w:ascii="Calibri" w:hAnsi="Calibri"/>
        </w:rPr>
        <w:t>The CDP Clearing Fund is sized and managed as follows: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Total Fund Size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S$80 million (as of Dec 2024)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CDP SITG Contribution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At least 25% of the Clearing Fund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CM Funded Contribution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Based on a percentage of average daily risk margin (post-2023 methodology)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CM Contingent Contribution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Callable, capped, and used only after funded resources exhausted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Fund Sizing Methodology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Revised in 2023 -- changed approach for sizing the Clearing Fund to be more risk-sensitive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Fund Review Frequency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Reviewed periodically; fund calls can be made if contributions are insufficient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[SGX RegCo Consultation Paper on CDP Margining and Clearing Fund (Nov 2022)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3.5 Stress Testing &amp; Back-testing</w:t>
      </w:r>
    </w:p>
    <w:p>
      <w:r>
        <w:rPr>
          <w:rFonts w:ascii="Calibri" w:hAnsi="Calibri"/>
        </w:rPr>
        <w:t>CDP conducts regular stress testing and back-testing as part of its PFMI compliance:</w:t>
      </w:r>
    </w:p>
    <w:p>
      <w:pPr>
        <w:pStyle w:val="ListBullet"/>
      </w:pPr>
      <w:r>
        <w:rPr>
          <w:rFonts w:ascii="Calibri" w:hAnsi="Calibri"/>
          <w:b/>
        </w:rPr>
        <w:t>Stress Testing:</w:t>
      </w:r>
      <w:r>
        <w:rPr>
          <w:rFonts w:ascii="Calibri" w:hAnsi="Calibri"/>
        </w:rPr>
        <w:t xml:space="preserve"> CDP performs stress tests of its financial resources to ensure adequacy under extreme but plausible market conditions. These include both historical stress scenarios and hypothetical scenarios. [unverified -- specific stress scenario details not publicly disclosed]</w:t>
      </w:r>
    </w:p>
    <w:p>
      <w:pPr>
        <w:pStyle w:val="ListBullet"/>
      </w:pPr>
      <w:r>
        <w:rPr>
          <w:rFonts w:ascii="Calibri" w:hAnsi="Calibri"/>
          <w:b/>
        </w:rPr>
        <w:t>Back-testing:</w:t>
      </w:r>
      <w:r>
        <w:rPr>
          <w:rFonts w:ascii="Calibri" w:hAnsi="Calibri"/>
        </w:rPr>
        <w:t xml:space="preserve"> Margin models are back-tested to validate that they achieve the targeted coverage level (99% confidence). Results are reviewed regularly and models are recalibrated as needed. [unverified -- specific back-testing results not publicly disclosed]</w:t>
      </w:r>
    </w:p>
    <w:p>
      <w:pPr>
        <w:pStyle w:val="ListBullet"/>
      </w:pPr>
      <w:r>
        <w:rPr>
          <w:rFonts w:ascii="Calibri" w:hAnsi="Calibri"/>
          <w:b/>
        </w:rPr>
        <w:t>MAS Oversight:</w:t>
      </w:r>
      <w:r>
        <w:rPr>
          <w:rFonts w:ascii="Calibri" w:hAnsi="Calibri"/>
        </w:rPr>
        <w:t xml:space="preserve"> MAS conducts supervisory assessments of CDP's risk management practices, including its stress testing framework. </w:t>
      </w:r>
      <w:r>
        <w:rPr>
          <w:rFonts w:ascii="Calibri" w:hAnsi="Calibri"/>
          <w:color w:val="0563C1"/>
          <w:u w:val="single"/>
        </w:rPr>
        <w:t>Source: [MAS Parliamentary Reply on CDP Oversight (2024)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3.6 Recovery &amp; Resolution</w:t>
      </w:r>
    </w:p>
    <w:p>
      <w:pPr>
        <w:pStyle w:val="ListBullet"/>
      </w:pPr>
      <w:r>
        <w:rPr>
          <w:rFonts w:ascii="Calibri" w:hAnsi="Calibri"/>
          <w:b/>
        </w:rPr>
        <w:t>Recovery Tools:</w:t>
      </w:r>
      <w:r>
        <w:rPr>
          <w:rFonts w:ascii="Calibri" w:hAnsi="Calibri"/>
        </w:rPr>
        <w:t xml:space="preserve"> CDP has recovery plans that include tools such as variation margin haircutting, partial tear-up, and voluntary auction mechanisms to manage residual losses beyond the default waterfall. [unverified -- specific recovery plan details not publicly available]</w:t>
      </w:r>
    </w:p>
    <w:p>
      <w:pPr>
        <w:pStyle w:val="ListBullet"/>
      </w:pPr>
      <w:r>
        <w:rPr>
          <w:rFonts w:ascii="Calibri" w:hAnsi="Calibri"/>
          <w:b/>
        </w:rPr>
        <w:t>Resolution Authority:</w:t>
      </w:r>
      <w:r>
        <w:rPr>
          <w:rFonts w:ascii="Calibri" w:hAnsi="Calibri"/>
        </w:rPr>
        <w:t xml:space="preserve"> MAS is the resolution authority for CDP as a systemically important FMI in Singapore.</w:t>
      </w:r>
    </w:p>
    <w:p>
      <w:pPr>
        <w:pStyle w:val="ListBullet"/>
      </w:pPr>
      <w:r>
        <w:rPr>
          <w:rFonts w:ascii="Calibri" w:hAnsi="Calibri"/>
          <w:b/>
        </w:rPr>
        <w:t>Default Management Enhancements (2019):</w:t>
      </w:r>
      <w:r>
        <w:rPr>
          <w:rFonts w:ascii="Calibri" w:hAnsi="Calibri"/>
        </w:rPr>
        <w:t xml:space="preserve"> SGX implemented enhancements to the default management capabilities of both SGX-DC and CDP, including amendments to the default management process for clearing members. </w:t>
      </w:r>
      <w:r>
        <w:rPr>
          <w:rFonts w:ascii="Calibri" w:hAnsi="Calibri"/>
          <w:color w:val="0563C1"/>
          <w:u w:val="single"/>
        </w:rPr>
        <w:t>Source: [Allen &amp; Gledhill (2019)</w:t>
      </w:r>
      <w:r>
        <w:rPr>
          <w:rFonts w:ascii="Calibri" w:hAnsi="Calibri"/>
        </w:rPr>
        <w:t>]</w:t>
      </w:r>
    </w:p>
    <w:p>
      <w:pPr>
        <w:pStyle w:val="ListBullet"/>
      </w:pPr>
      <w:r>
        <w:rPr>
          <w:rFonts w:ascii="Calibri" w:hAnsi="Calibri"/>
          <w:b/>
        </w:rPr>
        <w:t>2024 Refinements:</w:t>
      </w:r>
      <w:r>
        <w:rPr>
          <w:rFonts w:ascii="Calibri" w:hAnsi="Calibri"/>
        </w:rPr>
        <w:t xml:space="preserve"> SGX revised the cap on clearing members' liability for multiple defaults, providing greater certainty to CMs on their maximum financial exposure. </w:t>
      </w:r>
      <w:r>
        <w:rPr>
          <w:rFonts w:ascii="Calibri" w:hAnsi="Calibri"/>
          <w:color w:val="0563C1"/>
          <w:u w:val="single"/>
        </w:rPr>
        <w:t>Source: [Mondovisione (2024)</w:t>
      </w:r>
      <w:r>
        <w:rPr>
          <w:rFonts w:ascii="Calibri" w:hAnsi="Calibri"/>
        </w:rPr>
        <w:t>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4. Settlement</w:t>
      </w:r>
    </w:p>
    <w:p>
      <w:pPr>
        <w:pStyle w:val="Heading3"/>
      </w:pPr>
      <w:r>
        <w:rPr>
          <w:rFonts w:ascii="Calibri" w:hAnsi="Calibri"/>
        </w:rPr>
        <w:t>4.1 Settlement 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Product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Settlement Cycle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Equities (shares, ETFs, REITs)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Shortened from T+3 on 10 December 2018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Listed Corporate Bonds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Aligned with equities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Singapore Government Securities (SGS)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Settled via MAS's MEPS+ system (not CDP)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Unlisted Corporate Bonds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Negotiable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Fully negotiable settlement dates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Unit Trusts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Various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Depends on fund manager's terms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[Clearstream -- Settlement Process Singapore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DBS Vickers -- New Securities Settlement Framework</w:t>
      </w:r>
      <w:r>
        <w:rPr>
          <w:rFonts w:ascii="Calibri" w:hAnsi="Calibri"/>
        </w:rPr>
        <w:t>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**KRX Comparison:** KRX also settles equities on T+2 (moved from T+3 in 2024). Both markets are now aligned with the global standard. The US moved to T+1 in May 2024; Singapore has not yet announced plans for T+1 migration. [unverified -- Singapore T+1 status]</w:t>
      </w:r>
    </w:p>
    <w:p>
      <w:pPr>
        <w:pStyle w:val="Heading3"/>
      </w:pPr>
      <w:r>
        <w:rPr>
          <w:rFonts w:ascii="Calibri" w:hAnsi="Calibri"/>
        </w:rPr>
        <w:t>4.2 DVP Model</w:t>
      </w:r>
    </w:p>
    <w:p>
      <w:r>
        <w:rPr>
          <w:rFonts w:ascii="Calibri" w:hAnsi="Calibri"/>
        </w:rPr>
        <w:t xml:space="preserve">CDP operates a </w:t>
      </w:r>
      <w:r>
        <w:rPr>
          <w:rFonts w:ascii="Calibri" w:hAnsi="Calibri"/>
          <w:b/>
        </w:rPr>
        <w:t>true DVP (Delivery versus Payment)</w:t>
      </w:r>
      <w:r>
        <w:rPr>
          <w:rFonts w:ascii="Calibri" w:hAnsi="Calibri"/>
        </w:rPr>
        <w:t xml:space="preserve"> model since the December 2018 system upgrade: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DVP Type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BIS Model 3 -- gross securities settlement with net cash settlement [unverified -- exact BIS model classification]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Securities Settlement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Book-entry transfer within CDP; settlement only finalised once intraday batch or RTGS is completed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Cash Settlement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Via settlement banks through MAS's MEPS+ RTGS system for SGD; multi-currency settlement supported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Settlement Windows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Settlement from 09:00 on settlement date; multiple intraday batch settlement cycles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Simultaneous Settlement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Securities and cash settle simultaneously -- securities delivery occurs only upon confirmed cash payment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[DBS Vickers -- New Securities Settlement Framework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4.3 Settlement Finality</w:t>
      </w:r>
    </w:p>
    <w:p>
      <w:r>
        <w:rPr>
          <w:rFonts w:ascii="Calibri" w:hAnsi="Calibri"/>
        </w:rPr>
        <w:t>Settlement finality is clearly defined under CDP rules:</w:t>
      </w:r>
    </w:p>
    <w:p>
      <w:pPr>
        <w:pStyle w:val="ListBullet"/>
      </w:pPr>
      <w:r>
        <w:rPr>
          <w:rFonts w:ascii="Calibri" w:hAnsi="Calibri"/>
          <w:b/>
        </w:rPr>
        <w:t>Securities Finality:</w:t>
      </w:r>
      <w:r>
        <w:rPr>
          <w:rFonts w:ascii="Calibri" w:hAnsi="Calibri"/>
        </w:rPr>
        <w:t xml:space="preserve"> Delivery of securities is effected and </w:t>
      </w:r>
      <w:r>
        <w:rPr>
          <w:rFonts w:ascii="Calibri" w:hAnsi="Calibri"/>
          <w:b/>
        </w:rPr>
        <w:t>final</w:t>
      </w:r>
      <w:r>
        <w:rPr>
          <w:rFonts w:ascii="Calibri" w:hAnsi="Calibri"/>
        </w:rPr>
        <w:t xml:space="preserve"> upon CDP debiting the securities from the Delivering Securities Account. Receipt is final upon CDP crediting the securities into the Receiving Securities Account.</w:t>
      </w:r>
    </w:p>
    <w:p>
      <w:pPr>
        <w:pStyle w:val="ListBullet"/>
      </w:pPr>
      <w:r>
        <w:rPr>
          <w:rFonts w:ascii="Calibri" w:hAnsi="Calibri"/>
          <w:b/>
        </w:rPr>
        <w:t>Cash Finality:</w:t>
      </w:r>
      <w:r>
        <w:rPr>
          <w:rFonts w:ascii="Calibri" w:hAnsi="Calibri"/>
        </w:rPr>
        <w:t xml:space="preserve"> Settlement of a Settlement Participant's payment obligation is effected and </w:t>
      </w:r>
      <w:r>
        <w:rPr>
          <w:rFonts w:ascii="Calibri" w:hAnsi="Calibri"/>
          <w:b/>
        </w:rPr>
        <w:t>final</w:t>
      </w:r>
      <w:r>
        <w:rPr>
          <w:rFonts w:ascii="Calibri" w:hAnsi="Calibri"/>
        </w:rPr>
        <w:t xml:space="preserve"> upon CDP debiting an equivalent sum of money from the Settlement Participant's Cash Ledger Account.</w:t>
      </w:r>
    </w:p>
    <w:p>
      <w:pPr>
        <w:pStyle w:val="ListBullet"/>
      </w:pPr>
      <w:r>
        <w:rPr>
          <w:rFonts w:ascii="Calibri" w:hAnsi="Calibri"/>
          <w:b/>
        </w:rPr>
        <w:t>Legal Basis:</w:t>
      </w:r>
      <w:r>
        <w:rPr>
          <w:rFonts w:ascii="Calibri" w:hAnsi="Calibri"/>
        </w:rPr>
        <w:t xml:space="preserve"> Settlement finality is protected under the Securities and Futures Act 2001 (SFA), which provides statutory protection for the irrevocability and finality of settlements effected through approved clearing houses.</w:t>
      </w:r>
    </w:p>
    <w:p>
      <w:r>
        <w:rPr>
          <w:rFonts w:ascii="Calibri" w:hAnsi="Calibri"/>
          <w:color w:val="0563C1"/>
          <w:u w:val="single"/>
        </w:rPr>
        <w:t>Source: [SGX Rulebook -- CDP Settlement Rules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4.4 CSD / Settlement Infrastructure</w:t>
      </w:r>
    </w:p>
    <w:p>
      <w:r>
        <w:rPr>
          <w:rFonts w:ascii="Calibri" w:hAnsi="Calibri"/>
        </w:rPr>
        <w:t>CDP operates as Singapore's sole CSD for exchange-traded securities: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Function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Securities Held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All SGX-listed securities including equities, corporate bonds, ETFs, REITs, warrants, structured products, unit trusts, depository receipts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Account Types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Direct Securities Account</w:t>
            </w:r>
            <w:r>
              <w:rPr>
                <w:rFonts w:ascii="Calibri" w:hAnsi="Calibri"/>
              </w:rPr>
              <w:t xml:space="preserve"> (for individual retail investors linked directly to CDP); </w:t>
            </w:r>
            <w:r>
              <w:rPr>
                <w:rFonts w:ascii="Calibri" w:hAnsi="Calibri"/>
                <w:b/>
              </w:rPr>
              <w:t>Sub-Account</w:t>
            </w:r>
            <w:r>
              <w:rPr>
                <w:rFonts w:ascii="Calibri" w:hAnsi="Calibri"/>
              </w:rPr>
              <w:t xml:space="preserve"> (held under a Depository Agent such as a broker or custodian bank)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Immobilisation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SGX-listed securities are immobilised -- all securities are held in book-entry form at CDP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Corporate Actions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CDP processes dividends, rights issues, bonus issues, share splits, and other corporate actions on behalf of account holders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Number of Accounts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Over 1.5 million CDP Securities Accounts held by retail investors [unverified -- approximate figure based on industry reports]</w:t>
            </w:r>
          </w:p>
        </w:tc>
      </w:tr>
    </w:tbl>
    <w:p/>
    <w:p>
      <w:r>
        <w:rPr>
          <w:rFonts w:ascii="Calibri" w:hAnsi="Calibri"/>
          <w:b/>
        </w:rPr>
        <w:t>Key Statistics (FY2025, July 2024 -- June 2025):</w:t>
      </w:r>
    </w:p>
    <w:p>
      <w:pPr>
        <w:pStyle w:val="ListBullet"/>
      </w:pPr>
      <w:r>
        <w:rPr>
          <w:rFonts w:ascii="Calibri" w:hAnsi="Calibri"/>
        </w:rPr>
        <w:t xml:space="preserve">Securities Daily Average Traded Value (SDAV): </w:t>
      </w:r>
      <w:r>
        <w:rPr>
          <w:rFonts w:ascii="Calibri" w:hAnsi="Calibri"/>
          <w:b/>
        </w:rPr>
        <w:t>S$1.34 billion</w:t>
      </w:r>
      <w:r>
        <w:rPr>
          <w:rFonts w:ascii="Calibri" w:hAnsi="Calibri"/>
        </w:rPr>
        <w:t xml:space="preserve"> (up 26.5% YoY)</w:t>
      </w:r>
    </w:p>
    <w:p>
      <w:pPr>
        <w:pStyle w:val="ListBullet"/>
      </w:pPr>
      <w:r>
        <w:rPr>
          <w:rFonts w:ascii="Calibri" w:hAnsi="Calibri"/>
        </w:rPr>
        <w:t xml:space="preserve">Total Securities Traded Value: </w:t>
      </w:r>
      <w:r>
        <w:rPr>
          <w:rFonts w:ascii="Calibri" w:hAnsi="Calibri"/>
          <w:b/>
        </w:rPr>
        <w:t>S$336.4 billion</w:t>
      </w:r>
      <w:r>
        <w:rPr>
          <w:rFonts w:ascii="Calibri" w:hAnsi="Calibri"/>
        </w:rPr>
        <w:t xml:space="preserve"> (up 27.5% YoY)</w:t>
      </w:r>
    </w:p>
    <w:p>
      <w:pPr>
        <w:pStyle w:val="ListBullet"/>
      </w:pPr>
      <w:r>
        <w:rPr>
          <w:rFonts w:ascii="Calibri" w:hAnsi="Calibri"/>
        </w:rPr>
        <w:t xml:space="preserve">Average Net Clearing Fees: </w:t>
      </w:r>
      <w:r>
        <w:rPr>
          <w:rFonts w:ascii="Calibri" w:hAnsi="Calibri"/>
          <w:b/>
        </w:rPr>
        <w:t>2.59 basis points</w:t>
      </w:r>
      <w:r>
        <w:rPr>
          <w:rFonts w:ascii="Calibri" w:hAnsi="Calibri"/>
        </w:rPr>
        <w:t xml:space="preserve"> (up from 2.46 bps)</w:t>
      </w:r>
    </w:p>
    <w:p>
      <w:r>
        <w:rPr>
          <w:rFonts w:ascii="Calibri" w:hAnsi="Calibri"/>
          <w:color w:val="0563C1"/>
          <w:u w:val="single"/>
        </w:rPr>
        <w:t>Source: [SGX Group Annual Report FY2025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4.5 CSD Linkages</w:t>
      </w:r>
    </w:p>
    <w:p>
      <w:r>
        <w:rPr>
          <w:rFonts w:ascii="Calibri" w:hAnsi="Calibri"/>
        </w:rPr>
        <w:t>CDP maintains cross-border linkages with international CSDs and settlement systems: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Counterpart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Type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Clearstream Banking Luxembourg (CBL)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CSD Link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 xml:space="preserve">CBL clients can settle transactions with counterparties who are direct account holders with CDP; allegements accepted via depository from domestic market counterparties </w:t>
            </w:r>
            <w:r>
              <w:rPr>
                <w:rFonts w:ascii="Calibri" w:hAnsi="Calibri"/>
                <w:color w:val="0563C1"/>
                <w:u w:val="single"/>
              </w:rPr>
              <w:t>Source: [Clearstream -- Settlement Services Singapore</w:t>
            </w:r>
            <w:r>
              <w:rPr>
                <w:rFonts w:ascii="Calibri" w:hAnsi="Calibri"/>
              </w:rPr>
              <w:t>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Euroclear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Indirect Link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Access to Singapore market securities through correspondent relationships [unverified -- specific link details not confirmed]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MAS MEPS+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Cash Settlement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CDP uses MAS's MEPS+ RTGS system for SGD cash settlement; MEPS+ also handles SGS bond settlement directly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Settlement Banks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Banking Interface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CDP interfaces with designated settlement banks (e.g., DBS, OCBC, UOB, international banks) for cash settlement on behalf of clearing members</w:t>
            </w:r>
          </w:p>
        </w:tc>
      </w:tr>
    </w:tbl>
    <w:p/>
    <w:p>
      <w:pPr>
        <w:ind w:left="720"/>
        <w:shd w:fill="F0F0F0" w:val="clear"/>
      </w:pPr>
      <w:r>
        <w:rPr>
          <w:rFonts w:ascii="Calibri" w:hAnsi="Calibri"/>
          <w:i/>
        </w:rPr>
        <w:t>**KRX/KSD Comparison:** KSD maintains bilateral CSD linkages with over 50 foreign CSDs and ICSDs for cross-border settlement. CDP's linkage network is smaller, reflecting Singapore's different market positioning as a financial hub with strong custodial bank intermediation.</w:t>
      </w:r>
    </w:p>
    <w:p>
      <w:pPr>
        <w:pStyle w:val="Heading3"/>
      </w:pPr>
      <w:r>
        <w:rPr>
          <w:rFonts w:ascii="Calibri" w:hAnsi="Calibri"/>
        </w:rPr>
        <w:t>4.6 Securities Lending &amp; Borrowing</w:t>
      </w:r>
    </w:p>
    <w:p>
      <w:r>
        <w:rPr>
          <w:rFonts w:ascii="Calibri" w:hAnsi="Calibri"/>
        </w:rPr>
        <w:t xml:space="preserve">CDP operates the </w:t>
      </w:r>
      <w:r>
        <w:rPr>
          <w:rFonts w:ascii="Calibri" w:hAnsi="Calibri"/>
          <w:b/>
        </w:rPr>
        <w:t>SGX Securities Borrowing and Lending (SBL)</w:t>
      </w:r>
      <w:r>
        <w:rPr>
          <w:rFonts w:ascii="Calibri" w:hAnsi="Calibri"/>
        </w:rPr>
        <w:t xml:space="preserve"> programme: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Role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CDP acts as principal counterparty to both lender and borrower; lenders take on counterparty risk of CDP, not the borrower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Eligibility (Lender)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Retail and institutional investors with CDP securities accounts; minimum holdings: 10,000 units for shares priced &lt;=S$1, or S$10,000 in value for shares priced &gt;S$1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Borrowing Rate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0.5% for index stocks, REITs, business trusts; 4.0% for other securities (as of Dec 2019 variable rate introduction)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Lending Fee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Lenders receive 70% of the borrowing fee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Title Transfer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Legal ownership temporarily transferred to borrower; voting rights suspended during lending period; economic benefits (dividends) retained by lender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Registration Fee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Free for lenders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[SGX Group Media Centre -- SBL Enhancement (2019)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SGX Securities Lending Pool</w:t>
      </w:r>
      <w:r>
        <w:rPr>
          <w:rFonts w:ascii="Calibri" w:hAnsi="Calibri"/>
        </w:rPr>
        <w:t>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5. Technology &amp; Infrastructure</w:t>
      </w:r>
    </w:p>
    <w:p>
      <w:pPr>
        <w:pStyle w:val="Heading3"/>
      </w:pPr>
      <w:r>
        <w:rPr>
          <w:rFonts w:ascii="Calibri" w:hAnsi="Calibri"/>
        </w:rPr>
        <w:t>5.1 Interface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Post-Trade System (PTS)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New system implemented in two phases (Phase 1: Jan 2016, Phase 2: Dec 2018); powered by LSEG Technology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Messaging Standard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ISO 20022</w:t>
            </w:r>
            <w:r>
              <w:rPr>
                <w:rFonts w:ascii="Calibri" w:hAnsi="Calibri"/>
              </w:rPr>
              <w:t xml:space="preserve"> -- adopted for settlement processing; structured XML-based messaging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Connectivity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API-based connectivity allowing members flexibility to adopt "best of breed" solutions; members can connect via SWIFT network or direct API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Web Interface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SGX-PTS WEB -- single web-based system for settlement, replacing legacy systems (PSMS, Enhanced DVP, E-Hub, DCSS)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Legacy System Replacement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New PTS replaced four legacy systems as of 10 December 2018</w:t>
            </w:r>
          </w:p>
        </w:tc>
      </w:tr>
    </w:tbl>
    <w:p/>
    <w:p>
      <w:r>
        <w:rPr>
          <w:rFonts w:ascii="Calibri" w:hAnsi="Calibri"/>
          <w:color w:val="0563C1"/>
          <w:u w:val="single"/>
        </w:rPr>
        <w:t>Source: [SWIFT Case Study -- SGX ISO 20022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LSEG Technology Press Release (2018)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5.2 Resilience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Business Continuity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CDP maintains business continuity and disaster recovery plans as required by MAS for systemically important FMIs [unverified -- specific BCP/DR details not publicly disclosed]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Operational Uptime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Target of 99.9%+ system availability [unverified]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Cyber Security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Subject to MAS Technology Risk Management (TRM) guidelines; MAS conducts regular supervisory technology risk assessments [Source: MAS regulatory framework]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Data Centre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Primary and secondary data centre facilities [unverified -- specific locations not publicly disclosed]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DLT Capabilities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Marketnode integration for DLT-enabled bond issuance -- separate distributed ledger layer that connects into CDP's core depository infrastructure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6. Regulatory Framework (MAS Oversight)</w:t>
      </w:r>
    </w:p>
    <w:p>
      <w:r>
        <w:rPr>
          <w:rFonts w:ascii="Calibri" w:hAnsi="Calibri"/>
        </w:rPr>
        <w:t>CDP is regulated by the Monetary Authority of Singapore (MAS) under multiple frameworks: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Framework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Securities and Futures Act 2001 (SFA)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CDP is licensed as an Approved Clearing House (ACH) and operates a central depository system. MAS has powers to regulate, inspect, investigate, and enforce compliance.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Payment Systems (Oversight) Act (PS(O)A)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MAS may designate CDP's payment and settlement systems under PS(O)A, subjecting them to additional oversight requirements including access regime provisions.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Companies Act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CDP is additionally regulated as a central depository under the Companies Act.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PFMI Standards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CDP is expected to observe the CPMI-IOSCO Principles for Financial Market Infrastructures and publishes periodic self-assessments.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MAS Supervisory Powers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Include power to request information, make regulations, inspect, investigate, establish access regimes, and issue directions.</w:t>
            </w:r>
          </w:p>
        </w:tc>
      </w:tr>
    </w:tbl>
    <w:p/>
    <w:p>
      <w:r>
        <w:rPr>
          <w:rFonts w:ascii="Calibri" w:hAnsi="Calibri"/>
          <w:b/>
        </w:rPr>
        <w:t>Key Regulatory Requirements for CDP:</w:t>
      </w:r>
    </w:p>
    <w:p>
      <w:pPr>
        <w:pStyle w:val="ListBullet"/>
      </w:pPr>
      <w:r>
        <w:rPr>
          <w:rFonts w:ascii="Calibri" w:hAnsi="Calibri"/>
        </w:rPr>
        <w:t>Fair and objective access criteria for participation</w:t>
      </w:r>
    </w:p>
    <w:p>
      <w:pPr>
        <w:pStyle w:val="ListBullet"/>
      </w:pPr>
      <w:r>
        <w:rPr>
          <w:rFonts w:ascii="Calibri" w:hAnsi="Calibri"/>
        </w:rPr>
        <w:t>Safe and efficient functioning of clearing facility</w:t>
      </w:r>
    </w:p>
    <w:p>
      <w:pPr>
        <w:pStyle w:val="ListBullet"/>
      </w:pPr>
      <w:r>
        <w:rPr>
          <w:rFonts w:ascii="Calibri" w:hAnsi="Calibri"/>
        </w:rPr>
        <w:t>Protection of the investing public</w:t>
      </w:r>
    </w:p>
    <w:p>
      <w:pPr>
        <w:pStyle w:val="ListBullet"/>
      </w:pPr>
      <w:r>
        <w:rPr>
          <w:rFonts w:ascii="Calibri" w:hAnsi="Calibri"/>
        </w:rPr>
        <w:t>Adequate financial resources and risk management</w:t>
      </w:r>
    </w:p>
    <w:p>
      <w:pPr>
        <w:pStyle w:val="ListBullet"/>
      </w:pPr>
      <w:r>
        <w:rPr>
          <w:rFonts w:ascii="Calibri" w:hAnsi="Calibri"/>
        </w:rPr>
        <w:t>Regular reporting and disclosure to MAS</w:t>
      </w:r>
    </w:p>
    <w:p>
      <w:r>
        <w:rPr>
          <w:rFonts w:ascii="Calibri" w:hAnsi="Calibri"/>
          <w:color w:val="0563C1"/>
          <w:u w:val="single"/>
        </w:rPr>
        <w:t>Source: [MAS -- Clearing Houses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MAS -- ACH/RCH Licence</w:t>
      </w:r>
      <w:r>
        <w:rPr>
          <w:rFonts w:ascii="Calibri" w:hAnsi="Calibri"/>
        </w:rPr>
        <w:t>]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**KRX Comparison:** KRX is supervised by the Financial Services Commission (FSC) and Financial Supervisory Service (FSS) of Korea. Unlike CDP which is a private company subsidiary of a listed exchange, KRX is a special-purpose corporation established under the Financial Investment Services and Capital Markets Act.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7. Interoperability</w:t>
      </w:r>
    </w:p>
    <w:p>
      <w:r>
        <w:rPr>
          <w:rFonts w:ascii="Calibri" w:hAnsi="Calibri"/>
        </w:rPr>
        <w:t>CDP does not currently maintain formal CCP interoperability arrangements (CCP links) with other CCPs for cross-margining or mutual clearing. Its interoperability is primarily through:</w:t>
      </w:r>
    </w:p>
    <w:p>
      <w:pPr>
        <w:pStyle w:val="ListBullet"/>
      </w:pPr>
      <w:r>
        <w:rPr>
          <w:rFonts w:ascii="Calibri" w:hAnsi="Calibri"/>
          <w:b/>
        </w:rPr>
        <w:t>CSD Linkages:</w:t>
      </w:r>
      <w:r>
        <w:rPr>
          <w:rFonts w:ascii="Calibri" w:hAnsi="Calibri"/>
        </w:rPr>
        <w:t xml:space="preserve"> As described in Section 4.5, CDP maintains links with Clearstream and indirect access via Euroclear for cross-border settlement</w:t>
      </w:r>
    </w:p>
    <w:p>
      <w:pPr>
        <w:pStyle w:val="ListBullet"/>
      </w:pPr>
      <w:r>
        <w:rPr>
          <w:rFonts w:ascii="Calibri" w:hAnsi="Calibri"/>
          <w:b/>
        </w:rPr>
        <w:t>SGX Group Integration:</w:t>
      </w:r>
      <w:r>
        <w:rPr>
          <w:rFonts w:ascii="Calibri" w:hAnsi="Calibri"/>
        </w:rPr>
        <w:t xml:space="preserve"> Within SGX Group, CDP and SGX-DC operate as complementary but separate clearing entities -- CDP for securities and SGX-DC for derivatives. There is no formal cross-margining between the two entities. [unverified -- cross-margining status]</w:t>
      </w:r>
    </w:p>
    <w:p>
      <w:pPr>
        <w:pStyle w:val="ListBullet"/>
      </w:pPr>
      <w:r>
        <w:rPr>
          <w:rFonts w:ascii="Calibri" w:hAnsi="Calibri"/>
          <w:b/>
        </w:rPr>
        <w:t>ASEAN Linkage:</w:t>
      </w:r>
      <w:r>
        <w:rPr>
          <w:rFonts w:ascii="Calibri" w:hAnsi="Calibri"/>
        </w:rPr>
        <w:t xml:space="preserve"> SGX has been involved in ASEAN exchange connectivity initiatives (ASEAN Trading Link, launched 2012 but discontinued), which aimed to enable cross-border trading and settlement across ASEAN exchanges. [Source: Industry reports]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8. Fees</w:t>
      </w:r>
    </w:p>
    <w:p>
      <w:r>
        <w:rPr>
          <w:rFonts w:ascii="Calibri" w:hAnsi="Calibri"/>
        </w:rPr>
        <w:t>CDP charges clearing and settlement fees to Clearing Members based on its published fee schedules: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Fee Type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Rate / Amount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Clearing Fee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~0.0325% of trade value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Average net clearing fee was 2.59 bps in FY2025; actual rates vary by product and volume tier [Source: SGX Group Annual Report FY2025]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Settlement Fee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Per settlement instruction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Charged to Settlement Participants [unverified -- specific per-instruction fee not confirmed]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Depository Fee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Free for retail CDP accounts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No custody fees for retail investors holding securities in direct CDP accounts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Corporate Action Processing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Various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Fees for processing dividends, rights issues, etc. [unverified -- specific fee schedule not confirmed]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SBL Fees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0.5% -- 4.0% borrowing rate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CDP retains 30% of borrowing fee; lenders receive 70%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Account Opening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Free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No charge for opening a CDP Securities Account</w:t>
            </w:r>
          </w:p>
        </w:tc>
      </w:tr>
    </w:tbl>
    <w:p/>
    <w:p>
      <w:r>
        <w:rPr>
          <w:rFonts w:ascii="Calibri" w:hAnsi="Calibri"/>
        </w:rPr>
        <w:t xml:space="preserve">Note: Specific detailed fee schedules are published in the </w:t>
      </w:r>
      <w:r>
        <w:rPr>
          <w:rFonts w:ascii="Calibri" w:hAnsi="Calibri"/>
          <w:color w:val="0563C1"/>
          <w:u w:val="single"/>
        </w:rPr>
        <w:t>SGX Rulebook</w:t>
      </w:r>
      <w:r>
        <w:rPr>
          <w:rFonts w:ascii="Calibri" w:hAnsi="Calibri"/>
        </w:rPr>
        <w:t xml:space="preserve"> and updated periodically.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9. Recent Developments</w:t>
      </w:r>
    </w:p>
    <w:p>
      <w:pPr>
        <w:pStyle w:val="Heading3"/>
      </w:pPr>
      <w:r>
        <w:rPr>
          <w:rFonts w:ascii="Calibri" w:hAnsi="Calibri"/>
        </w:rPr>
        <w:t>2022 -- Marketnode DLT Direct-to-Depository Service</w:t>
      </w:r>
    </w:p>
    <w:p>
      <w:r>
        <w:rPr>
          <w:rFonts w:ascii="Calibri" w:hAnsi="Calibri"/>
        </w:rPr>
        <w:t xml:space="preserve">SGX CDP made available Marketnode's DLT-enabled direct-to-depository service for debt issuers. The platform eliminates paper trails and reduces bond settlement time by 60% (from T+5 to T+2). OCBC Bank's US$100 million Euro Commercial Paper issuance was the first transaction on the platform. Over S$1 billion in digital bonds have been issued through the platform. </w:t>
      </w:r>
      <w:r>
        <w:rPr>
          <w:rFonts w:ascii="Calibri" w:hAnsi="Calibri"/>
          <w:color w:val="0563C1"/>
          <w:u w:val="single"/>
        </w:rPr>
        <w:t>Source: [SGX Group (Jun 2022)</w:t>
      </w:r>
      <w:r>
        <w:rPr>
          <w:rFonts w:ascii="Calibri" w:hAnsi="Calibri"/>
        </w:rPr>
        <w:t xml:space="preserve">; </w:t>
      </w:r>
      <w:r>
        <w:rPr>
          <w:rFonts w:ascii="Calibri" w:hAnsi="Calibri"/>
          <w:color w:val="0563C1"/>
          <w:u w:val="single"/>
        </w:rPr>
        <w:t>Marketnode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2023 -- Margin and Clearing Fund Framework Refinements</w:t>
      </w:r>
    </w:p>
    <w:p>
      <w:r>
        <w:rPr>
          <w:rFonts w:ascii="Calibri" w:hAnsi="Calibri"/>
        </w:rPr>
        <w:t>Effective 26 May 2023 (rules) and 12 June 2023 (margin methodology), CDP implemented significant changes:</w:t>
      </w:r>
    </w:p>
    <w:p>
      <w:pPr>
        <w:pStyle w:val="ListBullet"/>
      </w:pPr>
      <w:r>
        <w:rPr>
          <w:rFonts w:ascii="Calibri" w:hAnsi="Calibri"/>
        </w:rPr>
        <w:t>Revised approach for sizing the Clearing Fund to be more risk-sensitive</w:t>
      </w:r>
    </w:p>
    <w:p>
      <w:pPr>
        <w:pStyle w:val="ListBullet"/>
      </w:pPr>
      <w:r>
        <w:rPr>
          <w:rFonts w:ascii="Calibri" w:hAnsi="Calibri"/>
        </w:rPr>
        <w:t>Deprioritised contingent contributions -- funded resources now utilised first</w:t>
      </w:r>
    </w:p>
    <w:p>
      <w:pPr>
        <w:pStyle w:val="ListBullet"/>
      </w:pPr>
      <w:r>
        <w:rPr>
          <w:rFonts w:ascii="Calibri" w:hAnsi="Calibri"/>
        </w:rPr>
        <w:t>Cap on clearing members' total clearing fund liability</w:t>
      </w:r>
    </w:p>
    <w:p>
      <w:pPr>
        <w:pStyle w:val="ListBullet"/>
      </w:pPr>
      <w:r>
        <w:rPr>
          <w:rFonts w:ascii="Calibri" w:hAnsi="Calibri"/>
        </w:rPr>
        <w:t>CDP maintains skin-in-the-game at minimum 25% of the Clearing Fund</w:t>
      </w:r>
    </w:p>
    <w:p>
      <w:r>
        <w:rPr>
          <w:rFonts w:ascii="Calibri" w:hAnsi="Calibri"/>
          <w:color w:val="0563C1"/>
          <w:u w:val="single"/>
        </w:rPr>
        <w:t>Source: [Allen &amp; Gledhill (2023)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2024 -- Revised Clearing Member Liability Cap for Multiple Defaults</w:t>
      </w:r>
    </w:p>
    <w:p>
      <w:r>
        <w:rPr>
          <w:rFonts w:ascii="Calibri" w:hAnsi="Calibri"/>
        </w:rPr>
        <w:t xml:space="preserve">SGX Group refined the cap on clearing members' liability for multiple defaults, providing CMs with greater certainty on their maximum financial exposure in tail-risk events involving sequential defaults. </w:t>
      </w:r>
      <w:r>
        <w:rPr>
          <w:rFonts w:ascii="Calibri" w:hAnsi="Calibri"/>
          <w:color w:val="0563C1"/>
          <w:u w:val="single"/>
        </w:rPr>
        <w:t>Source: [Mondovisione (Mar 2024)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2025 -- Strong Market Activity</w:t>
      </w:r>
    </w:p>
    <w:p>
      <w:r>
        <w:rPr>
          <w:rFonts w:ascii="Calibri" w:hAnsi="Calibri"/>
        </w:rPr>
        <w:t>FY2025 (July 2024 -- June 2025) saw significantly increased activity:</w:t>
      </w:r>
    </w:p>
    <w:p>
      <w:pPr>
        <w:pStyle w:val="ListBullet"/>
      </w:pPr>
      <w:r>
        <w:rPr>
          <w:rFonts w:ascii="Calibri" w:hAnsi="Calibri"/>
        </w:rPr>
        <w:t>Securities daily average traded value reached S$1.34 billion (up 26.5%)</w:t>
      </w:r>
    </w:p>
    <w:p>
      <w:pPr>
        <w:pStyle w:val="ListBullet"/>
      </w:pPr>
      <w:r>
        <w:rPr>
          <w:rFonts w:ascii="Calibri" w:hAnsi="Calibri"/>
        </w:rPr>
        <w:t>Total securities traded value reached S$336.4 billion (up 27.5%)</w:t>
      </w:r>
    </w:p>
    <w:p>
      <w:r>
        <w:rPr>
          <w:rFonts w:ascii="Calibri" w:hAnsi="Calibri"/>
          <w:color w:val="0563C1"/>
          <w:u w:val="single"/>
        </w:rPr>
        <w:t>Source: [SGX Group Annual Report FY2025</w:t>
      </w:r>
      <w:r>
        <w:rPr>
          <w:rFonts w:ascii="Calibri" w:hAnsi="Calibri"/>
        </w:rPr>
        <w:t>]</w:t>
      </w:r>
    </w:p>
    <w:p>
      <w:pPr>
        <w:pStyle w:val="Heading3"/>
      </w:pPr>
      <w:r>
        <w:rPr>
          <w:rFonts w:ascii="Calibri" w:hAnsi="Calibri"/>
        </w:rPr>
        <w:t>Digital Asset and Blockchain Initiatives</w:t>
      </w:r>
    </w:p>
    <w:p>
      <w:pPr>
        <w:pStyle w:val="ListBullet"/>
      </w:pPr>
      <w:r>
        <w:rPr>
          <w:rFonts w:ascii="Calibri" w:hAnsi="Calibri"/>
        </w:rPr>
        <w:t>SGX and Temasek established Marketnode as a joint venture for digital market infrastructure</w:t>
      </w:r>
    </w:p>
    <w:p>
      <w:pPr>
        <w:pStyle w:val="ListBullet"/>
      </w:pPr>
      <w:r>
        <w:rPr>
          <w:rFonts w:ascii="Calibri" w:hAnsi="Calibri"/>
        </w:rPr>
        <w:t xml:space="preserve">MAS and SGX successfully piloted blockchain technology for settlement of tokenised assets (Project Ubin) </w:t>
      </w:r>
      <w:r>
        <w:rPr>
          <w:rFonts w:ascii="Calibri" w:hAnsi="Calibri"/>
          <w:color w:val="0563C1"/>
          <w:u w:val="single"/>
        </w:rPr>
        <w:t>Source: [MAS Media Release (2018)</w:t>
      </w:r>
      <w:r>
        <w:rPr>
          <w:rFonts w:ascii="Calibri" w:hAnsi="Calibri"/>
        </w:rPr>
        <w:t>]</w:t>
      </w:r>
    </w:p>
    <w:p>
      <w:pPr>
        <w:pStyle w:val="ListBullet"/>
      </w:pPr>
      <w:r>
        <w:rPr>
          <w:rFonts w:ascii="Calibri" w:hAnsi="Calibri"/>
        </w:rPr>
        <w:t>SGX Derivatives (separate from CDP) launched Bitcoin and Ethereum perpetual futures in November 2025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Sources</w:t>
      </w:r>
    </w:p>
    <w:p>
      <w:pPr>
        <w:pStyle w:val="Heading3"/>
      </w:pPr>
      <w:r>
        <w:rPr>
          <w:rFonts w:ascii="Calibri" w:hAnsi="Calibri"/>
        </w:rPr>
        <w:t>Official SGX / CDP Sources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Securities Depository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Securities Clearing Information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Rulebook -- CDP Clearing Rules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Rulebook -- CDP Settlement Rules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RegCo -- PFMI Disclosure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Group Annual Report FY2025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Group Financial Results H1 FY2025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Group Financial Results FY2024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Rulebook -- Rule 3 Membership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Rulebook -- Rule 5 Financial/Capital Requirements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Rulebook -- Rule 6.2 Clearing and Novation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Rulebook -- Rule 6A Margin Requirements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SGX SBL Lending Pool</w:t>
      </w:r>
    </w:p>
    <w:p>
      <w:pPr>
        <w:pStyle w:val="Heading3"/>
      </w:pPr>
      <w:r>
        <w:rPr>
          <w:rFonts w:ascii="Calibri" w:hAnsi="Calibri"/>
        </w:rPr>
        <w:t>Regulatory Sources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MAS -- Clearing Houses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MAS -- Parliamentary Reply on CDP Oversight (2024)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MAS -- EMEAP Red Book (2011)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BIS -- Payment Systems in Singapore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IMF Country Report No. 13/345 -- Singapore FSAP</w:t>
      </w:r>
    </w:p>
    <w:p>
      <w:pPr>
        <w:pStyle w:val="Heading3"/>
      </w:pPr>
      <w:r>
        <w:rPr>
          <w:rFonts w:ascii="Calibri" w:hAnsi="Calibri"/>
        </w:rPr>
        <w:t>Third-Party / Analysis Sources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Allen &amp; Gledhill -- CDP Margin and Clearing Fund Refinements (2023)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Allen &amp; Gledhill -- Default Management Enhancements (2019)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Allen &amp; Gledhill -- Default Management Process Amendments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Mondovisione -- Clearing Member Liability Cap (2024)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LSEG Technology -- SGX Implementation (2018)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SWIFT -- SGX ISO 20022 Case Study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Settlement Process Singapore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Clearstream -- Settlement Services Singapore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Marketnode -- DLT Direct-to-Depository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Cbonds -- CDP Issuer Information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MAS eServices -- CDP Registration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