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</w:rPr>
        <w:t>Euroclear Group (Euroclear)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**Last Updated:** 2026-04-07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**Research Tier:** Tier 3 (Overview)</w:t>
      </w:r>
    </w:p>
    <w:p>
      <w:pPr>
        <w:ind w:left="720"/>
        <w:shd w:fill="F0F0F0" w:val="clear"/>
      </w:pPr>
      <w:r>
        <w:rPr>
          <w:rFonts w:ascii="Calibri" w:hAnsi="Calibri"/>
          <w:i/>
        </w:rPr>
        <w:t>**Type:** ICSD (International Central Securities Depository) + CSDs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1. Overview &amp; Profile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Item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Official Name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Group (holding: Euroclear Holding SA/NV; main ICSD: Euroclear Bank SA/NV)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Abbreviation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Website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  <w:color w:val="0563C1"/>
                <w:u w:val="single"/>
              </w:rPr>
              <w:t>https://www.euroclear.com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Year Established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1968 (Euroclear System launched by Morgan Guaranty Trust); Euroclear Bank incorporated 2000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Country / City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Belgium / Brussels (Euroclear Bank and group headquarters)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Ownership Structure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Holding SA/NV -- largely owned by its major users (banks and financial institutions); top 10 shareholders hold ~80.67% of equity (as of 31 Jan 2025)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Key Shareholders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Sicovam Holding SA (15.89%), Caisse des Depots et Consignations (11.41%), JPMorgan Chase, Citigroup, ICE, LSEG among top holders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Parent Company / Group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plc (UK-incorporated parent); Euroclear Holding SA/NV (Belgian operating holding)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Regulatory Authority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National Bank of Belgium (NBB) -- prudential supervision and oversight; Belgian FSMA -- conduct of business supervision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CPMI-IOSCO PFMI Compliance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Yes -- publishes PFMI self-assessments and PQD; assessed by IMF in Belgium FSAP 2023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CSDR Authorization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authorized under CSDR in December 2019 (core CSD services, non-banking and banking ancillary services)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Assets Under Custody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 42.5 trillion (representing ~50% of European CSD market)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Securities Settled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Transactions in domestic securities of 48 markets, against payment in 51 settlement currencies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Position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Largest European CSD group; one of two global ICSDs (alongside Clearstream)</w:t>
            </w:r>
          </w:p>
        </w:tc>
      </w:tr>
    </w:tbl>
    <w:p/>
    <w:p>
      <w:r>
        <w:rPr>
          <w:rFonts w:ascii="Calibri" w:hAnsi="Calibri"/>
        </w:rPr>
        <w:t>[Source: Euroclear -- Our Business, https://www.euroclear.com/about/en/business.html]</w:t>
      </w:r>
    </w:p>
    <w:p>
      <w:r>
        <w:rPr>
          <w:rFonts w:ascii="Calibri" w:hAnsi="Calibri"/>
        </w:rPr>
        <w:t>[Source: Wikipedia -- Euroclear, https://en.wikipedia.org/wiki/Euroclear]</w:t>
      </w:r>
    </w:p>
    <w:p>
      <w:r>
        <w:rPr>
          <w:rFonts w:ascii="Calibri" w:hAnsi="Calibri"/>
        </w:rPr>
        <w:t>[Source: IMF -- Belgium FSAP 2023, https://www.imf.org/-/media/files/publications/cr/2023/english/1belea2023012.pdf]</w:t>
      </w:r>
    </w:p>
    <w:p>
      <w:pPr>
        <w:pStyle w:val="Heading3"/>
      </w:pPr>
      <w:r>
        <w:rPr>
          <w:rFonts w:ascii="Calibri" w:hAnsi="Calibri"/>
        </w:rPr>
        <w:t>Euroclear Group Entities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Type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Location</w:t>
            </w:r>
          </w:p>
        </w:tc>
        <w:tc>
          <w:tcPr>
            <w:tcW w:type="dxa" w:w="216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Markets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Euroclear Bank SA/NV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ICSD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Brussels, Belgium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International securities (Eurobonds) + domestic securities of 48 markets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Euroclear Belgium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Brussels, Belgium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Belgian securities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Euroclear France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Paris, France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French securities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Euroclear Nederland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Amsterdam, Netherlands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Dutch securities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Euroclear Finland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Helsinki, Finland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Finnish securities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Euroclear Sweden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Stockholm, Sweden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Swedish securities</w:t>
            </w:r>
          </w:p>
        </w:tc>
      </w:tr>
      <w:tr>
        <w:tc>
          <w:tcPr>
            <w:tcW w:type="dxa" w:w="2160"/>
          </w:tcPr>
          <w:p>
            <w:pPr/>
            <w:r/>
            <w:r>
              <w:rPr>
                <w:rFonts w:ascii="Calibri" w:hAnsi="Calibri"/>
                <w:b/>
              </w:rPr>
              <w:t>Euroclear UK &amp; International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CSD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London, UK</w:t>
            </w:r>
          </w:p>
        </w:tc>
        <w:tc>
          <w:tcPr>
            <w:tcW w:type="dxa" w:w="2160"/>
          </w:tcPr>
          <w:p>
            <w:pPr/>
            <w:r/>
            <w:r>
              <w:rPr>
                <w:rFonts w:ascii="Calibri" w:hAnsi="Calibri"/>
              </w:rPr>
              <w:t>UK and Irish securities (operates CREST system)</w:t>
            </w:r>
          </w:p>
        </w:tc>
      </w:tr>
    </w:tbl>
    <w:p/>
    <w:p>
      <w:r>
        <w:rPr>
          <w:rFonts w:ascii="Calibri" w:hAnsi="Calibri"/>
        </w:rPr>
        <w:t>*Note: Euroclear Belgium, Euroclear France, and Euroclear Nederland are collectively known as the "ESES" CSDs, operating on a shared platform.*</w:t>
      </w:r>
    </w:p>
    <w:p>
      <w:r>
        <w:rPr>
          <w:rFonts w:ascii="Calibri" w:hAnsi="Calibri"/>
        </w:rPr>
        <w:t>[Source: Euroclear -- Our Business]</w:t>
      </w:r>
    </w:p>
    <w:p>
      <w:pPr>
        <w:pStyle w:val="Heading3"/>
      </w:pPr>
      <w:r>
        <w:rPr>
          <w:rFonts w:ascii="Calibri" w:hAnsi="Calibri"/>
        </w:rPr>
        <w:t>Key Historical Milestones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Year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Event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1967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Belgian branch of Morgan Guaranty Trust launches pilot securities settlement service for the Brussels Eurobond market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1968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System formally launched by Morgan Guaranty Trust Company of New York (December 1968)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1972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Morgan Brussels sells certain rights to Euroclear Clearance System Public Limited Company (UK); users gain governance role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2000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SA/NV incorporated in Belgium; takes over operations from Morgan Guaranty (JP Morgan)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2001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Merger with Sicovam SA (French CSD); creation of Euroclear France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Merger with CRESTCo (UK CSD); creation of Euroclear UK &amp; Ireland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2002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Acquisition of Necigef (Dutch CSD); creation of Euroclear Nederland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2007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Acquisition of Finnish CSD (APK); creation of Euroclear Finland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2008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Acquisition of Swedish CSD (VPC); creation of Euroclear Sweden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2015-2016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ESES CSDs (Belgium, France, Netherlands) connect to T2S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2019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authorized under CSDR (December 2019)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2022-2024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Immobilization of Russian sovereign assets (~EUR 191 billion) following EU sanctions; generates significant windfall income from reinvestment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and Euroclear Finland connect to T2S (September 2023)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and Clearstream announce initiative to digitize Eurobond market (dematerialized issuance from Q1 2026)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accelerates T2S connection for central bank money access</w:t>
            </w:r>
          </w:p>
        </w:tc>
      </w:tr>
    </w:tbl>
    <w:p/>
    <w:p>
      <w:r>
        <w:rPr>
          <w:rFonts w:ascii="Calibri" w:hAnsi="Calibri"/>
        </w:rPr>
        <w:t>[Source: Euroclear -- Our History, https://www.euroclear.com/about/en/history.html]</w:t>
      </w:r>
    </w:p>
    <w:p>
      <w:r>
        <w:rPr>
          <w:rFonts w:ascii="Calibri" w:hAnsi="Calibri"/>
        </w:rPr>
        <w:t>[Source: Euroclear -- Connecting EU Markets, https://www.euroclear.com/newsandinsights/en/press/2025/mr-19-connecting-eu-markets-across-asset-classes.html]</w:t>
      </w:r>
    </w:p>
    <w:p>
      <w:r>
        <w:rPr>
          <w:rFonts w:ascii="Calibri" w:hAnsi="Calibri"/>
        </w:rPr>
        <w:t>[Source: Euroclear -- Eurobond Digitization, https://www.euroclear.com/newsandinsights/en/press/2025/mr-25-euroclear-and-clearstream-to-digitise-eurobond-market.html]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2. Settlement Model</w:t>
      </w:r>
    </w:p>
    <w:p>
      <w:pPr>
        <w:pStyle w:val="Heading3"/>
      </w:pPr>
      <w:r>
        <w:rPr>
          <w:rFonts w:ascii="Calibri" w:hAnsi="Calibri"/>
        </w:rPr>
        <w:t>2.1 Euroclear Bank (ICSD)</w:t>
      </w:r>
    </w:p>
    <w:p>
      <w:r>
        <w:rPr>
          <w:rFonts w:ascii="Calibri" w:hAnsi="Calibri"/>
        </w:rPr>
        <w:t>Euroclear Bank serves as the primary ICSD for international securities, particularly Eurobonds. Its settlement model operates as follows:</w:t>
      </w:r>
    </w:p>
    <w:p>
      <w:pPr>
        <w:pStyle w:val="ListBullet"/>
      </w:pPr>
      <w:r>
        <w:rPr>
          <w:rFonts w:ascii="Calibri" w:hAnsi="Calibri"/>
          <w:b/>
        </w:rPr>
        <w:t>Book-Entry Settlement:</w:t>
      </w:r>
      <w:r>
        <w:rPr>
          <w:rFonts w:ascii="Calibri" w:hAnsi="Calibri"/>
        </w:rPr>
        <w:t xml:space="preserve"> All securities are held in dematerialized or immobilized form; settlement occurs through book-entry transfers in Euroclear Bank's accounts</w:t>
      </w:r>
    </w:p>
    <w:p>
      <w:pPr>
        <w:pStyle w:val="ListBullet"/>
      </w:pPr>
      <w:r>
        <w:rPr>
          <w:rFonts w:ascii="Calibri" w:hAnsi="Calibri"/>
          <w:b/>
        </w:rPr>
        <w:t>Batch and Real-Time Processing:</w:t>
      </w:r>
      <w:r>
        <w:rPr>
          <w:rFonts w:ascii="Calibri" w:hAnsi="Calibri"/>
        </w:rPr>
        <w:t xml:space="preserve"> Settlement occurs during overnight batch processing cycles and during the daytime real-time settlement window</w:t>
      </w:r>
    </w:p>
    <w:p>
      <w:pPr>
        <w:pStyle w:val="ListBullet"/>
      </w:pPr>
      <w:r>
        <w:rPr>
          <w:rFonts w:ascii="Calibri" w:hAnsi="Calibri"/>
          <w:b/>
        </w:rPr>
        <w:t>Multi-Currency:</w:t>
      </w:r>
      <w:r>
        <w:rPr>
          <w:rFonts w:ascii="Calibri" w:hAnsi="Calibri"/>
        </w:rPr>
        <w:t xml:space="preserve"> Settles transactions against payment in 51 currencies</w:t>
      </w:r>
    </w:p>
    <w:p>
      <w:pPr>
        <w:pStyle w:val="ListBullet"/>
      </w:pPr>
      <w:r>
        <w:rPr>
          <w:rFonts w:ascii="Calibri" w:hAnsi="Calibri"/>
          <w:b/>
        </w:rPr>
        <w:t>Multi-Market Access:</w:t>
      </w:r>
      <w:r>
        <w:rPr>
          <w:rFonts w:ascii="Calibri" w:hAnsi="Calibri"/>
        </w:rPr>
        <w:t xml:space="preserve"> Provides access to domestic securities of 48 markets through a single account (via links with local CSDs and agent banks)</w:t>
      </w:r>
    </w:p>
    <w:p>
      <w:pPr>
        <w:pStyle w:val="Heading3"/>
      </w:pPr>
      <w:r>
        <w:rPr>
          <w:rFonts w:ascii="Calibri" w:hAnsi="Calibri"/>
        </w:rPr>
        <w:t>2.2 Core CSD Services (under CSDR)</w:t>
      </w:r>
    </w:p>
    <w:p>
      <w:r>
        <w:rPr>
          <w:rFonts w:ascii="Calibri" w:hAnsi="Calibri"/>
        </w:rPr>
        <w:t>Euroclear Bank is authorized to perform three core CSD services:</w:t>
      </w:r>
    </w:p>
    <w:p>
      <w:pPr>
        <w:pStyle w:val="ListBullet"/>
      </w:pPr>
      <w:r>
        <w:rPr>
          <w:rFonts w:ascii="Calibri" w:hAnsi="Calibri"/>
          <w:b/>
        </w:rPr>
        <w:t>Notary Service</w:t>
      </w:r>
      <w:r>
        <w:rPr>
          <w:rFonts w:ascii="Calibri" w:hAnsi="Calibri"/>
        </w:rPr>
        <w:t xml:space="preserve"> -- initial recording of securities in book-entry form</w:t>
      </w:r>
    </w:p>
    <w:p>
      <w:pPr>
        <w:pStyle w:val="ListBullet"/>
      </w:pPr>
      <w:r>
        <w:rPr>
          <w:rFonts w:ascii="Calibri" w:hAnsi="Calibri"/>
          <w:b/>
        </w:rPr>
        <w:t>Central Maintenance Service</w:t>
      </w:r>
      <w:r>
        <w:rPr>
          <w:rFonts w:ascii="Calibri" w:hAnsi="Calibri"/>
        </w:rPr>
        <w:t xml:space="preserve"> -- maintaining securities accounts at the top tier level</w:t>
      </w:r>
    </w:p>
    <w:p>
      <w:pPr>
        <w:pStyle w:val="ListBullet"/>
      </w:pPr>
      <w:r>
        <w:rPr>
          <w:rFonts w:ascii="Calibri" w:hAnsi="Calibri"/>
          <w:b/>
        </w:rPr>
        <w:t>Settlement Service</w:t>
      </w:r>
      <w:r>
        <w:rPr>
          <w:rFonts w:ascii="Calibri" w:hAnsi="Calibri"/>
        </w:rPr>
        <w:t xml:space="preserve"> -- operating a securities settlement system</w:t>
      </w:r>
    </w:p>
    <w:p>
      <w:pPr>
        <w:pStyle w:val="Heading3"/>
      </w:pPr>
      <w:r>
        <w:rPr>
          <w:rFonts w:ascii="Calibri" w:hAnsi="Calibri"/>
        </w:rPr>
        <w:t>2.3 The Bridge (Euroclear-Clearstream)</w:t>
      </w:r>
    </w:p>
    <w:p>
      <w:r>
        <w:rPr>
          <w:rFonts w:ascii="Calibri" w:hAnsi="Calibri"/>
        </w:rPr>
        <w:t>The Bridge is the electronic settlement link between Euroclear Bank and Clearstream Banking Luxembourg, the two global ICSDs:</w:t>
      </w:r>
    </w:p>
    <w:p>
      <w:pPr>
        <w:pStyle w:val="ListBullet"/>
      </w:pPr>
      <w:r>
        <w:rPr>
          <w:rFonts w:ascii="Calibri" w:hAnsi="Calibri"/>
        </w:rPr>
        <w:t>Facilitates settlement of securities transactions between counterparties holding accounts at different ICSDs</w:t>
      </w:r>
    </w:p>
    <w:p>
      <w:pPr>
        <w:pStyle w:val="ListBullet"/>
      </w:pPr>
      <w:r>
        <w:rPr>
          <w:rFonts w:ascii="Calibri" w:hAnsi="Calibri"/>
        </w:rPr>
        <w:t>Operates on a DVP Model 1 basis (simultaneous, final transfer of securities and cash)</w:t>
      </w:r>
    </w:p>
    <w:p>
      <w:pPr>
        <w:pStyle w:val="ListBullet"/>
      </w:pPr>
      <w:r>
        <w:rPr>
          <w:rFonts w:ascii="Calibri" w:hAnsi="Calibri"/>
        </w:rPr>
        <w:t>Multiple overnight settlement exchanges plus an Automated Daytime Bridge during business hours</w:t>
      </w:r>
    </w:p>
    <w:p>
      <w:pPr>
        <w:pStyle w:val="ListBullet"/>
      </w:pPr>
      <w:r>
        <w:rPr>
          <w:rFonts w:ascii="Calibri" w:hAnsi="Calibri"/>
        </w:rPr>
        <w:t>Critical infrastructure for the Eurobond market, where securities may be held in either ICSD</w:t>
      </w:r>
    </w:p>
    <w:p>
      <w:pPr>
        <w:pStyle w:val="Heading3"/>
      </w:pPr>
      <w:r>
        <w:rPr>
          <w:rFonts w:ascii="Calibri" w:hAnsi="Calibri"/>
        </w:rPr>
        <w:t>2.4 Euroclear Group CSDs</w:t>
      </w:r>
    </w:p>
    <w:p>
      <w:r>
        <w:rPr>
          <w:rFonts w:ascii="Calibri" w:hAnsi="Calibri"/>
        </w:rPr>
        <w:t>Each national CSD operates settlement services for its domestic market:</w:t>
      </w:r>
    </w:p>
    <w:p>
      <w:pPr>
        <w:pStyle w:val="ListBullet"/>
      </w:pPr>
      <w:r>
        <w:rPr>
          <w:rFonts w:ascii="Calibri" w:hAnsi="Calibri"/>
          <w:b/>
        </w:rPr>
        <w:t>ESES CSDs</w:t>
      </w:r>
      <w:r>
        <w:rPr>
          <w:rFonts w:ascii="Calibri" w:hAnsi="Calibri"/>
        </w:rPr>
        <w:t xml:space="preserve"> (Belgium, France, Netherlands): Shared settlement platform; connected to T2S since 2015-2016</w:t>
      </w:r>
    </w:p>
    <w:p>
      <w:pPr>
        <w:pStyle w:val="ListBullet"/>
      </w:pPr>
      <w:r>
        <w:rPr>
          <w:rFonts w:ascii="Calibri" w:hAnsi="Calibri"/>
          <w:b/>
        </w:rPr>
        <w:t>Euroclear Finland:</w:t>
      </w:r>
      <w:r>
        <w:rPr>
          <w:rFonts w:ascii="Calibri" w:hAnsi="Calibri"/>
        </w:rPr>
        <w:t xml:space="preserve"> Connected to T2S since September 2023</w:t>
      </w:r>
    </w:p>
    <w:p>
      <w:pPr>
        <w:pStyle w:val="ListBullet"/>
      </w:pPr>
      <w:r>
        <w:rPr>
          <w:rFonts w:ascii="Calibri" w:hAnsi="Calibri"/>
          <w:b/>
        </w:rPr>
        <w:t>Euroclear Sweden:</w:t>
      </w:r>
      <w:r>
        <w:rPr>
          <w:rFonts w:ascii="Calibri" w:hAnsi="Calibri"/>
        </w:rPr>
        <w:t xml:space="preserve"> Not connected to T2S (Swedish krona market)</w:t>
      </w:r>
    </w:p>
    <w:p>
      <w:pPr>
        <w:pStyle w:val="ListBullet"/>
      </w:pPr>
      <w:r>
        <w:rPr>
          <w:rFonts w:ascii="Calibri" w:hAnsi="Calibri"/>
          <w:b/>
        </w:rPr>
        <w:t>Euroclear UK &amp; International:</w:t>
      </w:r>
      <w:r>
        <w:rPr>
          <w:rFonts w:ascii="Calibri" w:hAnsi="Calibri"/>
        </w:rPr>
        <w:t xml:space="preserve"> Operates the CREST real-time gross settlement system; not connected to T2S (post-Brexit)</w:t>
      </w:r>
    </w:p>
    <w:p>
      <w:r>
        <w:rPr>
          <w:rFonts w:ascii="Calibri" w:hAnsi="Calibri"/>
        </w:rPr>
        <w:t>[Source: Euroclear -- Settlement Services, https://www.euroclear.com/services/en/settlement.html]</w:t>
      </w:r>
    </w:p>
    <w:p>
      <w:r>
        <w:rPr>
          <w:rFonts w:ascii="Calibri" w:hAnsi="Calibri"/>
        </w:rPr>
        <w:t>[Source: Euroclear -- Settlement Euroclear Bank, https://www.euroclear.com/services/en/settlement/settlement-euroclear-bank.html]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3. Risk Management</w:t>
      </w:r>
    </w:p>
    <w:p>
      <w:pPr>
        <w:pStyle w:val="Heading3"/>
      </w:pPr>
      <w:r>
        <w:rPr>
          <w:rFonts w:ascii="Calibri" w:hAnsi="Calibri"/>
        </w:rPr>
        <w:t>3.1 Margin Framework</w:t>
      </w:r>
    </w:p>
    <w:p>
      <w:r>
        <w:rPr>
          <w:rFonts w:ascii="Calibri" w:hAnsi="Calibri"/>
        </w:rPr>
        <w:t>Euroclear Bank is not a CCP and does not collect margins in the traditional CCP sense. However, it manages credit and liquidity risk through:</w:t>
      </w:r>
    </w:p>
    <w:p>
      <w:pPr>
        <w:pStyle w:val="ListBullet"/>
      </w:pPr>
      <w:r>
        <w:rPr>
          <w:rFonts w:ascii="Calibri" w:hAnsi="Calibri"/>
          <w:b/>
        </w:rPr>
        <w:t>DVP Settlement:</w:t>
      </w:r>
      <w:r>
        <w:rPr>
          <w:rFonts w:ascii="Calibri" w:hAnsi="Calibri"/>
        </w:rPr>
        <w:t xml:space="preserve"> Simultaneous exchange of securities and cash eliminates principal risk</w:t>
      </w:r>
    </w:p>
    <w:p>
      <w:pPr>
        <w:pStyle w:val="ListBullet"/>
      </w:pPr>
      <w:r>
        <w:rPr>
          <w:rFonts w:ascii="Calibri" w:hAnsi="Calibri"/>
          <w:b/>
        </w:rPr>
        <w:t>Credit Extensions:</w:t>
      </w:r>
      <w:r>
        <w:rPr>
          <w:rFonts w:ascii="Calibri" w:hAnsi="Calibri"/>
        </w:rPr>
        <w:t xml:space="preserve"> Euroclear Bank provides intraday and overnight credit to participants to facilitate settlement; credit is secured by pledged collateral (securities in participant accounts)</w:t>
      </w:r>
    </w:p>
    <w:p>
      <w:pPr>
        <w:pStyle w:val="ListBullet"/>
      </w:pPr>
      <w:r>
        <w:rPr>
          <w:rFonts w:ascii="Calibri" w:hAnsi="Calibri"/>
          <w:b/>
        </w:rPr>
        <w:t>Collateral Haircuts:</w:t>
      </w:r>
      <w:r>
        <w:rPr>
          <w:rFonts w:ascii="Calibri" w:hAnsi="Calibri"/>
        </w:rPr>
        <w:t xml:space="preserve"> Securities pledged as collateral are subject to haircuts based on asset type, maturity, and market risk</w:t>
      </w:r>
    </w:p>
    <w:p>
      <w:pPr>
        <w:pStyle w:val="ListBullet"/>
      </w:pPr>
      <w:r>
        <w:rPr>
          <w:rFonts w:ascii="Calibri" w:hAnsi="Calibri"/>
          <w:b/>
        </w:rPr>
        <w:t>Credit Limits:</w:t>
      </w:r>
      <w:r>
        <w:rPr>
          <w:rFonts w:ascii="Calibri" w:hAnsi="Calibri"/>
        </w:rPr>
        <w:t xml:space="preserve"> Each participant has defined credit limits; exposures are monitored in real time</w:t>
      </w:r>
    </w:p>
    <w:p>
      <w:pPr>
        <w:pStyle w:val="ListBullet"/>
      </w:pPr>
      <w:r>
        <w:rPr>
          <w:rFonts w:ascii="Calibri" w:hAnsi="Calibri"/>
          <w:b/>
        </w:rPr>
        <w:t>Pre-Settlement Risk:</w:t>
      </w:r>
      <w:r>
        <w:rPr>
          <w:rFonts w:ascii="Calibri" w:hAnsi="Calibri"/>
        </w:rPr>
        <w:t xml:space="preserve"> Managed through mark-to-market valuation and collateral requirements</w:t>
      </w:r>
    </w:p>
    <w:p>
      <w:pPr>
        <w:pStyle w:val="Heading3"/>
      </w:pPr>
      <w:r>
        <w:rPr>
          <w:rFonts w:ascii="Calibri" w:hAnsi="Calibri"/>
        </w:rPr>
        <w:t>3.3 Default Waterfall</w:t>
      </w:r>
    </w:p>
    <w:p>
      <w:r>
        <w:rPr>
          <w:rFonts w:ascii="Calibri" w:hAnsi="Calibri"/>
        </w:rPr>
        <w:t>As a CSD/ICSD (not a CCP), Euroclear Bank does not have a traditional default waterfall. Instead:</w:t>
      </w:r>
    </w:p>
    <w:p>
      <w:pPr>
        <w:pStyle w:val="ListBullet"/>
      </w:pPr>
      <w:r>
        <w:rPr>
          <w:rFonts w:ascii="Calibri" w:hAnsi="Calibri"/>
          <w:b/>
        </w:rPr>
        <w:t>Secured Credit:</w:t>
      </w:r>
      <w:r>
        <w:rPr>
          <w:rFonts w:ascii="Calibri" w:hAnsi="Calibri"/>
        </w:rPr>
        <w:t xml:space="preserve"> All credit extensions are backed by collateral with appropriate haircuts</w:t>
      </w:r>
    </w:p>
    <w:p>
      <w:pPr>
        <w:pStyle w:val="ListBullet"/>
      </w:pPr>
      <w:r>
        <w:rPr>
          <w:rFonts w:ascii="Calibri" w:hAnsi="Calibri"/>
          <w:b/>
        </w:rPr>
        <w:t>Loss Absorption:</w:t>
      </w:r>
      <w:r>
        <w:rPr>
          <w:rFonts w:ascii="Calibri" w:hAnsi="Calibri"/>
        </w:rPr>
        <w:t xml:space="preserve"> In the event of a participant default, Euroclear Bank has the right to liquidate pledged collateral</w:t>
      </w:r>
    </w:p>
    <w:p>
      <w:pPr>
        <w:pStyle w:val="ListBullet"/>
      </w:pPr>
      <w:r>
        <w:rPr>
          <w:rFonts w:ascii="Calibri" w:hAnsi="Calibri"/>
          <w:b/>
        </w:rPr>
        <w:t>Capital Buffers:</w:t>
      </w:r>
      <w:r>
        <w:rPr>
          <w:rFonts w:ascii="Calibri" w:hAnsi="Calibri"/>
        </w:rPr>
        <w:t xml:space="preserve"> Euroclear Bank maintains capital in accordance with CRR/CRD requirements as a licensed Belgian credit institution</w:t>
      </w:r>
    </w:p>
    <w:p>
      <w:pPr>
        <w:pStyle w:val="ListBullet"/>
      </w:pPr>
      <w:r>
        <w:rPr>
          <w:rFonts w:ascii="Calibri" w:hAnsi="Calibri"/>
          <w:b/>
        </w:rPr>
        <w:t>No Mutualized Default Fund:</w:t>
      </w:r>
      <w:r>
        <w:rPr>
          <w:rFonts w:ascii="Calibri" w:hAnsi="Calibri"/>
        </w:rPr>
        <w:t xml:space="preserve"> Unlike CCPs, there is no mutualized default fund; losses are absorbed by the defaulter's collateral first, then by Euroclear Bank's own capital</w:t>
      </w:r>
    </w:p>
    <w:p>
      <w:pPr>
        <w:pStyle w:val="Heading3"/>
      </w:pPr>
      <w:r>
        <w:rPr>
          <w:rFonts w:ascii="Calibri" w:hAnsi="Calibri"/>
        </w:rPr>
        <w:t>3.6 Recovery &amp; Resolution</w:t>
      </w:r>
    </w:p>
    <w:p>
      <w:pPr>
        <w:pStyle w:val="ListBullet"/>
      </w:pPr>
      <w:r>
        <w:rPr>
          <w:rFonts w:ascii="Calibri" w:hAnsi="Calibri"/>
          <w:b/>
        </w:rPr>
        <w:t>CSD Recovery &amp; Resolution:</w:t>
      </w:r>
      <w:r>
        <w:rPr>
          <w:rFonts w:ascii="Calibri" w:hAnsi="Calibri"/>
        </w:rPr>
        <w:t xml:space="preserve"> Subject to the EU CSD Recovery and Resolution framework</w:t>
      </w:r>
    </w:p>
    <w:p>
      <w:pPr>
        <w:pStyle w:val="ListBullet"/>
      </w:pPr>
      <w:r>
        <w:rPr>
          <w:rFonts w:ascii="Calibri" w:hAnsi="Calibri"/>
          <w:b/>
        </w:rPr>
        <w:t>Banking Recovery:</w:t>
      </w:r>
      <w:r>
        <w:rPr>
          <w:rFonts w:ascii="Calibri" w:hAnsi="Calibri"/>
        </w:rPr>
        <w:t xml:space="preserve"> As a licensed credit institution, Euroclear Bank is also subject to the Bank Recovery and Resolution Directive (BRRD)</w:t>
      </w:r>
    </w:p>
    <w:p>
      <w:pPr>
        <w:pStyle w:val="ListBullet"/>
      </w:pPr>
      <w:r>
        <w:rPr>
          <w:rFonts w:ascii="Calibri" w:hAnsi="Calibri"/>
          <w:b/>
        </w:rPr>
        <w:t>Supervisor:</w:t>
      </w:r>
      <w:r>
        <w:rPr>
          <w:rFonts w:ascii="Calibri" w:hAnsi="Calibri"/>
        </w:rPr>
        <w:t xml:space="preserve"> National Bank of Belgium (NBB) is the resolution authority</w:t>
      </w:r>
    </w:p>
    <w:p>
      <w:pPr>
        <w:pStyle w:val="ListBullet"/>
      </w:pPr>
      <w:r>
        <w:rPr>
          <w:rFonts w:ascii="Calibri" w:hAnsi="Calibri"/>
          <w:b/>
        </w:rPr>
        <w:t>Systemic Importance:</w:t>
      </w:r>
      <w:r>
        <w:rPr>
          <w:rFonts w:ascii="Calibri" w:hAnsi="Calibri"/>
        </w:rPr>
        <w:t xml:space="preserve"> Euroclear Bank is designated as a systemically important FMI in Belgium and globally</w:t>
      </w:r>
    </w:p>
    <w:p>
      <w:r>
        <w:rPr>
          <w:rFonts w:ascii="Calibri" w:hAnsi="Calibri"/>
        </w:rPr>
        <w:t>[Source: Euroclear -- Risk Management / Pillar 3 Disclosure, https://www.euroclear.com/dam/Brochures/Pillar3_2012.pdf]</w:t>
      </w:r>
    </w:p>
    <w:p>
      <w:r>
        <w:rPr>
          <w:rFonts w:ascii="Calibri" w:hAnsi="Calibri"/>
        </w:rPr>
        <w:t>[Source: IMF -- Belgium FSAP 2023]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4. Settlement</w:t>
      </w:r>
    </w:p>
    <w:p>
      <w:pPr>
        <w:pStyle w:val="Heading3"/>
      </w:pPr>
      <w:r>
        <w:rPr>
          <w:rFonts w:ascii="Calibri" w:hAnsi="Calibri"/>
        </w:rPr>
        <w:t>4.1 Settlement Cycle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Market / Entity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Standard Cycle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Bank (ICSD)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Standard for most international securities; follows market convention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ESES CSDs (BE, FR, NL)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Aligned with EU CSDR; connected to T2S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Finland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Connected to T2S since September 2023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Sweden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T+2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Implemented in line with EU harmonization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UK &amp; International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T+1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UK migrated to T+1 on 11 October 2027 [unverified -- UK T+1 timeline under discussion as of 2026]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Eurobonds (primary market)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Various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New issuance typically T+5 to T+7 for syndicated deals; secondary market T+2</w:t>
            </w:r>
          </w:p>
        </w:tc>
      </w:tr>
    </w:tbl>
    <w:p/>
    <w:p>
      <w:r>
        <w:rPr>
          <w:rFonts w:ascii="Calibri" w:hAnsi="Calibri"/>
          <w:b/>
        </w:rPr>
        <w:t>T+1 Transition:</w:t>
      </w:r>
      <w:r>
        <w:rPr>
          <w:rFonts w:ascii="Calibri" w:hAnsi="Calibri"/>
        </w:rPr>
        <w:t xml:space="preserve"> The EU is planning to move to T+1 settlement. Euroclear's CSDs will need to adapt their systems and processes accordingly. The exact EU T+1 implementation date was under discussion as of early 2026. [unverified]</w:t>
      </w:r>
    </w:p>
    <w:p>
      <w:pPr>
        <w:pStyle w:val="Heading3"/>
      </w:pPr>
      <w:r>
        <w:rPr>
          <w:rFonts w:ascii="Calibri" w:hAnsi="Calibri"/>
        </w:rPr>
        <w:t>4.2 DVP Model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DVP Model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Description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Bank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Gross, simultaneous, final transfer of securities and cash on a trade-by-trade basis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ESES CSDs (via T2S)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Real-time gross settlement on T2S platform with central bank money (EUR)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Finland (via T2S)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Same as ESES on T2S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UK &amp; International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CREST system -- real-time DVP in central bank money (GBP via BoE) and commercial bank money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Bridge (Euroclear-Clearstream)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Model 1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Simultaneous, final transfer between the two ICSDs</w:t>
            </w:r>
          </w:p>
        </w:tc>
      </w:tr>
    </w:tbl>
    <w:p/>
    <w:p>
      <w:r>
        <w:rPr>
          <w:rFonts w:ascii="Calibri" w:hAnsi="Calibri"/>
        </w:rPr>
        <w:t>[Source: Euroclear -- Settlement Services]</w:t>
      </w:r>
    </w:p>
    <w:p>
      <w:r>
        <w:rPr>
          <w:rFonts w:ascii="Calibri" w:hAnsi="Calibri"/>
        </w:rPr>
        <w:t>[Source: Euroclear -- Euroclear Bank Joining T2S, https://www.euroclear.com/services/en/settlement/settlement-euroclear-bank/euroclear-bank-joining-t2s.html]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5. Technology &amp; Infrastructure</w:t>
      </w:r>
    </w:p>
    <w:p>
      <w:pPr>
        <w:pStyle w:val="ListBullet"/>
      </w:pPr>
      <w:r>
        <w:rPr>
          <w:rFonts w:ascii="Calibri" w:hAnsi="Calibri"/>
          <w:b/>
        </w:rPr>
        <w:t>Single Platform Strategy:</w:t>
      </w:r>
      <w:r>
        <w:rPr>
          <w:rFonts w:ascii="Calibri" w:hAnsi="Calibri"/>
        </w:rPr>
        <w:t xml:space="preserve"> Euroclear has progressively consolidated its CSD operations onto shared platforms (ESES for Belgium/France/Netherlands)</w:t>
      </w:r>
    </w:p>
    <w:p>
      <w:pPr>
        <w:pStyle w:val="ListBullet"/>
      </w:pPr>
      <w:r>
        <w:rPr>
          <w:rFonts w:ascii="Calibri" w:hAnsi="Calibri"/>
          <w:b/>
        </w:rPr>
        <w:t>T2S Connection:</w:t>
      </w:r>
      <w:r>
        <w:rPr>
          <w:rFonts w:ascii="Calibri" w:hAnsi="Calibri"/>
        </w:rPr>
        <w:t xml:space="preserve"> Five of seven group CSDs are connected to or in the process of connecting to the Eurosystem's T2S platform</w:t>
      </w:r>
    </w:p>
    <w:p>
      <w:pPr>
        <w:pStyle w:val="ListBullet"/>
      </w:pPr>
      <w:r>
        <w:rPr>
          <w:rFonts w:ascii="Calibri" w:hAnsi="Calibri"/>
          <w:b/>
        </w:rPr>
        <w:t>CREST System:</w:t>
      </w:r>
      <w:r>
        <w:rPr>
          <w:rFonts w:ascii="Calibri" w:hAnsi="Calibri"/>
        </w:rPr>
        <w:t xml:space="preserve"> Euroclear UK &amp; International operates the CREST real-time settlement system, a legacy UK infrastructure</w:t>
      </w:r>
    </w:p>
    <w:p>
      <w:pPr>
        <w:pStyle w:val="ListBullet"/>
      </w:pPr>
      <w:r>
        <w:rPr>
          <w:rFonts w:ascii="Calibri" w:hAnsi="Calibri"/>
          <w:b/>
        </w:rPr>
        <w:t>Eurobond Digitization (2025-2026):</w:t>
      </w:r>
      <w:r>
        <w:rPr>
          <w:rFonts w:ascii="Calibri" w:hAnsi="Calibri"/>
        </w:rPr>
        <w:t xml:space="preserve"> Joint initiative with Clearstream to support dematerialized Eurobond issuance from Q1 2026, eliminating paper certificates</w:t>
      </w:r>
    </w:p>
    <w:p>
      <w:pPr>
        <w:pStyle w:val="ListBullet"/>
      </w:pPr>
      <w:r>
        <w:rPr>
          <w:rFonts w:ascii="Calibri" w:hAnsi="Calibri"/>
          <w:b/>
        </w:rPr>
        <w:t>Post-Trade Transformation:</w:t>
      </w:r>
      <w:r>
        <w:rPr>
          <w:rFonts w:ascii="Calibri" w:hAnsi="Calibri"/>
        </w:rPr>
        <w:t xml:space="preserve"> Euroclear Bank is undergoing a multi-year technology transformation in partnership with TCS (Tata Consultancy Services) to modernize its post-trade processing platform</w:t>
      </w:r>
    </w:p>
    <w:p>
      <w:r>
        <w:rPr>
          <w:rFonts w:ascii="Calibri" w:hAnsi="Calibri"/>
        </w:rPr>
        <w:t>[Source: Euroclear -- Eurobond Digitization Press Release]</w:t>
      </w:r>
    </w:p>
    <w:p>
      <w:r>
        <w:rPr>
          <w:rFonts w:ascii="Calibri" w:hAnsi="Calibri"/>
        </w:rPr>
        <w:t>[Source: TCS -- Euroclear Post Trade Transformation, https://www.tcs.com/what-we-do/products-platforms/tcs-bancs/interview/euroclear-post-trade-processing-transformation]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6. Regulatory Framework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Aspect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Details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Legislation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 Central Securities Depositories Regulation (CSDR, Regulation 909/2014)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Banking Legislation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 CRR/CRD; Belgian Banking Act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Primary Supervisor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National Bank of Belgium (NBB) -- prudential supervision and oversight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Conduct Supervisor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Belgian FSMA (Financial Services and Markets Authority)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CSDR Authorization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authorized December 2019 (core CSD + banking ancillary services)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ESES CSDs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Authorized under CSDR by respective national authorities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Banking License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is a licensed Belgian credit institution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UK Status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recognized as third-country CSD under UK CSDR (May 2023)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Settlement Finality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Belgian law implements EU Settlement Finality Directive (98/26/EC); Euroclear Bank's system is designated under this directive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National CSD Regulators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CSD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Regulator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Belgium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NBB / FSMA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France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AMF / Banque de France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Nederland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AFM / DNB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Finland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Bank of Finland / FIN-FSA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Sweden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Finansinspektionen / Riksbank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UK &amp; International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Bank of England / FCA</w:t>
            </w:r>
          </w:p>
        </w:tc>
      </w:tr>
    </w:tbl>
    <w:p/>
    <w:p>
      <w:r>
        <w:rPr>
          <w:rFonts w:ascii="Calibri" w:hAnsi="Calibri"/>
        </w:rPr>
        <w:t>[Source: Euroclear -- Wikipedia]</w:t>
      </w:r>
    </w:p>
    <w:p>
      <w:r>
        <w:rPr>
          <w:rFonts w:ascii="Calibri" w:hAnsi="Calibri"/>
        </w:rPr>
        <w:t>[Source: IMF -- Belgium FSAP 2023]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7. Interoperability</w:t>
      </w:r>
    </w:p>
    <w:p>
      <w:pPr>
        <w:pStyle w:val="Heading3"/>
      </w:pPr>
      <w:r>
        <w:rPr>
          <w:rFonts w:ascii="Calibri" w:hAnsi="Calibri"/>
        </w:rPr>
        <w:t>7.1 The Bridge (Euroclear-Clearstream)</w:t>
      </w:r>
    </w:p>
    <w:p>
      <w:r>
        <w:rPr>
          <w:rFonts w:ascii="Calibri" w:hAnsi="Calibri"/>
        </w:rPr>
        <w:t>The most critical interoperability link in international securities markets:</w:t>
      </w:r>
    </w:p>
    <w:p>
      <w:pPr>
        <w:pStyle w:val="ListBullet"/>
      </w:pPr>
      <w:r>
        <w:rPr>
          <w:rFonts w:ascii="Calibri" w:hAnsi="Calibri"/>
        </w:rPr>
        <w:t>Connects the two ICSDs for Eurobond and international securities settlement</w:t>
      </w:r>
    </w:p>
    <w:p>
      <w:pPr>
        <w:pStyle w:val="ListBullet"/>
      </w:pPr>
      <w:r>
        <w:rPr>
          <w:rFonts w:ascii="Calibri" w:hAnsi="Calibri"/>
        </w:rPr>
        <w:t>Real-time and batch settlement exchanges</w:t>
      </w:r>
    </w:p>
    <w:p>
      <w:pPr>
        <w:pStyle w:val="ListBullet"/>
      </w:pPr>
      <w:r>
        <w:rPr>
          <w:rFonts w:ascii="Calibri" w:hAnsi="Calibri"/>
        </w:rPr>
        <w:t>DVP Model 1 settlement</w:t>
      </w:r>
    </w:p>
    <w:p>
      <w:pPr>
        <w:pStyle w:val="ListBullet"/>
      </w:pPr>
      <w:r>
        <w:rPr>
          <w:rFonts w:ascii="Calibri" w:hAnsi="Calibri"/>
        </w:rPr>
        <w:t>Jointly operated since the 1970s; continuously enhanced</w:t>
      </w:r>
    </w:p>
    <w:p>
      <w:pPr>
        <w:pStyle w:val="Heading3"/>
      </w:pPr>
      <w:r>
        <w:rPr>
          <w:rFonts w:ascii="Calibri" w:hAnsi="Calibri"/>
        </w:rPr>
        <w:t>7.2 CSD Links</w:t>
      </w:r>
    </w:p>
    <w:p>
      <w:r>
        <w:rPr>
          <w:rFonts w:ascii="Calibri" w:hAnsi="Calibri"/>
        </w:rPr>
        <w:t>Euroclear Bank maintains an extensive network of links with national and regional CSDs globally:</w:t>
      </w:r>
    </w:p>
    <w:p>
      <w:pPr>
        <w:pStyle w:val="ListBullet"/>
      </w:pPr>
      <w:r>
        <w:rPr>
          <w:rFonts w:ascii="Calibri" w:hAnsi="Calibri"/>
          <w:b/>
        </w:rPr>
        <w:t>Direct Links:</w:t>
      </w:r>
      <w:r>
        <w:rPr>
          <w:rFonts w:ascii="Calibri" w:hAnsi="Calibri"/>
        </w:rPr>
        <w:t xml:space="preserve"> Connections to major CSDs worldwide for cross-border settlement</w:t>
      </w:r>
    </w:p>
    <w:p>
      <w:pPr>
        <w:pStyle w:val="ListBullet"/>
      </w:pPr>
      <w:r>
        <w:rPr>
          <w:rFonts w:ascii="Calibri" w:hAnsi="Calibri"/>
          <w:b/>
        </w:rPr>
        <w:t>48 Markets:</w:t>
      </w:r>
      <w:r>
        <w:rPr>
          <w:rFonts w:ascii="Calibri" w:hAnsi="Calibri"/>
        </w:rPr>
        <w:t xml:space="preserve"> Euroclear Bank provides access to domestic securities of 48 markets</w:t>
      </w:r>
    </w:p>
    <w:p>
      <w:pPr>
        <w:pStyle w:val="ListBullet"/>
      </w:pPr>
      <w:r>
        <w:rPr>
          <w:rFonts w:ascii="Calibri" w:hAnsi="Calibri"/>
          <w:b/>
        </w:rPr>
        <w:t>T2S Links:</w:t>
      </w:r>
      <w:r>
        <w:rPr>
          <w:rFonts w:ascii="Calibri" w:hAnsi="Calibri"/>
        </w:rPr>
        <w:t xml:space="preserve"> Euroclear's T2S-connected CSDs benefit from harmonized cross-CSD settlement within the T2S ecosystem</w:t>
      </w:r>
    </w:p>
    <w:p>
      <w:pPr>
        <w:pStyle w:val="Heading3"/>
      </w:pPr>
      <w:r>
        <w:rPr>
          <w:rFonts w:ascii="Calibri" w:hAnsi="Calibri"/>
        </w:rPr>
        <w:t>7.3 T2S Participation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Entity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T2S Connected</w:t>
            </w:r>
          </w:p>
        </w:tc>
        <w:tc>
          <w:tcPr>
            <w:tcW w:type="dxa" w:w="288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Connection Date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Belgium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2016 (Wave 3)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France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2016 (Wave 3)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Nederland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2016 (Wave 3)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Finland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Yes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September 2023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Bank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In progress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Accelerating connection for central bank money access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Sweden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Not migrating (non-euro market)</w:t>
            </w:r>
          </w:p>
        </w:tc>
      </w:tr>
      <w:tr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Euroclear UK &amp; International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</w:t>
            </w:r>
          </w:p>
        </w:tc>
        <w:tc>
          <w:tcPr>
            <w:tcW w:type="dxa" w:w="2880"/>
          </w:tcPr>
          <w:p>
            <w:pPr/>
            <w:r/>
            <w:r>
              <w:rPr>
                <w:rFonts w:ascii="Calibri" w:hAnsi="Calibri"/>
              </w:rPr>
              <w:t>Not migrating (post-Brexit, non-euro)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7.4 Strategic Vision: Pan-EU Market Access</w:t>
      </w:r>
    </w:p>
    <w:p>
      <w:r>
        <w:rPr>
          <w:rFonts w:ascii="Calibri" w:hAnsi="Calibri"/>
        </w:rPr>
        <w:t>Euroclear Bank aims to complete commercial bank money access to all 27 EU member states by 2026, followed by central bank money access via T2S. This would create a single access point for settlement across the entire EU.</w:t>
      </w:r>
    </w:p>
    <w:p>
      <w:r>
        <w:rPr>
          <w:rFonts w:ascii="Calibri" w:hAnsi="Calibri"/>
        </w:rPr>
        <w:t>[Source: Euroclear -- Connecting EU Markets, https://www.euroclear.com/newsandinsights/en/press/2025/mr-19-connecting-eu-markets-across-asset-classes.html]</w:t>
      </w:r>
    </w:p>
    <w:p>
      <w:r>
        <w:rPr>
          <w:rFonts w:ascii="Calibri" w:hAnsi="Calibri"/>
        </w:rPr>
        <w:t>[Source: Euroclear -- Euroclear Bank Joining T2S]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9. Recent Developments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Date</w:t>
            </w:r>
          </w:p>
        </w:tc>
        <w:tc>
          <w:tcPr>
            <w:tcW w:type="dxa" w:w="4320"/>
            <w:shd w:fill="4472C4" w:val="clear"/>
          </w:tcPr>
          <w:p>
            <w:pPr/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color w:val="FFFFFF"/>
              </w:rPr>
              <w:t>Development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Q1 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and Clearstream announce joint initiative to digitize Eurobond market; dematerialized issuance support from Q1 2026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accelerates T2S connection for central bank money settlement access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announces plan for commercial bank money access to all 27 EU member states by 2026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Sep 2023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and Euroclear Finland connect to T2S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2022-2025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Immobilization of ~EUR 191 billion in Russian sovereign assets following EU sanctions; Euroclear generates significant windfall income from reinvesting cash flows; politically sensitive topic</w:t>
            </w:r>
          </w:p>
        </w:tc>
      </w:tr>
      <w:tr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Dec 2019</w:t>
            </w:r>
          </w:p>
        </w:tc>
        <w:tc>
          <w:tcPr>
            <w:tcW w:type="dxa" w:w="4320"/>
          </w:tcPr>
          <w:p>
            <w:pPr/>
            <w:r/>
            <w:r>
              <w:rPr>
                <w:rFonts w:ascii="Calibri" w:hAnsi="Calibri"/>
              </w:rPr>
              <w:t>Euroclear Bank receives CSDR authorization</w:t>
            </w:r>
          </w:p>
        </w:tc>
      </w:tr>
    </w:tbl>
    <w:p/>
    <w:p>
      <w:pPr>
        <w:pStyle w:val="Heading3"/>
      </w:pPr>
      <w:r>
        <w:rPr>
          <w:rFonts w:ascii="Calibri" w:hAnsi="Calibri"/>
        </w:rPr>
        <w:t>Key Strategic Themes</w:t>
      </w:r>
    </w:p>
    <w:p>
      <w:pPr>
        <w:pStyle w:val="ListBullet"/>
      </w:pPr>
      <w:r>
        <w:rPr>
          <w:rFonts w:ascii="Calibri" w:hAnsi="Calibri"/>
          <w:b/>
        </w:rPr>
        <w:t>Pan-European Access:</w:t>
      </w:r>
      <w:r>
        <w:rPr>
          <w:rFonts w:ascii="Calibri" w:hAnsi="Calibri"/>
        </w:rPr>
        <w:t xml:space="preserve"> Building a single gateway for settlement across all EU markets through commercial bank money and eventually central bank money (T2S)</w:t>
      </w:r>
    </w:p>
    <w:p>
      <w:pPr>
        <w:pStyle w:val="ListBullet"/>
      </w:pPr>
      <w:r>
        <w:rPr>
          <w:rFonts w:ascii="Calibri" w:hAnsi="Calibri"/>
          <w:b/>
        </w:rPr>
        <w:t>Eurobond Modernization:</w:t>
      </w:r>
      <w:r>
        <w:rPr>
          <w:rFonts w:ascii="Calibri" w:hAnsi="Calibri"/>
        </w:rPr>
        <w:t xml:space="preserve"> Eliminating paper certificates through dematerialization, jointly with Clearstream</w:t>
      </w:r>
    </w:p>
    <w:p>
      <w:pPr>
        <w:pStyle w:val="ListBullet"/>
      </w:pPr>
      <w:r>
        <w:rPr>
          <w:rFonts w:ascii="Calibri" w:hAnsi="Calibri"/>
          <w:b/>
        </w:rPr>
        <w:t>Russian Assets:</w:t>
      </w:r>
      <w:r>
        <w:rPr>
          <w:rFonts w:ascii="Calibri" w:hAnsi="Calibri"/>
        </w:rPr>
        <w:t xml:space="preserve"> Managing the operational, legal, and political complexities of frozen Russian sovereign assets</w:t>
      </w:r>
    </w:p>
    <w:p>
      <w:pPr>
        <w:pStyle w:val="ListBullet"/>
      </w:pPr>
      <w:r>
        <w:rPr>
          <w:rFonts w:ascii="Calibri" w:hAnsi="Calibri"/>
          <w:b/>
        </w:rPr>
        <w:t>T+1 Readiness:</w:t>
      </w:r>
      <w:r>
        <w:rPr>
          <w:rFonts w:ascii="Calibri" w:hAnsi="Calibri"/>
        </w:rPr>
        <w:t xml:space="preserve"> Preparing systems and processes for the eventual EU transition to T+1 settlement</w:t>
      </w:r>
    </w:p>
    <w:p>
      <w:pPr>
        <w:pStyle w:val="ListBullet"/>
      </w:pPr>
      <w:r>
        <w:rPr>
          <w:rFonts w:ascii="Calibri" w:hAnsi="Calibri"/>
          <w:b/>
        </w:rPr>
        <w:t>Technology Modernization:</w:t>
      </w:r>
      <w:r>
        <w:rPr>
          <w:rFonts w:ascii="Calibri" w:hAnsi="Calibri"/>
        </w:rPr>
        <w:t xml:space="preserve"> Multi-year platform transformation to improve efficiency and resilience</w:t>
      </w:r>
    </w:p>
    <w:p>
      <w:r>
        <w:rPr>
          <w:rFonts w:ascii="Calibri" w:hAnsi="Calibri"/>
        </w:rPr>
        <w:t>[Source: Euroclear -- Press Releases 2025]</w:t>
      </w:r>
    </w:p>
    <w:p>
      <w:r>
        <w:rPr>
          <w:rFonts w:ascii="Calibri" w:hAnsi="Calibri"/>
        </w:rPr>
        <w:t>[Source: IFRI -- Central Securities Depositories Study 2025, https://www.ifri.org/sites/default/files/2025-11/ifri_havrylchyk_central_securities_depositories_2025_0.pdf]</w:t>
      </w:r>
    </w:p>
    <w:p>
      <w:pPr>
        <w:pBdr>
          <w:bottom w:val="single" w:sz="4" w:space="1" w:color="auto"/>
        </w:pBdr>
      </w:pPr>
    </w:p>
    <w:p>
      <w:pPr>
        <w:pStyle w:val="Heading2"/>
      </w:pPr>
      <w:r>
        <w:rPr>
          <w:rFonts w:ascii="Calibri" w:hAnsi="Calibri"/>
        </w:rPr>
        <w:t>Sources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Euroclear -- Our Business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Euroclear -- Our History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Euroclear -- Settlement Services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Euroclear -- Settlement Euroclear Bank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Euroclear -- Euroclear Bank Joining T2S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Euroclear -- Connecting EU Markets (2025)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Euroclear -- Eurobond Digitization (2025)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Euroclear -- Risk Management / Pillar 3 Disclosure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Wikipedia -- Euroclear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IMF -- Belgium FSAP 2023 (Euroclear Bank Assessment)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IFRI -- Central Securities Depositories Study (Nov 2025)</w:t>
      </w:r>
    </w:p>
    <w:p>
      <w:pPr>
        <w:pStyle w:val="ListBullet"/>
      </w:pPr>
      <w:r>
        <w:rPr>
          <w:rFonts w:ascii="Calibri" w:hAnsi="Calibri"/>
          <w:color w:val="0563C1"/>
          <w:u w:val="single"/>
        </w:rPr>
        <w:t>TCS -- Euroclear Post Trade Transformation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