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KRX Clearing (Korea Exchange CCP)</w:t>
      </w:r>
    </w:p>
    <w:p>
      <w:r>
        <w:rPr>
          <w:i/>
          <w:sz w:val="18"/>
        </w:rPr>
        <w:t>**Last Updated:** 2026-04-13</w:t>
      </w:r>
    </w:p>
    <w:p>
      <w:r>
        <w:rPr>
          <w:i/>
          <w:sz w:val="18"/>
        </w:rPr>
        <w:t>**Research Tier:** Tier 1 (Deep Dive)</w:t>
      </w:r>
    </w:p>
    <w:p>
      <w:r>
        <w:rPr>
          <w:i/>
          <w:sz w:val="18"/>
        </w:rPr>
        <w:t>**Type:** CCP (Integrated Exchange-CCP)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Exchange (한국거래소) — Clearing Division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[https://global.krx.co.kr](https://global.krx.co.kr)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2005 (as KRX); clearing function inherited from predecessor exchanges (KOFEX 1999, KSE 1956)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South Korea / Busan (headquarters); Seoul (market operations)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 institution under the Financial Services Commission (FSC); not a stock corporation but a member-based self-regulatory organization established by statute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None (independent statutory entity)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FSC (Financial Services Commission) as primary regulator; FSS (Financial Supervisory Service) conducts examination; BOK (Bank of Korea) provides systemic oversight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Model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Integrated exchange-CCP — KRX serves as both trading venue and central counterparty for all exchange-traded 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Products Cleared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Equities (KOSPI, KOSDAQ), listed derivatives (futures &amp; options), bonds, OTC IRS/CRS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/ Settlement Agent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 (Korea Securities Depository, 한국예탁결제원) handles settlement and custody as CSD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IMF FSAP assessment conducted (2014); publishes regulatory disclosures per FSC requirements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QCCP Status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Recognized as a Qualifying CCP under Basel III framework</w:t>
            </w:r>
          </w:p>
        </w:tc>
      </w:tr>
    </w:tbl>
    <w:p/>
    <w:p>
      <w:r>
        <w:t>[Source: KRX Global Website, https://global.krx.co.kr]; [Source: IMF, "Republic of Korea FSAP", 2014]; [Source: Capital Market Act (자본시장과 금융투자업에 관한 법률)]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1956: Korea Stock Exchange (KSE) established with basic clearing function for equities.</w:t>
      </w:r>
    </w:p>
    <w:p>
      <w:pPr>
        <w:pStyle w:val="ListBullet"/>
      </w:pPr>
      <w:r>
        <w:t>1996: Derivatives clearing function added with the launch of KOSPI 200 futures/options — one of the world's first index derivatives products to achieve massive retail participation.</w:t>
      </w:r>
    </w:p>
    <w:p>
      <w:pPr>
        <w:pStyle w:val="ListBullet"/>
      </w:pPr>
      <w:r>
        <w:t>1999: Korea Futures Exchange (KOFEX) established in Busan with dedicated derivatives clearing.</w:t>
      </w:r>
    </w:p>
    <w:p>
      <w:pPr>
        <w:pStyle w:val="ListBullet"/>
      </w:pPr>
      <w:r>
        <w:t>2005 (January 27): Korea Exchange (KRX) formed through merger of KSE, KOFEX, and KOSDAQ; unified clearing across all market segments under one CCP.</w:t>
      </w:r>
    </w:p>
    <w:p>
      <w:pPr>
        <w:pStyle w:val="ListBullet"/>
      </w:pPr>
      <w:r>
        <w:t>2009: EXTURE (Exchange Trading Using Revolutionary Engine) trading/clearing system launched.</w:t>
      </w:r>
    </w:p>
    <w:p>
      <w:pPr>
        <w:pStyle w:val="ListBullet"/>
      </w:pPr>
      <w:r>
        <w:t>2014: IMF FSAP assessment completed, evaluating KRX's clearing and risk management against PFMI standards.</w:t>
      </w:r>
    </w:p>
    <w:p>
      <w:pPr>
        <w:pStyle w:val="ListBullet"/>
      </w:pPr>
      <w:r>
        <w:t>2016: EXTURE+ next-generation platform deployed with enhanced clearing capabilities.</w:t>
      </w:r>
    </w:p>
    <w:p>
      <w:pPr>
        <w:pStyle w:val="ListBullet"/>
      </w:pPr>
      <w:r>
        <w:t>2021: Split settlement system introduced for equity settlement (10 billion KRW units).</w:t>
      </w:r>
    </w:p>
    <w:p>
      <w:pPr>
        <w:pStyle w:val="ListBullet"/>
      </w:pPr>
      <w:r>
        <w:t>2024: Split settlement units reduced from KRW 10 billion to KRW 5 billion (15-20% deposit reduction for members); derivatives daily settlement volume up 47.9% YoY.</w:t>
      </w:r>
    </w:p>
    <w:p>
      <w:pPr>
        <w:pStyle w:val="ListBullet"/>
      </w:pPr>
      <w:r>
        <w:t>2025 (April): KRX clearing/settlement technology exported to Thai Stock Exchange (SET).</w:t>
      </w:r>
    </w:p>
    <w:p>
      <w:pPr>
        <w:pStyle w:val="ListBullet"/>
      </w:pPr>
      <w:r>
        <w:t>2025 (June): Night session clearing operational (18:00-06:00 KST) for derivatives.</w:t>
      </w:r>
    </w:p>
    <w:p>
      <w:pPr>
        <w:pStyle w:val="ListBullet"/>
      </w:pPr>
      <w:r>
        <w:t>2026 (February): Settlement operating hours expanded from 9:00-16:10 to 7:00-16:10.</w:t>
      </w:r>
    </w:p>
    <w:p>
      <w:pPr>
        <w:pStyle w:val="ListBullet"/>
      </w:pPr>
      <w:r>
        <w:t>2026 (Late April): Further split settlement reduction from KRW 5 billion to KRW 1 billion units.</w:t>
      </w:r>
    </w:p>
    <w:p>
      <w:r>
        <w:t>[Source: KRX, https://global.krx.co.kr]; [Source: WFE, "KRX Clearing Milestone"]; [Source: KRX, "증권시장 청산결제 업무규정_전문_20260304"]</w:t>
      </w:r>
    </w:p>
    <w:p>
      <w:pPr>
        <w:pStyle w:val="Heading3"/>
      </w:pPr>
      <w:r>
        <w:t>Key Market Data (2026 YTD)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Equity Trading Value (Jan-Mar 2026)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29.6 trillion (~USD 22 billion)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YoY Change in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+138.7%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 Daily Settlement Growth (2024)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+47.9% YoY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Listed Products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 200 futures/options, single stock futures/options, sector index products, commodity futures, currency futures, bond futures, OTC IRS/CRS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 200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Historically the world's most actively traded options contract by volume (prior to contract size adjustment in 2012)</w:t>
            </w:r>
          </w:p>
        </w:tc>
      </w:tr>
    </w:tbl>
    <w:p/>
    <w:p>
      <w:r>
        <w:t>[Source: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Clearing Model</w:t>
      </w:r>
    </w:p>
    <w:p>
      <w:pPr>
        <w:pStyle w:val="Heading3"/>
      </w:pPr>
      <w:r>
        <w:t>2.1 CCP Services</w:t>
      </w:r>
    </w:p>
    <w:p>
      <w:r>
        <w:t>KRX operates as an integrated exchange-CCP, a model common among Asian exchanges (similar to pre-reform structures at HKEX, SGX, and historical structures at JPX before the JSCC spin-off):</w:t>
      </w:r>
    </w:p>
    <w:p>
      <w:pPr>
        <w:pStyle w:val="ListBullet"/>
      </w:pPr>
      <w:r>
        <w:t>Novation: KRX interposes itself as the counterparty to all matched trades — becoming the buyer to every seller and the seller to every buyer upon trade matching.</w:t>
      </w:r>
    </w:p>
    <w:p>
      <w:pPr>
        <w:pStyle w:val="ListBullet"/>
      </w:pPr>
      <w:r>
        <w:t>Scope: All exchange-traded products across KOSPI Market, KOSDAQ Market, derivatives market, bond market, and mandated OTC products (IRS/CRS).</w:t>
      </w:r>
    </w:p>
    <w:p>
      <w:pPr>
        <w:pStyle w:val="ListBullet"/>
      </w:pPr>
      <w:r>
        <w:t>Multilateral Netting: Net obligations calculated by settlement category (equity trading, bond trading, repo, derivatives).</w:t>
      </w:r>
    </w:p>
    <w:p>
      <w:pPr>
        <w:pStyle w:val="ListBullet"/>
      </w:pPr>
      <w:r>
        <w:t>Guarantee Function: KRX guarantees settlement of all matched trades through its default waterfall and clearing fund structure.</w:t>
      </w:r>
    </w:p>
    <w:p>
      <w:r>
        <w:t>[Source: KRX, "증권시장 청산결제 업무규정_전문_20260304"]</w:t>
      </w:r>
    </w:p>
    <w:p>
      <w:pPr>
        <w:pStyle w:val="Heading3"/>
      </w:pPr>
      <w:r>
        <w:t>2.2 Clearing Membership</w:t>
      </w:r>
    </w:p>
    <w:p>
      <w:r>
        <w:t>From KRX regulations (업무규정):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Members (결제회원)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companies and other financial institutions meeting capital requirements set by FSC regulations; directly participate in KRX clearing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Membership Tiers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Based on capital adequacy and business scope — different requirements for equity, derivatives, and bond clearing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Capital Requirements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 FSC regulations; minimum net capital requirement varies by business scope (e.g., KRW 20 billion+ for derivatives clearing)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Non-Clearing Participants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clear through a clearing member; the clearing member assumes guarantee obligation for the non-clearing participant's trades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Member Obligations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Maintain clearing deposits, contribute to Joint Compensation Fund, meet margin requirements, comply with position limits</w:t>
            </w:r>
          </w:p>
        </w:tc>
      </w:tr>
    </w:tbl>
    <w:p/>
    <w:p>
      <w:r>
        <w:t>[Source: KRX, "파생상품시장 업무규정_전문_20250609"]</w:t>
      </w:r>
    </w:p>
    <w:p>
      <w:pPr>
        <w:pStyle w:val="Heading3"/>
      </w:pPr>
      <w:r>
        <w:t>2.3 Netting</w:t>
      </w:r>
    </w:p>
    <w:p>
      <w:r>
        <w:t>From 증권시장 청산결제 업무규정, Article 9: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Netting Category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Equity Trading (주식매매)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Multilateral netting of all buy/sell obligations per settlement date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Government Bond Market (국채시장)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Special netting provisions with separate calculation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Repo Transactions (환매채거래)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Netted independently from outright bond trades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Bond Market (채권시장)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Separate netting cycle from equity market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Daily mark-to-market with cash settlement of variation margin</w:t>
            </w:r>
          </w:p>
        </w:tc>
      </w:tr>
    </w:tbl>
    <w:p/>
    <w:p>
      <w:pPr>
        <w:pStyle w:val="ListBullet"/>
      </w:pPr>
      <w:r>
        <w:t>Settlement amounts calculated to KRW 1 precision.</w:t>
      </w:r>
    </w:p>
    <w:p>
      <w:pPr>
        <w:pStyle w:val="ListBullet"/>
      </w:pPr>
      <w:r>
        <w:t>Netting is legally enforceable under the Capital Market Act, providing protection against insolvency claw-back.</w:t>
      </w:r>
    </w:p>
    <w:p>
      <w:r>
        <w:t>[Source: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Risk Management</w:t>
      </w:r>
    </w:p>
    <w:p>
      <w:pPr>
        <w:pStyle w:val="Heading3"/>
      </w:pPr>
      <w:r>
        <w:t>3.1 Margin Framework</w:t>
      </w:r>
    </w:p>
    <w:p>
      <w:pPr>
        <w:pStyle w:val="Heading4"/>
      </w:pPr>
      <w:r>
        <w:t>Listed Derivatives — KRX-SPAN (Modified SPAN)</w:t>
      </w:r>
    </w:p>
    <w:p>
      <w:r>
        <w:t>KRX employs a modified SPAN (Standard Portfolio Analysis of Risk) methodology for listed derivatives margin calculation:</w:t>
      </w:r>
    </w:p>
    <w:p>
      <w:pPr>
        <w:pStyle w:val="ListBullet"/>
      </w:pPr>
      <w:r>
        <w:t>Methodology: Scenario-based approach drawing on CME SPAN portfolio risk concepts, adapted for Korean market characteristics.</w:t>
      </w:r>
    </w:p>
    <w:p>
      <w:pPr>
        <w:pStyle w:val="ListBullet"/>
      </w:pPr>
      <w:r>
        <w:t>Calculation Frequency: Daily at market close; positions marked to settlement price.</w:t>
      </w:r>
    </w:p>
    <w:p>
      <w:pPr>
        <w:pStyle w:val="ListBullet"/>
      </w:pPr>
      <w:r>
        <w:t>Margin Formula: Position x Price x Multiplier x Margin Rate.</w:t>
      </w:r>
    </w:p>
    <w:p>
      <w:pPr>
        <w:pStyle w:val="ListBullet"/>
      </w:pPr>
      <w:r>
        <w:t>Typical Initial Margin Rate: ~8-10% for KOSPI 200 futures.</w:t>
      </w:r>
    </w:p>
    <w:p>
      <w:pPr>
        <w:pStyle w:val="ListBullet"/>
      </w:pPr>
      <w:r>
        <w:t>Maintenance Margin Rate: ~5-6% (lower than initial margin threshold).</w:t>
      </w:r>
    </w:p>
    <w:p>
      <w:r>
        <w:t>[Source: KRX, "파생상품시장 업무규정_전문_20250609"]</w:t>
      </w:r>
    </w:p>
    <w:p>
      <w:pPr>
        <w:pStyle w:val="Heading4"/>
      </w:pPr>
      <w:r>
        <w:t>Margin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Korean Term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Initial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개시증거금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Required when opening new positions; must be deposited before or at time of order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Maintenance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유지증거금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balance required to maintain positions; breach triggers margin call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Cleared by exchange; due by 11:00 next trading day for member-level 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Client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위탁증거금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Pre-funded before order entry for retail; post-funded (due by 11:00 next day) for qualified institutional investors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Spread Margin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스프레드증거금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Reduced rate for recognized spread positions (calendar, inter-commodity)</w:t>
            </w:r>
          </w:p>
        </w:tc>
      </w:tr>
    </w:tbl>
    <w:p/>
    <w:p>
      <w:r>
        <w:t>[Source: KRX, "파생상품시장 업무규정_전문_20250609"]</w:t>
      </w:r>
    </w:p>
    <w:p>
      <w:pPr>
        <w:pStyle w:val="Heading4"/>
      </w:pPr>
      <w:r>
        <w:t>Options Margin</w:t>
      </w:r>
    </w:p>
    <w:p>
      <w:pPr>
        <w:pStyle w:val="ListBullet"/>
      </w:pPr>
      <w:r>
        <w:t>Buy Orders: Full premium must be deposited in cash.</w:t>
      </w:r>
    </w:p>
    <w:p>
      <w:pPr>
        <w:pStyle w:val="ListBullet"/>
      </w:pPr>
      <w:r>
        <w:t>Sell Orders: Margin is the greater of three calculations involving theoretical price + volatility scenarios.</w:t>
      </w:r>
    </w:p>
    <w:p>
      <w:pPr>
        <w:pStyle w:val="ListBullet"/>
      </w:pPr>
      <w:r>
        <w:t>Spread Trading: Reduced margin with substitute securities allowed within limits.</w:t>
      </w:r>
    </w:p>
    <w:p>
      <w:pPr>
        <w:pStyle w:val="Heading4"/>
      </w:pPr>
      <w:r>
        <w:t>Eligible Collateral (대용증권)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Collateral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Haircut / Acceptance Rate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Cash (현금)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Listed Stocks (meeting liquidity criteria)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70-80% of market value (quarterly adjusted)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Government Bonds (국채)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Varies by maturity; generally 95-98%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Corporate Bonds (BBB+ minimum rating)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Varies by maturity and rating; generally 80-90%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ETFs and Index Securities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Accepted with restrictions on leveraged/inverse 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Foreign Currency (10 types)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USD, JPY, EUR, GBP, HKD, AUD, SGD, CHF, CAD, CNY — haircuts vary by currency</w:t>
            </w:r>
          </w:p>
        </w:tc>
      </w:tr>
    </w:tbl>
    <w:p/>
    <w:p>
      <w:r>
        <w:t>Concentration Limits:</w:t>
      </w:r>
    </w:p>
    <w:p>
      <w:pPr>
        <w:pStyle w:val="ListBullet"/>
      </w:pPr>
      <w:r>
        <w:t>Individual stock: Maximum 50% of average daily trading volume.</w:t>
      </w:r>
    </w:p>
    <w:p>
      <w:pPr>
        <w:pStyle w:val="ListBullet"/>
      </w:pPr>
      <w:r>
        <w:t>Corporate bonds: Maximum 10% of total issuance amount.</w:t>
      </w:r>
    </w:p>
    <w:p>
      <w:pPr>
        <w:pStyle w:val="ListBullet"/>
      </w:pPr>
      <w:r>
        <w:t>Fund securities: Maximum 10% of fund size.</w:t>
      </w:r>
    </w:p>
    <w:p>
      <w:r>
        <w:t>Cash Requirement: Minimum 50% of total margin must be in cash; remainder may be substitute securities.</w:t>
      </w:r>
    </w:p>
    <w:p>
      <w:r>
        <w:t>Qualified Institutional Investor Exception: May defer margin deposit until 10:00 next trading day.</w:t>
      </w:r>
    </w:p>
    <w:p>
      <w:r>
        <w:t>[Source: KRX, "파생상품시장 업무규정 시행세칙"]</w:t>
      </w:r>
    </w:p>
    <w:p>
      <w:pPr>
        <w:pStyle w:val="Heading3"/>
      </w:pPr>
      <w:r>
        <w:t>3.2 Margin Call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Korean Term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Deadline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Regular Margin Call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정규증거금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Daily mark-to-market at close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11:00 next trading day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Intraday Margin Call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장중추가증거금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 200 index volatility &gt;= 80% of futures margin rate, OR member's intraday requirement &gt;= 120% of deposit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 hours from notification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Additional Margin Call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추가증거금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Mark-to-market losses exceed thresholds beyond regular margin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 hour after 2-hour buffer period</w:t>
            </w:r>
          </w:p>
        </w:tc>
      </w:tr>
    </w:tbl>
    <w:p/>
    <w:p>
      <w:pPr>
        <w:pStyle w:val="ListBullet"/>
      </w:pPr>
      <w:r>
        <w:t>Intraday margin call is released if triggering conditions ease within 30 minutes of notification.</w:t>
      </w:r>
    </w:p>
    <w:p>
      <w:pPr>
        <w:pStyle w:val="ListBullet"/>
      </w:pPr>
      <w:r>
        <w:t>Failure to meet margin call within deadline results in position liquidation and potential clearing membership suspension.</w:t>
      </w:r>
    </w:p>
    <w:p>
      <w:r>
        <w:t>[Source: KRX, "파생상품시장 업무규정_전문_20250609"]</w:t>
      </w:r>
    </w:p>
    <w:p>
      <w:pPr>
        <w:pStyle w:val="Heading3"/>
      </w:pPr>
      <w:r>
        <w:t>3.3 Default Waterfall (손해배상 체계)</w:t>
      </w:r>
    </w:p>
    <w:p>
      <w:r>
        <w:t>The default waterfall for derivatives clearing follows a "defaulter pays first" principle: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Layer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Korean Term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Estimated Size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Defaulter's margin deposits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위탁증거금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Per-position (varies)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Defaulter's clearing deposit / contribution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회원증거금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Per-member (varies)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Joint Compensation Fund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손해배상공동기금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~KRW 100 billion (~USD 75 million) [estimated]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KRX's own capital contribution (SITG)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거래소 자기자본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[data not publicly disclosed]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Non-defaulting members' additional contributions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회원 추가분담금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Assessed pro-rata based on clearing activity</w:t>
            </w:r>
          </w:p>
        </w:tc>
      </w:tr>
    </w:tbl>
    <w:p/>
    <w:p>
      <w:r>
        <w:t>Key Features:</w:t>
      </w:r>
    </w:p>
    <w:p>
      <w:pPr>
        <w:pStyle w:val="ListBullet"/>
      </w:pPr>
      <w:r>
        <w:t>KRX places Skin-in-the-Game (SITG) before non-defaulting members' resources, consistent with PFMI guidance.</w:t>
      </w:r>
    </w:p>
    <w:p>
      <w:pPr>
        <w:pStyle w:val="ListBullet"/>
      </w:pPr>
      <w:r>
        <w:t>Joint Compensation Fund contributions follow a Fixed + Variable model: fixed base contribution plus variable component based on clearing volume/risk.</w:t>
      </w:r>
    </w:p>
    <w:p>
      <w:pPr>
        <w:pStyle w:val="ListBullet"/>
      </w:pPr>
      <w:r>
        <w:t>Replenishment of the Joint Compensation Fund is required after usage in a default event.</w:t>
      </w:r>
    </w:p>
    <w:p>
      <w:pPr>
        <w:pStyle w:val="ListBullet"/>
      </w:pPr>
      <w:r>
        <w:t>Recovery tools include: asset liquidation, securities sales, netting of claims against the defaulter, and assessment powers on surviving members.</w:t>
      </w:r>
    </w:p>
    <w:p>
      <w:r>
        <w:t>[Source: KRX, "파생상품시장 업무규정_전문_20250609"; IMF, "Republic of Korea FSAP", 2014]</w:t>
      </w:r>
    </w:p>
    <w:p>
      <w:pPr>
        <w:pStyle w:val="Heading3"/>
      </w:pPr>
      <w:r>
        <w:t>3.4 Stress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Frequency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Quarterly stress testing per regulatory requirements; real-time position monitoring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Scenarios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Historical stress scenarios (e.g., 2008 GFC, 2020 COVID crash, 2022 LUNA/Terra incident) and hypothetical extreme-but-plausible scenarios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Coverage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Liquidity risk, credit risk, concentration risk, wrong-way risk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Back Testing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Daily back testing of margin model adequacy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FSAP Recommendations (2014)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IMF recommended enhancements to back testing methodology, sensitivity analysis, and reverse stress testing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Reporting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Results reported to FSC/FSS; BOK reviews systemic risk implications</w:t>
            </w:r>
          </w:p>
        </w:tc>
      </w:tr>
    </w:tbl>
    <w:p/>
    <w:p>
      <w:r>
        <w:t>[Source: IMF, "Republic of Korea FSAP", 2014]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Settlement</w:t>
      </w:r>
    </w:p>
    <w:p>
      <w:pPr>
        <w:pStyle w:val="Heading3"/>
      </w:pPr>
      <w:r>
        <w:t>4.1 Settlement Cycles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 Cycle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 Time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Equities (KOSPI, KOSDAQ)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9:00 AM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Government Bonds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9:00 AM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Bonds (general)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to 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3:30 PM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Derivatives (daily margin)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T+0 / 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Daily mark-to-market; margin by 11:00 next day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Derivatives (final settlement)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settlement or physical delivery per contract spec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OTC IRS/CRS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payment schedule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 per swap terms</w:t>
            </w:r>
          </w:p>
        </w:tc>
      </w:tr>
    </w:tbl>
    <w:p/>
    <w:p>
      <w:r>
        <w:t>[Source: KRX, "증권시장 청산결제 업무규정_전문_20260304"]</w:t>
      </w:r>
    </w:p>
    <w:p>
      <w:pPr>
        <w:pStyle w:val="Heading3"/>
      </w:pPr>
      <w:r>
        <w:t>4.2 DVP Model</w:t>
      </w:r>
    </w:p>
    <w:p>
      <w:pPr>
        <w:pStyle w:val="ListBullet"/>
      </w:pPr>
      <w:r>
        <w:t>KRX/KSD employ a DVP (Delivery versus Payment) model for securities settlement.</w:t>
      </w:r>
    </w:p>
    <w:p>
      <w:pPr>
        <w:pStyle w:val="ListBullet"/>
      </w:pPr>
      <w:r>
        <w:t>Securities leg: KSD (Korea Securities Depository) acts as CSD, handling book-entry transfer of securities.</w:t>
      </w:r>
    </w:p>
    <w:p>
      <w:pPr>
        <w:pStyle w:val="ListBullet"/>
      </w:pPr>
      <w:r>
        <w:t>Cash leg: Settlement through Bank of Korea (BOK) for large-value government bond transactions; settlement banks (KEB Hana Bank, KB Kookmin Bank, etc.) for equity and other settlement.</w:t>
      </w:r>
    </w:p>
    <w:p>
      <w:pPr>
        <w:pStyle w:val="ListBullet"/>
      </w:pPr>
      <w:r>
        <w:t>Central bank money: Used for government bond settlement to eliminate settlement bank credit risk.</w:t>
      </w:r>
    </w:p>
    <w:p>
      <w:pPr>
        <w:pStyle w:val="ListBullet"/>
      </w:pPr>
      <w:r>
        <w:t>Simultaneous exchange: Securities delivery and payment occur simultaneously to eliminate principal risk.</w:t>
      </w:r>
    </w:p>
    <w:p>
      <w:r>
        <w:t>[Source: KRX, "증권시장 청산결제 업무규정 시행세칙_전문_20250304"]</w:t>
      </w:r>
    </w:p>
    <w:p>
      <w:pPr>
        <w:pStyle w:val="Heading3"/>
      </w:pPr>
      <w:r>
        <w:t>4.3 Settlement Finality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Legal Framework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Capital Market Act (자본시장과 금융투자업에 관한 법률)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Finality Point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Transfer orders entered into KRX/KSD system are legally enforceable and irrevocable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Insolvency Protection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Netting and settlement finality provisions protect against insolvency claw-back under Korean law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Same-day finality for derivatives margin 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Basis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Article 390 et seq. of FSCMA provides legal certainty for settlement finality</w:t>
            </w:r>
          </w:p>
        </w:tc>
      </w:tr>
    </w:tbl>
    <w:p/>
    <w:p>
      <w:r>
        <w:t>[Source: Capital Market Act; IMF, "Republic of Korea FSAP", 2014]</w:t>
      </w:r>
    </w:p>
    <w:p>
      <w:pPr>
        <w:pStyle w:val="Heading3"/>
      </w:pPr>
      <w:r>
        <w:t>4.4 Settlement System Overhaul (2021-2026)</w:t>
      </w:r>
    </w:p>
    <w:p>
      <w:r>
        <w:t>KRX has been progressively reforming its equity settlement system through "split settlement" (분할결제):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Split settlement introduced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Settlement obligations divided into KRW 10 billion units, settled sequentially throughout the day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Units reduced from KRW 10B to KRW 5B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15-20% reduction in settlement deposit requirements for members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2026 (February)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Operating hours expanded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Settlement window extended from 9:00-16:10 to 7:00-16:10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2026 (Late April)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Units reduced from KRW 5B to KRW 1B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Further reduction in member deposit burden; more granular liquidity management</w:t>
            </w:r>
          </w:p>
        </w:tc>
      </w:tr>
    </w:tbl>
    <w:p/>
    <w:p>
      <w:r>
        <w:t>Rationale: Split settlement reduces the peak liquidity requirement for clearing members by distributing settlement obligations throughout the day, lowering systemic risk and member funding costs.</w:t>
      </w:r>
    </w:p>
    <w:p>
      <w:r>
        <w:t>Market Context: Average daily equity trading value reached KRW 29.6 trillion (Jan-Mar 2026), up 138.7% YoY, necessitating the infrastructure upgrade.</w:t>
      </w:r>
    </w:p>
    <w:p>
      <w:r>
        <w:t>[Source: KRX, "증권시장 청산결제 업무규정_전문_20260304"]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Technology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System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Integrated within EXTURE+ (Exchange Trading Using Revolutionary Engine Plus)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Developed By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(코스콤, KRX subsidiary / IT affiliate)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Memory-based, real-time processing on x86 Linux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Risk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Real-time margin calculation and position monitoring; KRX-SPAN engine for derivatives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STP Rate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Very high — integrated exchange-CCP model eliminates trade matching delays between exchange and CCP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Protocols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protocols for member connectivity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Disaster Recovery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Redundant systems with zero-data-loss failover capability; backup site in separate geographic location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Night Session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Extended clearing infrastructure to support 18:00-06:00 KST derivatives night session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Export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clearing/settlement system technology sold to Thai Stock Exchange (SET) in April 2025 — validating international competitiveness of EXTURE+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Designed to handle peak volumes exceeding 2x historical maximums</w:t>
            </w:r>
          </w:p>
        </w:tc>
      </w:tr>
    </w:tbl>
    <w:p/>
    <w:p>
      <w:r>
        <w:t>[Source: KRX Global Website, https://global.krx.co.kr; WFE, "KRX Clearing Milestone"]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Regulatory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Primary Regulator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Services Commission (금융위원회, FSC) — policy-making and rule approval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Examination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Supervisory Service (금융감독원, FSS) — on-site examination and off-site surveillance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Systemic Oversight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Bank of Korea (한국은행, BOK) — oversight of systemically important payment and settlement systems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Governing Law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Investment Services and Capital Markets Act (자본시장과 금융투자업에 관한 법률, FSCMA)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Regulations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파생상품시장 업무규정 (Derivatives Market Business Regulations); 증권시장 청산결제 업무규정 (Securities Market Clearing &amp; Settlement Regulations)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PFMI Compliance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IMF FSAP 2014 assessment completed; Korea assessed as largely observant of PFMI principles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CCP Recovery &amp; Resolution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 dedicated CCP recovery and resolution regime as of 2026 (similar to Japan, Hong Kong, Singapore)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Clearing Mandate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KRW-denominated IRS (Interest Rate Swap) and CRS (Currency Rate Swap) mandated for central clearing through 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Self-Regulatory Function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has SRO status; conducts market surveillance and member supervision alongside FSS</w:t>
            </w:r>
          </w:p>
        </w:tc>
      </w:tr>
    </w:tbl>
    <w:p/>
    <w:p>
      <w:r>
        <w:t>Korea's Dual Regulatory Structure:</w:t>
      </w:r>
    </w:p>
    <w:p>
      <w:r>
        <w:t>Korea's FSC/FSS dual structure is distinctive — the FSC handles policy-making, licensing, and regulatory approvals while the FSS conducts day-to-day supervision, examination, and enforcement. This separation of policy from execution is unusual among major markets and provides a form of checks and balances in financial regulation.</w:t>
      </w:r>
    </w:p>
    <w:p>
      <w:r>
        <w:t>[Source: IMF, "Republic of Korea FSAP", 2014; Capital Market Act]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Interoperability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CCP Interoperability Links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None — KRX operates as a domestic monopoly CCP (similar to Japan/JSCC model)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CSD Cross-Border Links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KSD maintains CSD links with Euroclear, Clearstream, and DTC for cross-border settlement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Connect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None currently; KRX monitoring developments in China-Hong Kong Stock Connect and potential replication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Clearing Scope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IRS and KRW CRS only (narrower than JSCC which clears JGB repos, or LCH which clears multi-currency IRS)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MSCI Inclusion Considerations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Enhanced foreign investor access to clearing/settlement infrastructure is relevant to Korea's MSCI Developed Market reclassification efforts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Mutual Recognition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recognized as QCCP by major jurisdictions for bank capital treatment purposes</w:t>
            </w:r>
          </w:p>
        </w:tc>
      </w:tr>
    </w:tbl>
    <w:p/>
    <w:p>
      <w:r>
        <w:t>[Source: KRX Global Website, https://global.krx.co.kr]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Fee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Clearing fees bundled with exchange trading fees — no separate clearing fee invoice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 Clearing Component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0.0001% to 0.001% of notional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Example: Semiconductor Index Products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Clearing fee rate of 0.0001161%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Equity Clearing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Included in exchange transaction levy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Fund Contributions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Required from all clearing members; Fixed + Variable model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Fee Transparency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Fee schedules published on KRX website; changes require FSC approval</w:t>
            </w:r>
          </w:p>
        </w:tc>
      </w:tr>
    </w:tbl>
    <w:p/>
    <w:p>
      <w:r>
        <w:t>Note: The bundled fee model is a characteristic of the integrated exchange-CCP structure — users do not see separate clearing and trading fees as they would with standalone CCPs like LCH or OCC.</w:t>
      </w:r>
    </w:p>
    <w:p>
      <w:r>
        <w:t>[Source: KRX Global Website, https://global.krx.co.kr]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Recent Developments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Derivatives daily settlement volume increased 47.9% YoY, reflecting growth in KOSPI 200 options and mini-KOSPI futures activity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 (April)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clearing/settlement technology exported to Thai Stock Exchange (SET) — first major international technology export by 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 (June)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Night session clearing becomes operational (18:00-06:00 KST) for derivatives, extending Korean market access to overlap with European/US trading hours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 (February)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Settlement operating hours expanded from 9:00-16:10 to 7:00-16:10, adding early-morning settlement windows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 (Late April)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Split settlement units further reduced from KRW 5 billion to KRW 1 billion, dramatically lowering member deposit requirements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evaluating margin methodology upgrade from KRX-SPAN to VaR-based approach (following JSCC's 2023 precedent of transitioning to historical simulation VaR)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Monitoring global T+1 settlement transition trends (US moved to T+1 in May 2024; EU targeting October 2027) for potential Korean adoption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MSCI Developed Market reclassification efforts driving clearing/settlement infrastructure improvements for foreign investors</w:t>
            </w:r>
          </w:p>
        </w:tc>
      </w:tr>
    </w:tbl>
    <w:p/>
    <w:p>
      <w:r>
        <w:t>[Source: KRX Global Website, https://global.krx.co.kr; WFE, "KRX Clearing Milestone"]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KRX Comparison with Global Peers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KRX Clearing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JSCC (Japan)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HKEX Clearing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CME Clearing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**Model**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Integrated exchange-CCP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Standalone CCP (subsidiary of JPX)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Integrated exchange-CCP (HKCC, HKSCC, SEOCH under HKEX)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Standalone CCP (division of CME Group)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**Margin Methodology**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KRX-SPAN (modified SPAN); evaluating VaR transition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Historical simulation VaR (transitioned 2023)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PRiME (Portfolio Risk Margining using Expected shortfall)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SPAN for listed; HVaR for OTC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**Default Fund Size**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~KRW 100B (~USD 75M) [estimated]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~JPY 50B+ (~USD 350M) for derivatives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~HKD 3.5B (~USD 450M) across clearing houses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~USD 11.5B (IRS segment alone)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**Settlement Cycle (Equities)**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 (T+1 planned for 2026-2027)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N/A (derivatives-focused)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**OTC Clearing Scope**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KRW IRS, KRW CRS only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JGB repos, IRS, CDS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OTC derivatives via OTC Clear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IRS, CDS, FX (multi-currency, global scope)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**Technology Platform**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EXTURE+ (KOSCOM-developed)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J-GATE clearing / CJCS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DCASS / CCASS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CME Globex / clearing engine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**Night Session**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 (2025, 18:00-06:00 KST)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 (extended hours)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 (after-hours futures)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Nearly 24-hour trading/clearing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**PFMI Status**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IMF FSAP 2014; QCCP recognized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CPMI-IOSCO self-assessment; QCCP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CPMI-IOSCO self-assessment; QCCP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CPMI-IOSCO PQD published quarterly; QCCP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**CCP R&amp;R Regime**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 dedicated regime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 dedicated regime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 dedicated regime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Dodd-Frank Title II (US FDIC-based)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**CCP Interoperability**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 (domestic monopoly)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None (domestic monopoly)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Limited (Stock Connect link with CSDC)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Limited (links for specific products)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KRX's default fund size is notably smaller than global peers, reflecting the domestic-only scope and integrated exchange-CCP model where exchange revenue provides an implicit backstop.</w:t>
      </w:r>
    </w:p>
    <w:p>
      <w:pPr>
        <w:pStyle w:val="ListBullet"/>
      </w:pPr>
      <w:r>
        <w:t>KRX's OTC clearing scope is narrower than peers, limited to KRW-denominated products — expansion could enhance systemic risk management.</w:t>
      </w:r>
    </w:p>
    <w:p>
      <w:pPr>
        <w:pStyle w:val="ListBullet"/>
      </w:pPr>
      <w:r>
        <w:t>The integrated exchange-CCP model provides operational efficiency (high STP, no trade matching delays) but raises governance questions about conflicts of interest between commercial and risk management functions.</w:t>
      </w:r>
    </w:p>
    <w:p>
      <w:pPr>
        <w:pStyle w:val="ListBullet"/>
      </w:pPr>
      <w:r>
        <w:t>KRX's planned transition from SPAN to VaR-based margining would align it with global best practice trends.</w:t>
      </w:r>
    </w:p>
    <w:p>
      <w:r>
        <w:t>[Source: KRX Global Website; JSCC PFMI Disclosures; HKEX Annual Report; CME Group PQD Disclosures]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r>
        <w:t>[Source: KRX, "증권시장 청산결제 업무규정_전문_20260304"]</w:t>
      </w:r>
    </w:p>
    <w:p>
      <w:r>
        <w:t>[Source: KRX, "증권시장 청산결제 업무규정 시행세칙_전문_20250304"]</w:t>
      </w:r>
    </w:p>
    <w:p>
      <w:r>
        <w:t>[Source: KRX, "파생상품시장 업무규정_전문_20250609"]</w:t>
      </w:r>
    </w:p>
    <w:p>
      <w:r>
        <w:t>[Source: KRX Global Website, https://global.krx.co.kr]</w:t>
      </w:r>
    </w:p>
    <w:p>
      <w:r>
        <w:t>[Source: IMF, "Republic of Korea — Financial Sector Assessment Program (FSAP)", 2014]</w:t>
      </w:r>
    </w:p>
    <w:p>
      <w:r>
        <w:t>[Source: WFE, "KRX Clearing Milestone"]</w:t>
      </w:r>
    </w:p>
    <w:p>
      <w:r>
        <w:t>[Source: Capital Market Act (자본시장과 금융투자업에 관한 법률)]</w:t>
      </w:r>
    </w:p>
    <w:p>
      <w:r>
        <w:t>[Source: JSCC PFMI Quantitative Disclosures]</w:t>
      </w:r>
    </w:p>
    <w:p>
      <w:r>
        <w:t>[Source: HKEX Annual Report 2024]</w:t>
      </w:r>
    </w:p>
    <w:p>
      <w:r>
        <w:t>[Source: CME Group CPMI-IOSCO PQD Disclosures]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