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</w:rPr>
        <w:t>Options Clearing Corporation (OCC)</w:t>
      </w:r>
    </w:p>
    <w:p>
      <w:pPr>
        <w:ind w:left="720"/>
        <w:shd w:fill="F0F0F0" w:val="clear"/>
      </w:pPr>
      <w:r>
        <w:rPr>
          <w:rFonts w:ascii="Calibri" w:hAnsi="Calibri"/>
          <w:i/>
        </w:rPr>
        <w:t>**Last Updated:** 2026-04-07</w:t>
      </w:r>
    </w:p>
    <w:p>
      <w:pPr>
        <w:ind w:left="720"/>
        <w:shd w:fill="F0F0F0" w:val="clear"/>
      </w:pPr>
      <w:r>
        <w:rPr>
          <w:rFonts w:ascii="Calibri" w:hAnsi="Calibri"/>
          <w:i/>
        </w:rPr>
        <w:t>**Research Tier:** Tier 1 (Deep Dive)</w:t>
      </w:r>
    </w:p>
    <w:p>
      <w:pPr>
        <w:ind w:left="720"/>
        <w:shd w:fill="F0F0F0" w:val="clear"/>
      </w:pPr>
      <w:r>
        <w:rPr>
          <w:rFonts w:ascii="Calibri" w:hAnsi="Calibri"/>
          <w:i/>
        </w:rPr>
        <w:t>**Type:** Central Counterparty (CCP) — world's largest equity derivatives clearing organization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Calibri" w:hAnsi="Calibri"/>
        </w:rPr>
        <w:t>1. Overview &amp; Profile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Item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Official Name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The Options Clearing Corporation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Abbreviation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OCC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Website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color w:val="0563C1"/>
                <w:u w:val="single"/>
              </w:rPr>
              <w:t>https://www.theocc.com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Year Established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1973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Country / City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United States / Chicago, Illinois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Ownership Structure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Jointly owned by stockholder exchanges: Cboe Global Markets, Intercontinental Exchange (NYSE Arca, NYSE American), and Nasdaq (which holds ~40% following ISE acquisition). Originally five equal shareholders; Nasdaq's stake increased from 20% to 40% with ISE acquisition.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Parent Company / Group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None (independent market utility)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Regulatory Authority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SEC (primary regulator as a registered clearing agency), CFTC (secondary, as a registered Derivatives Clearing Organization), Federal Reserve Board (oversight under Dodd-Frank Title VIII as SIFMU)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CPMI-IOSCO PFMI Compliance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Yes — publishes PFMI Disclosure Framework and CPMI-IOSCO Public Quantitative Disclosures (PQD) quarterly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QCCP Status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Yes — recognized as a Qualifying CCP under Basel III framework for bank capital purposes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SIFMU Designation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Designated as a Systemically Important Financial Market Utility (SIFMU) by FSOC in July 2012 under Dodd-Frank Title VIII</w:t>
            </w:r>
          </w:p>
        </w:tc>
      </w:tr>
    </w:tbl>
    <w:p/>
    <w:p>
      <w:r>
        <w:rPr>
          <w:rFonts w:ascii="Calibri" w:hAnsi="Calibri"/>
        </w:rPr>
        <w:t xml:space="preserve">*Sources: </w:t>
      </w:r>
      <w:r>
        <w:rPr>
          <w:rFonts w:ascii="Calibri" w:hAnsi="Calibri"/>
          <w:color w:val="0563C1"/>
          <w:u w:val="single"/>
        </w:rPr>
        <w:t>OCC — What Is OCC?</w:t>
      </w:r>
      <w:r>
        <w:rPr>
          <w:rFonts w:ascii="Calibri" w:hAnsi="Calibri"/>
        </w:rPr>
        <w:t xml:space="preserve">; </w:t>
      </w:r>
      <w:r>
        <w:rPr>
          <w:rFonts w:ascii="Calibri" w:hAnsi="Calibri"/>
          <w:color w:val="0563C1"/>
          <w:u w:val="single"/>
        </w:rPr>
        <w:t>Wikipedia — Options Clearing Corporation</w:t>
      </w:r>
      <w:r>
        <w:rPr>
          <w:rFonts w:ascii="Calibri" w:hAnsi="Calibri"/>
        </w:rPr>
        <w:t xml:space="preserve">; </w:t>
      </w:r>
      <w:r>
        <w:rPr>
          <w:rFonts w:ascii="Calibri" w:hAnsi="Calibri"/>
          <w:color w:val="0563C1"/>
          <w:u w:val="single"/>
        </w:rPr>
        <w:t>OCC SIFMU Designation Press Release (2012)</w:t>
      </w:r>
      <w:r>
        <w:rPr>
          <w:rFonts w:ascii="Calibri" w:hAnsi="Calibri"/>
        </w:rPr>
        <w:t xml:space="preserve">; </w:t>
      </w:r>
      <w:r>
        <w:rPr>
          <w:rFonts w:ascii="Calibri" w:hAnsi="Calibri"/>
          <w:color w:val="0563C1"/>
          <w:u w:val="single"/>
        </w:rPr>
        <w:t>OCC PFMI Disclosures</w:t>
      </w:r>
      <w:r>
        <w:rPr>
          <w:rFonts w:ascii="Calibri" w:hAnsi="Calibri"/>
        </w:rPr>
        <w:t>*</w:t>
      </w:r>
    </w:p>
    <w:p>
      <w:pPr>
        <w:pStyle w:val="Heading3"/>
      </w:pPr>
      <w:r>
        <w:rPr>
          <w:rFonts w:ascii="Calibri" w:hAnsi="Calibri"/>
        </w:rPr>
        <w:t>Participant Exchanges and Futures Markets</w:t>
      </w:r>
    </w:p>
    <w:p>
      <w:r>
        <w:rPr>
          <w:rFonts w:ascii="Calibri" w:hAnsi="Calibri"/>
        </w:rPr>
        <w:t>OCC provides CCP clearing and settlement services to approximately 21 exchanges and trading platforms, including:</w:t>
      </w:r>
    </w:p>
    <w:p>
      <w:r>
        <w:rPr>
          <w:rFonts w:ascii="Calibri" w:hAnsi="Calibri"/>
          <w:b/>
        </w:rPr>
        <w:t>Options Exchanges:</w:t>
      </w:r>
    </w:p>
    <w:p>
      <w:pPr>
        <w:pStyle w:val="ListBullet"/>
      </w:pPr>
      <w:r>
        <w:rPr>
          <w:rFonts w:ascii="Calibri" w:hAnsi="Calibri"/>
        </w:rPr>
        <w:t>BOX Options Exchange LLC</w:t>
      </w:r>
    </w:p>
    <w:p>
      <w:pPr>
        <w:pStyle w:val="ListBullet"/>
      </w:pPr>
      <w:r>
        <w:rPr>
          <w:rFonts w:ascii="Calibri" w:hAnsi="Calibri"/>
        </w:rPr>
        <w:t>Cboe BZX Exchange, Inc.</w:t>
      </w:r>
    </w:p>
    <w:p>
      <w:pPr>
        <w:pStyle w:val="ListBullet"/>
      </w:pPr>
      <w:r>
        <w:rPr>
          <w:rFonts w:ascii="Calibri" w:hAnsi="Calibri"/>
        </w:rPr>
        <w:t>Cboe C2 Exchange, Inc.</w:t>
      </w:r>
    </w:p>
    <w:p>
      <w:pPr>
        <w:pStyle w:val="ListBullet"/>
      </w:pPr>
      <w:r>
        <w:rPr>
          <w:rFonts w:ascii="Calibri" w:hAnsi="Calibri"/>
        </w:rPr>
        <w:t>Cboe EDGX Exchange, Inc.</w:t>
      </w:r>
    </w:p>
    <w:p>
      <w:pPr>
        <w:pStyle w:val="ListBullet"/>
      </w:pPr>
      <w:r>
        <w:rPr>
          <w:rFonts w:ascii="Calibri" w:hAnsi="Calibri"/>
        </w:rPr>
        <w:t>Cboe Exchange, Inc.</w:t>
      </w:r>
    </w:p>
    <w:p>
      <w:pPr>
        <w:pStyle w:val="ListBullet"/>
      </w:pPr>
      <w:r>
        <w:rPr>
          <w:rFonts w:ascii="Calibri" w:hAnsi="Calibri"/>
        </w:rPr>
        <w:t>MIAX Emerald, LLC</w:t>
      </w:r>
    </w:p>
    <w:p>
      <w:pPr>
        <w:pStyle w:val="ListBullet"/>
      </w:pPr>
      <w:r>
        <w:rPr>
          <w:rFonts w:ascii="Calibri" w:hAnsi="Calibri"/>
        </w:rPr>
        <w:t>Miami International Securities Exchange, LLC (MIAX)</w:t>
      </w:r>
    </w:p>
    <w:p>
      <w:pPr>
        <w:pStyle w:val="ListBullet"/>
      </w:pPr>
      <w:r>
        <w:rPr>
          <w:rFonts w:ascii="Calibri" w:hAnsi="Calibri"/>
        </w:rPr>
        <w:t>MIAX PEARL, LLC</w:t>
      </w:r>
    </w:p>
    <w:p>
      <w:pPr>
        <w:pStyle w:val="ListBullet"/>
      </w:pPr>
      <w:r>
        <w:rPr>
          <w:rFonts w:ascii="Calibri" w:hAnsi="Calibri"/>
        </w:rPr>
        <w:t>Nasdaq BX, Inc.</w:t>
      </w:r>
    </w:p>
    <w:p>
      <w:pPr>
        <w:pStyle w:val="ListBullet"/>
      </w:pPr>
      <w:r>
        <w:rPr>
          <w:rFonts w:ascii="Calibri" w:hAnsi="Calibri"/>
        </w:rPr>
        <w:t>Nasdaq GEMX, LLC</w:t>
      </w:r>
    </w:p>
    <w:p>
      <w:pPr>
        <w:pStyle w:val="ListBullet"/>
      </w:pPr>
      <w:r>
        <w:rPr>
          <w:rFonts w:ascii="Calibri" w:hAnsi="Calibri"/>
        </w:rPr>
        <w:t>Nasdaq ISE, LLC</w:t>
      </w:r>
    </w:p>
    <w:p>
      <w:pPr>
        <w:pStyle w:val="ListBullet"/>
      </w:pPr>
      <w:r>
        <w:rPr>
          <w:rFonts w:ascii="Calibri" w:hAnsi="Calibri"/>
        </w:rPr>
        <w:t>Nasdaq MRX, LLC</w:t>
      </w:r>
    </w:p>
    <w:p>
      <w:pPr>
        <w:pStyle w:val="ListBullet"/>
      </w:pPr>
      <w:r>
        <w:rPr>
          <w:rFonts w:ascii="Calibri" w:hAnsi="Calibri"/>
        </w:rPr>
        <w:t>Nasdaq Options Market, LLC</w:t>
      </w:r>
    </w:p>
    <w:p>
      <w:pPr>
        <w:pStyle w:val="ListBullet"/>
      </w:pPr>
      <w:r>
        <w:rPr>
          <w:rFonts w:ascii="Calibri" w:hAnsi="Calibri"/>
        </w:rPr>
        <w:t>Nasdaq PHLX, LLC</w:t>
      </w:r>
    </w:p>
    <w:p>
      <w:pPr>
        <w:pStyle w:val="ListBullet"/>
      </w:pPr>
      <w:r>
        <w:rPr>
          <w:rFonts w:ascii="Calibri" w:hAnsi="Calibri"/>
        </w:rPr>
        <w:t>NYSE American Options, LLC</w:t>
      </w:r>
    </w:p>
    <w:p>
      <w:pPr>
        <w:pStyle w:val="ListBullet"/>
      </w:pPr>
      <w:r>
        <w:rPr>
          <w:rFonts w:ascii="Calibri" w:hAnsi="Calibri"/>
        </w:rPr>
        <w:t>NYSE Arca, Inc.</w:t>
      </w:r>
    </w:p>
    <w:p>
      <w:r>
        <w:rPr>
          <w:rFonts w:ascii="Calibri" w:hAnsi="Calibri"/>
          <w:b/>
        </w:rPr>
        <w:t>Futures Exchanges:</w:t>
      </w:r>
    </w:p>
    <w:p>
      <w:pPr>
        <w:pStyle w:val="ListBullet"/>
      </w:pPr>
      <w:r>
        <w:rPr>
          <w:rFonts w:ascii="Calibri" w:hAnsi="Calibri"/>
        </w:rPr>
        <w:t>Cboe Futures Exchange (CFE)</w:t>
      </w:r>
    </w:p>
    <w:p>
      <w:r>
        <w:rPr>
          <w:rFonts w:ascii="Calibri" w:hAnsi="Calibri"/>
        </w:rPr>
        <w:t xml:space="preserve">*Sources: </w:t>
      </w:r>
      <w:r>
        <w:rPr>
          <w:rFonts w:ascii="Calibri" w:hAnsi="Calibri"/>
          <w:color w:val="0563C1"/>
          <w:u w:val="single"/>
        </w:rPr>
        <w:t>Wikipedia — Options Clearing Corporation</w:t>
      </w:r>
      <w:r>
        <w:rPr>
          <w:rFonts w:ascii="Calibri" w:hAnsi="Calibri"/>
        </w:rPr>
        <w:t xml:space="preserve">; </w:t>
      </w:r>
      <w:r>
        <w:rPr>
          <w:rFonts w:ascii="Calibri" w:hAnsi="Calibri"/>
          <w:color w:val="0563C1"/>
          <w:u w:val="single"/>
        </w:rPr>
        <w:t>OCC 2024 Annual Report</w:t>
      </w:r>
      <w:r>
        <w:rPr>
          <w:rFonts w:ascii="Calibri" w:hAnsi="Calibri"/>
        </w:rPr>
        <w:t>*</w:t>
      </w:r>
    </w:p>
    <w:p>
      <w:pPr>
        <w:pStyle w:val="Heading3"/>
      </w:pPr>
      <w:r>
        <w:rPr>
          <w:rFonts w:ascii="Calibri" w:hAnsi="Calibri"/>
        </w:rPr>
        <w:t>Key Historical Milestones</w:t>
      </w:r>
    </w:p>
    <w:p>
      <w:pPr>
        <w:pStyle w:val="ListBullet"/>
      </w:pPr>
      <w:r>
        <w:rPr>
          <w:rFonts w:ascii="Calibri" w:hAnsi="Calibri"/>
          <w:b/>
        </w:rPr>
        <w:t>1973:</w:t>
      </w:r>
      <w:r>
        <w:rPr>
          <w:rFonts w:ascii="Calibri" w:hAnsi="Calibri"/>
        </w:rPr>
        <w:t xml:space="preserve"> OCC founded as a clearing house for listed equity options on five exchanges, coinciding with the launch of the Chicago Board Options Exchange (CBOE).</w:t>
      </w:r>
    </w:p>
    <w:p>
      <w:pPr>
        <w:pStyle w:val="ListBullet"/>
      </w:pPr>
      <w:r>
        <w:rPr>
          <w:rFonts w:ascii="Calibri" w:hAnsi="Calibri"/>
          <w:b/>
        </w:rPr>
        <w:t>1975:</w:t>
      </w:r>
      <w:r>
        <w:rPr>
          <w:rFonts w:ascii="Calibri" w:hAnsi="Calibri"/>
        </w:rPr>
        <w:t xml:space="preserve"> OCC began clearing put options (previously only calls were listed).</w:t>
      </w:r>
    </w:p>
    <w:p>
      <w:pPr>
        <w:pStyle w:val="ListBullet"/>
      </w:pPr>
      <w:r>
        <w:rPr>
          <w:rFonts w:ascii="Calibri" w:hAnsi="Calibri"/>
          <w:b/>
        </w:rPr>
        <w:t>1985:</w:t>
      </w:r>
      <w:r>
        <w:rPr>
          <w:rFonts w:ascii="Calibri" w:hAnsi="Calibri"/>
        </w:rPr>
        <w:t xml:space="preserve"> OCC began clearing index options.</w:t>
      </w:r>
    </w:p>
    <w:p>
      <w:pPr>
        <w:pStyle w:val="ListBullet"/>
      </w:pPr>
      <w:r>
        <w:rPr>
          <w:rFonts w:ascii="Calibri" w:hAnsi="Calibri"/>
          <w:b/>
        </w:rPr>
        <w:t>1993:</w:t>
      </w:r>
      <w:r>
        <w:rPr>
          <w:rFonts w:ascii="Calibri" w:hAnsi="Calibri"/>
        </w:rPr>
        <w:t xml:space="preserve"> OCC launched its Stock Loan/Hedge Program for securities lending transactions.</w:t>
      </w:r>
    </w:p>
    <w:p>
      <w:pPr>
        <w:pStyle w:val="ListBullet"/>
      </w:pPr>
      <w:r>
        <w:rPr>
          <w:rFonts w:ascii="Calibri" w:hAnsi="Calibri"/>
          <w:b/>
        </w:rPr>
        <w:t>2000:</w:t>
      </w:r>
      <w:r>
        <w:rPr>
          <w:rFonts w:ascii="Calibri" w:hAnsi="Calibri"/>
        </w:rPr>
        <w:t xml:space="preserve"> ENCORE clearing platform launched, replacing legacy systems.</w:t>
      </w:r>
    </w:p>
    <w:p>
      <w:pPr>
        <w:pStyle w:val="ListBullet"/>
      </w:pPr>
      <w:r>
        <w:rPr>
          <w:rFonts w:ascii="Calibri" w:hAnsi="Calibri"/>
          <w:b/>
        </w:rPr>
        <w:t>2000:</w:t>
      </w:r>
      <w:r>
        <w:rPr>
          <w:rFonts w:ascii="Calibri" w:hAnsi="Calibri"/>
        </w:rPr>
        <w:t xml:space="preserve"> Monthly volume record of 75.3 million contracts set in October.</w:t>
      </w:r>
    </w:p>
    <w:p>
      <w:pPr>
        <w:pStyle w:val="ListBullet"/>
      </w:pPr>
      <w:r>
        <w:rPr>
          <w:rFonts w:ascii="Calibri" w:hAnsi="Calibri"/>
          <w:b/>
        </w:rPr>
        <w:t>2006:</w:t>
      </w:r>
      <w:r>
        <w:rPr>
          <w:rFonts w:ascii="Calibri" w:hAnsi="Calibri"/>
        </w:rPr>
        <w:t xml:space="preserve"> STANS (System for Theoretical Analysis and Numerical Simulations) margin methodology implemented, replacing TIMS (Theoretical Intermarket Margin System).</w:t>
      </w:r>
    </w:p>
    <w:p>
      <w:pPr>
        <w:pStyle w:val="ListBullet"/>
      </w:pPr>
      <w:r>
        <w:rPr>
          <w:rFonts w:ascii="Calibri" w:hAnsi="Calibri"/>
          <w:b/>
        </w:rPr>
        <w:t>2011 (August):</w:t>
      </w:r>
      <w:r>
        <w:rPr>
          <w:rFonts w:ascii="Calibri" w:hAnsi="Calibri"/>
        </w:rPr>
        <w:t xml:space="preserve"> Record monthly volume of 550 million contracts; S&amp;P lowered OCC credit rating to AA+ from AAA.</w:t>
      </w:r>
    </w:p>
    <w:p>
      <w:pPr>
        <w:pStyle w:val="ListBullet"/>
      </w:pPr>
      <w:r>
        <w:rPr>
          <w:rFonts w:ascii="Calibri" w:hAnsi="Calibri"/>
          <w:b/>
        </w:rPr>
        <w:t>2012 (July):</w:t>
      </w:r>
      <w:r>
        <w:rPr>
          <w:rFonts w:ascii="Calibri" w:hAnsi="Calibri"/>
        </w:rPr>
        <w:t xml:space="preserve"> Designated as SIFMU by FSOC under Dodd-Frank Title VIII.</w:t>
      </w:r>
    </w:p>
    <w:p>
      <w:pPr>
        <w:pStyle w:val="ListBullet"/>
      </w:pPr>
      <w:r>
        <w:rPr>
          <w:rFonts w:ascii="Calibri" w:hAnsi="Calibri"/>
          <w:b/>
        </w:rPr>
        <w:t>2015:</w:t>
      </w:r>
      <w:r>
        <w:rPr>
          <w:rFonts w:ascii="Calibri" w:hAnsi="Calibri"/>
        </w:rPr>
        <w:t xml:space="preserve"> OCC submitted Capital Plan to SEC for enhanced capitalization; subsequently challenged by non-shareholder exchanges.</w:t>
      </w:r>
    </w:p>
    <w:p>
      <w:pPr>
        <w:pStyle w:val="ListBullet"/>
      </w:pPr>
      <w:r>
        <w:rPr>
          <w:rFonts w:ascii="Calibri" w:hAnsi="Calibri"/>
          <w:b/>
        </w:rPr>
        <w:t>2019 (February):</w:t>
      </w:r>
      <w:r>
        <w:rPr>
          <w:rFonts w:ascii="Calibri" w:hAnsi="Calibri"/>
        </w:rPr>
        <w:t xml:space="preserve"> SEC disapproved OCC's Capital Plan on procedural and substantive grounds, citing insufficient information and governance concerns.</w:t>
      </w:r>
    </w:p>
    <w:p>
      <w:pPr>
        <w:pStyle w:val="ListBullet"/>
      </w:pPr>
      <w:r>
        <w:rPr>
          <w:rFonts w:ascii="Calibri" w:hAnsi="Calibri"/>
          <w:b/>
        </w:rPr>
        <w:t>2019 (September):</w:t>
      </w:r>
      <w:r>
        <w:rPr>
          <w:rFonts w:ascii="Calibri" w:hAnsi="Calibri"/>
        </w:rPr>
        <w:t xml:space="preserve"> SEC and CFTC charged OCC with failing to establish and maintain adequate risk management policies.</w:t>
      </w:r>
    </w:p>
    <w:p>
      <w:pPr>
        <w:pStyle w:val="ListBullet"/>
      </w:pPr>
      <w:r>
        <w:rPr>
          <w:rFonts w:ascii="Calibri" w:hAnsi="Calibri"/>
          <w:b/>
        </w:rPr>
        <w:t>2019–2021:</w:t>
      </w:r>
      <w:r>
        <w:rPr>
          <w:rFonts w:ascii="Calibri" w:hAnsi="Calibri"/>
        </w:rPr>
        <w:t xml:space="preserve"> Clearing Fund underfunding incident — OCC's Clearing Fund was underfunded by $200 million to $588 million at various times between October 2019 and May 2021 due to errors in the Liquidation Cost Model.</w:t>
      </w:r>
    </w:p>
    <w:p>
      <w:pPr>
        <w:pStyle w:val="ListBullet"/>
      </w:pPr>
      <w:r>
        <w:rPr>
          <w:rFonts w:ascii="Calibri" w:hAnsi="Calibri"/>
          <w:b/>
        </w:rPr>
        <w:t>2022 (October):</w:t>
      </w:r>
      <w:r>
        <w:rPr>
          <w:rFonts w:ascii="Calibri" w:hAnsi="Calibri"/>
        </w:rPr>
        <w:t xml:space="preserve"> SEC issued no-objection notice for OCC's Renaissance Initiative cloud infrastructure proposal.</w:t>
      </w:r>
    </w:p>
    <w:p>
      <w:pPr>
        <w:pStyle w:val="ListBullet"/>
      </w:pPr>
      <w:r>
        <w:rPr>
          <w:rFonts w:ascii="Calibri" w:hAnsi="Calibri"/>
          <w:b/>
        </w:rPr>
        <w:t>2023 (February):</w:t>
      </w:r>
      <w:r>
        <w:rPr>
          <w:rFonts w:ascii="Calibri" w:hAnsi="Calibri"/>
        </w:rPr>
        <w:t xml:space="preserve"> OCC settled with SEC ($17 million penalty) and CFTC ($5 million penalty) over Clearing Fund underfunding and operational risk management failures.</w:t>
      </w:r>
    </w:p>
    <w:p>
      <w:pPr>
        <w:pStyle w:val="ListBullet"/>
      </w:pPr>
      <w:r>
        <w:rPr>
          <w:rFonts w:ascii="Calibri" w:hAnsi="Calibri"/>
          <w:b/>
        </w:rPr>
        <w:t>2024 (May 28):</w:t>
      </w:r>
      <w:r>
        <w:rPr>
          <w:rFonts w:ascii="Calibri" w:hAnsi="Calibri"/>
        </w:rPr>
        <w:t xml:space="preserve"> Transition to T+1 settlement cycle for underlying equity securities.</w:t>
      </w:r>
    </w:p>
    <w:p>
      <w:pPr>
        <w:pStyle w:val="ListBullet"/>
      </w:pPr>
      <w:r>
        <w:rPr>
          <w:rFonts w:ascii="Calibri" w:hAnsi="Calibri"/>
          <w:b/>
        </w:rPr>
        <w:t>2024:</w:t>
      </w:r>
      <w:r>
        <w:rPr>
          <w:rFonts w:ascii="Calibri" w:hAnsi="Calibri"/>
        </w:rPr>
        <w:t xml:space="preserve"> Record-breaking annual volume — 12.2 billion options contracts cleared (+10.6% YoY), 60.1 million futures contracts (+7.7% YoY).</w:t>
      </w:r>
    </w:p>
    <w:p>
      <w:pPr>
        <w:pStyle w:val="ListBullet"/>
      </w:pPr>
      <w:r>
        <w:rPr>
          <w:rFonts w:ascii="Calibri" w:hAnsi="Calibri"/>
          <w:b/>
        </w:rPr>
        <w:t>2025 (April 4):</w:t>
      </w:r>
      <w:r>
        <w:rPr>
          <w:rFonts w:ascii="Calibri" w:hAnsi="Calibri"/>
        </w:rPr>
        <w:t xml:space="preserve"> Daily volume record of 102.6 million contracts, the first time exceeding 100 million in a single day.</w:t>
      </w:r>
    </w:p>
    <w:p>
      <w:pPr>
        <w:pStyle w:val="ListBullet"/>
      </w:pPr>
      <w:r>
        <w:rPr>
          <w:rFonts w:ascii="Calibri" w:hAnsi="Calibri"/>
          <w:b/>
        </w:rPr>
        <w:t>2025 (October 10):</w:t>
      </w:r>
      <w:r>
        <w:rPr>
          <w:rFonts w:ascii="Calibri" w:hAnsi="Calibri"/>
        </w:rPr>
        <w:t xml:space="preserve"> New daily volume record of 110 million option contracts cleared.</w:t>
      </w:r>
    </w:p>
    <w:p>
      <w:r>
        <w:rPr>
          <w:rFonts w:ascii="Calibri" w:hAnsi="Calibri"/>
        </w:rPr>
        <w:t xml:space="preserve">*Sources: </w:t>
      </w:r>
      <w:r>
        <w:rPr>
          <w:rFonts w:ascii="Calibri" w:hAnsi="Calibri"/>
          <w:color w:val="0563C1"/>
          <w:u w:val="single"/>
        </w:rPr>
        <w:t>Wikipedia — Options Clearing Corporation</w:t>
      </w:r>
      <w:r>
        <w:rPr>
          <w:rFonts w:ascii="Calibri" w:hAnsi="Calibri"/>
        </w:rPr>
        <w:t xml:space="preserve">; </w:t>
      </w:r>
      <w:r>
        <w:rPr>
          <w:rFonts w:ascii="Calibri" w:hAnsi="Calibri"/>
          <w:color w:val="0563C1"/>
          <w:u w:val="single"/>
        </w:rPr>
        <w:t>OCC 2024 Volume Release</w:t>
      </w:r>
      <w:r>
        <w:rPr>
          <w:rFonts w:ascii="Calibri" w:hAnsi="Calibri"/>
        </w:rPr>
        <w:t xml:space="preserve">; </w:t>
      </w:r>
      <w:r>
        <w:rPr>
          <w:rFonts w:ascii="Calibri" w:hAnsi="Calibri"/>
          <w:color w:val="0563C1"/>
          <w:u w:val="single"/>
        </w:rPr>
        <w:t>SEC Charges OCC (2023)</w:t>
      </w:r>
      <w:r>
        <w:rPr>
          <w:rFonts w:ascii="Calibri" w:hAnsi="Calibri"/>
        </w:rPr>
        <w:t xml:space="preserve">; </w:t>
      </w:r>
      <w:r>
        <w:rPr>
          <w:rFonts w:ascii="Calibri" w:hAnsi="Calibri"/>
          <w:color w:val="0563C1"/>
          <w:u w:val="single"/>
        </w:rPr>
        <w:t>CFTC Penalty Order (2023)</w:t>
      </w:r>
      <w:r>
        <w:rPr>
          <w:rFonts w:ascii="Calibri" w:hAnsi="Calibri"/>
        </w:rPr>
        <w:t xml:space="preserve">; </w:t>
      </w:r>
      <w:r>
        <w:rPr>
          <w:rFonts w:ascii="Calibri" w:hAnsi="Calibri"/>
          <w:color w:val="0563C1"/>
          <w:u w:val="single"/>
        </w:rPr>
        <w:t>SEC Capital Plan Disapproval (2019)</w:t>
      </w:r>
      <w:r>
        <w:rPr>
          <w:rFonts w:ascii="Calibri" w:hAnsi="Calibri"/>
        </w:rPr>
        <w:t>*</w:t>
      </w:r>
    </w:p>
    <w:p>
      <w:pPr>
        <w:pStyle w:val="Heading3"/>
      </w:pPr>
      <w:r>
        <w:rPr>
          <w:rFonts w:ascii="Calibri" w:hAnsi="Calibri"/>
        </w:rPr>
        <w:t>Key Financial Data (2024)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Metric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Value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Revenue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~$468–500 million [unverified — sources vary]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Employees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~800+ [unverified]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Options Contracts Cleared (2024)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12.2 billion (record)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Futures Contracts Cleared (2024)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60.1 million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Average Daily Options Volume (2024)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~48.6 million contracts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Total Margin Held (year-end 2023)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$231.7 billion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Clearing Fund Size (average Q3 2024–Q2 2025)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~$19.5 billion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Clearing Fund Size (year-end 2023)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~$16.9 billion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Initial Margin (Q3 2025, PQD)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$180 billion (+59% YoY)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Regulatory Capital Target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$303 million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Persistent Minimum SITG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$69 million (OCC capital) / ~$76 million (including deferred compensation)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Clearing Members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~115</w:t>
            </w:r>
          </w:p>
        </w:tc>
      </w:tr>
    </w:tbl>
    <w:p/>
    <w:p>
      <w:r>
        <w:rPr>
          <w:rFonts w:ascii="Calibri" w:hAnsi="Calibri"/>
        </w:rPr>
        <w:t xml:space="preserve">*Sources: </w:t>
      </w:r>
      <w:r>
        <w:rPr>
          <w:rFonts w:ascii="Calibri" w:hAnsi="Calibri"/>
          <w:color w:val="0563C1"/>
          <w:u w:val="single"/>
        </w:rPr>
        <w:t>OCC 2024 Volume Release</w:t>
      </w:r>
      <w:r>
        <w:rPr>
          <w:rFonts w:ascii="Calibri" w:hAnsi="Calibri"/>
        </w:rPr>
        <w:t xml:space="preserve">; </w:t>
      </w:r>
      <w:r>
        <w:rPr>
          <w:rFonts w:ascii="Calibri" w:hAnsi="Calibri"/>
          <w:color w:val="0563C1"/>
          <w:u w:val="single"/>
        </w:rPr>
        <w:t>2024 OCC Annual Report</w:t>
      </w:r>
      <w:r>
        <w:rPr>
          <w:rFonts w:ascii="Calibri" w:hAnsi="Calibri"/>
        </w:rPr>
        <w:t xml:space="preserve">; </w:t>
      </w:r>
      <w:r>
        <w:rPr>
          <w:rFonts w:ascii="Calibri" w:hAnsi="Calibri"/>
          <w:color w:val="0563C1"/>
          <w:u w:val="single"/>
        </w:rPr>
        <w:t>CCP Global PQD Quarterly Trends Report Q3 2025</w:t>
      </w:r>
      <w:r>
        <w:rPr>
          <w:rFonts w:ascii="Calibri" w:hAnsi="Calibri"/>
        </w:rPr>
        <w:t xml:space="preserve">; </w:t>
      </w:r>
      <w:r>
        <w:rPr>
          <w:rFonts w:ascii="Calibri" w:hAnsi="Calibri"/>
          <w:color w:val="0563C1"/>
          <w:u w:val="single"/>
        </w:rPr>
        <w:t>SEC Filing SR-OCC-2021 (SITG)</w:t>
      </w:r>
      <w:r>
        <w:rPr>
          <w:rFonts w:ascii="Calibri" w:hAnsi="Calibri"/>
        </w:rPr>
        <w:t>*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Calibri" w:hAnsi="Calibri"/>
        </w:rPr>
        <w:t>2. Clearing Model</w:t>
      </w:r>
    </w:p>
    <w:p>
      <w:pPr>
        <w:pStyle w:val="Heading3"/>
      </w:pPr>
      <w:r>
        <w:rPr>
          <w:rFonts w:ascii="Calibri" w:hAnsi="Calibri"/>
        </w:rPr>
        <w:t>2.1 CCP Services</w:t>
      </w:r>
    </w:p>
    <w:p>
      <w:r>
        <w:rPr>
          <w:rFonts w:ascii="Calibri" w:hAnsi="Calibri"/>
        </w:rPr>
        <w:t>OCC serves as the sole CCP for standardized equity options listed on U.S. national securities exchanges. It also clears futures, securities lending transactions, and certain OTC products.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Product Class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Description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Volume / Scale (2024)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Equity Options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Puts and calls on individual equities, ETFs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Majority of 12.2 billion total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Index Options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Options on equity indexes (e.g., SPX, NDX, VIX)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Included in total; SPX alone ~2+ billion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Futures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Futures on CBOE Futures Exchange (VIX futures, etc.)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60.1 million contracts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Securities Lending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Stock Loan/Hedge Program and Market Loan Program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~$139 billion average daily loan balance (June 2023 peak); ~9,800 transactions/day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Single-Stock Futures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Futures on individual equities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Minimal volume (largely dormant)</w:t>
            </w:r>
          </w:p>
        </w:tc>
      </w:tr>
    </w:tbl>
    <w:p/>
    <w:p>
      <w:r>
        <w:rPr>
          <w:rFonts w:ascii="Calibri" w:hAnsi="Calibri"/>
        </w:rPr>
        <w:t xml:space="preserve">*Sources: </w:t>
      </w:r>
      <w:r>
        <w:rPr>
          <w:rFonts w:ascii="Calibri" w:hAnsi="Calibri"/>
          <w:color w:val="0563C1"/>
          <w:u w:val="single"/>
        </w:rPr>
        <w:t>OCC 2024 Volume Release</w:t>
      </w:r>
      <w:r>
        <w:rPr>
          <w:rFonts w:ascii="Calibri" w:hAnsi="Calibri"/>
        </w:rPr>
        <w:t xml:space="preserve">; </w:t>
      </w:r>
      <w:r>
        <w:rPr>
          <w:rFonts w:ascii="Calibri" w:hAnsi="Calibri"/>
          <w:color w:val="0563C1"/>
          <w:u w:val="single"/>
        </w:rPr>
        <w:t>OCC Stock Loan Programs</w:t>
      </w:r>
      <w:r>
        <w:rPr>
          <w:rFonts w:ascii="Calibri" w:hAnsi="Calibri"/>
        </w:rPr>
        <w:t xml:space="preserve">; </w:t>
      </w:r>
      <w:r>
        <w:rPr>
          <w:rFonts w:ascii="Calibri" w:hAnsi="Calibri"/>
          <w:color w:val="0563C1"/>
          <w:u w:val="single"/>
        </w:rPr>
        <w:t>FOW — OCC Securities Lending 30th Anniversary</w:t>
      </w:r>
      <w:r>
        <w:rPr>
          <w:rFonts w:ascii="Calibri" w:hAnsi="Calibri"/>
        </w:rPr>
        <w:t>*</w:t>
      </w:r>
    </w:p>
    <w:p>
      <w:pPr>
        <w:pStyle w:val="Heading3"/>
      </w:pPr>
      <w:r>
        <w:rPr>
          <w:rFonts w:ascii="Calibri" w:hAnsi="Calibri"/>
        </w:rPr>
        <w:t>2.2 Short-Dated and 0DTE Options</w:t>
      </w:r>
    </w:p>
    <w:p>
      <w:r>
        <w:rPr>
          <w:rFonts w:ascii="Calibri" w:hAnsi="Calibri"/>
        </w:rPr>
        <w:t>Short-dated options (contracts with less than one week to expiration) represent a rapidly growing segment of OCC's cleared volume:</w:t>
      </w:r>
    </w:p>
    <w:p>
      <w:pPr>
        <w:pStyle w:val="ListBullet"/>
      </w:pPr>
      <w:r>
        <w:rPr>
          <w:rFonts w:ascii="Calibri" w:hAnsi="Calibri"/>
        </w:rPr>
        <w:t xml:space="preserve">Short-dated options represented approximately </w:t>
      </w:r>
      <w:r>
        <w:rPr>
          <w:rFonts w:ascii="Calibri" w:hAnsi="Calibri"/>
          <w:b/>
        </w:rPr>
        <w:t>40% of total volume</w:t>
      </w:r>
      <w:r>
        <w:rPr>
          <w:rFonts w:ascii="Calibri" w:hAnsi="Calibri"/>
        </w:rPr>
        <w:t xml:space="preserve"> in 2024</w:t>
      </w:r>
    </w:p>
    <w:p>
      <w:pPr>
        <w:pStyle w:val="ListBullet"/>
      </w:pPr>
      <w:r>
        <w:rPr>
          <w:rFonts w:ascii="Calibri" w:hAnsi="Calibri"/>
        </w:rPr>
        <w:t xml:space="preserve">Zero-day-to-expiry (0DTE) options represented approximately </w:t>
      </w:r>
      <w:r>
        <w:rPr>
          <w:rFonts w:ascii="Calibri" w:hAnsi="Calibri"/>
          <w:b/>
        </w:rPr>
        <w:t>20% of total volume</w:t>
      </w:r>
      <w:r>
        <w:rPr>
          <w:rFonts w:ascii="Calibri" w:hAnsi="Calibri"/>
        </w:rPr>
        <w:t xml:space="preserve"> in 2024</w:t>
      </w:r>
    </w:p>
    <w:p>
      <w:pPr>
        <w:pStyle w:val="ListBullet"/>
      </w:pPr>
      <w:r>
        <w:rPr>
          <w:rFonts w:ascii="Calibri" w:hAnsi="Calibri"/>
        </w:rPr>
        <w:t xml:space="preserve">In SPX options specifically, 0DTE accounted for </w:t>
      </w:r>
      <w:r>
        <w:rPr>
          <w:rFonts w:ascii="Calibri" w:hAnsi="Calibri"/>
          <w:b/>
        </w:rPr>
        <w:t>48% of volume</w:t>
      </w:r>
      <w:r>
        <w:rPr>
          <w:rFonts w:ascii="Calibri" w:hAnsi="Calibri"/>
        </w:rPr>
        <w:t xml:space="preserve"> in Q1 2024 (up from 11% five years prior)</w:t>
      </w:r>
    </w:p>
    <w:p>
      <w:pPr>
        <w:pStyle w:val="ListBullet"/>
      </w:pPr>
      <w:r>
        <w:rPr>
          <w:rFonts w:ascii="Calibri" w:hAnsi="Calibri"/>
        </w:rPr>
        <w:t>This rapid growth creates significant intraday risk management challenges, as 0DTE positions are currently uncollateralized intraday under traditional end-of-day margining</w:t>
      </w:r>
    </w:p>
    <w:p>
      <w:r>
        <w:rPr>
          <w:rFonts w:ascii="Calibri" w:hAnsi="Calibri"/>
        </w:rPr>
        <w:t xml:space="preserve">*Sources: </w:t>
      </w:r>
      <w:r>
        <w:rPr>
          <w:rFonts w:ascii="Calibri" w:hAnsi="Calibri"/>
          <w:color w:val="0563C1"/>
          <w:u w:val="single"/>
        </w:rPr>
        <w:t>OCC 2024 Volume Release</w:t>
      </w:r>
      <w:r>
        <w:rPr>
          <w:rFonts w:ascii="Calibri" w:hAnsi="Calibri"/>
        </w:rPr>
        <w:t xml:space="preserve">; </w:t>
      </w:r>
      <w:r>
        <w:rPr>
          <w:rFonts w:ascii="Calibri" w:hAnsi="Calibri"/>
          <w:color w:val="0563C1"/>
          <w:u w:val="single"/>
        </w:rPr>
        <w:t>SEC Filing SR-OCC-2024-010</w:t>
      </w:r>
      <w:r>
        <w:rPr>
          <w:rFonts w:ascii="Calibri" w:hAnsi="Calibri"/>
        </w:rPr>
        <w:t>*</w:t>
      </w:r>
    </w:p>
    <w:p>
      <w:pPr>
        <w:pStyle w:val="Heading3"/>
      </w:pPr>
      <w:r>
        <w:rPr>
          <w:rFonts w:ascii="Calibri" w:hAnsi="Calibri"/>
        </w:rPr>
        <w:t>2.3 Novation Process</w:t>
      </w:r>
    </w:p>
    <w:p>
      <w:r>
        <w:rPr>
          <w:rFonts w:ascii="Calibri" w:hAnsi="Calibri"/>
        </w:rPr>
        <w:t xml:space="preserve">OCC uses an </w:t>
      </w:r>
      <w:r>
        <w:rPr>
          <w:rFonts w:ascii="Calibri" w:hAnsi="Calibri"/>
          <w:b/>
        </w:rPr>
        <w:t>open offer</w:t>
      </w:r>
      <w:r>
        <w:rPr>
          <w:rFonts w:ascii="Calibri" w:hAnsi="Calibri"/>
        </w:rPr>
        <w:t xml:space="preserve"> model for novation. When an options trade is executed on a participant exchange and reported to OCC, OCC interposes itself as the CCP:</w:t>
      </w:r>
    </w:p>
    <w:p>
      <w:pPr>
        <w:pStyle w:val="ListBullet"/>
      </w:pPr>
      <w:r>
        <w:rPr>
          <w:rFonts w:ascii="Calibri" w:hAnsi="Calibri"/>
        </w:rPr>
        <w:t xml:space="preserve">OCC becomes the </w:t>
      </w:r>
      <w:r>
        <w:rPr>
          <w:rFonts w:ascii="Calibri" w:hAnsi="Calibri"/>
          <w:b/>
        </w:rPr>
        <w:t>buyer to every seller and seller to every buyer</w:t>
      </w:r>
    </w:p>
    <w:p>
      <w:pPr>
        <w:pStyle w:val="ListBullet"/>
      </w:pPr>
      <w:r>
        <w:rPr>
          <w:rFonts w:ascii="Calibri" w:hAnsi="Calibri"/>
        </w:rPr>
        <w:t>This novation occurs at the point of trade acceptance</w:t>
      </w:r>
    </w:p>
    <w:p>
      <w:pPr>
        <w:pStyle w:val="ListBullet"/>
      </w:pPr>
      <w:r>
        <w:rPr>
          <w:rFonts w:ascii="Calibri" w:hAnsi="Calibri"/>
        </w:rPr>
        <w:t>OCC guarantees the performance of every cleared contract</w:t>
      </w:r>
    </w:p>
    <w:p>
      <w:pPr>
        <w:pStyle w:val="ListBullet"/>
      </w:pPr>
      <w:r>
        <w:rPr>
          <w:rFonts w:ascii="Calibri" w:hAnsi="Calibri"/>
        </w:rPr>
        <w:t>Positions are maintained at the clearing member account level</w:t>
      </w:r>
    </w:p>
    <w:p>
      <w:pPr>
        <w:pStyle w:val="Heading3"/>
      </w:pPr>
      <w:r>
        <w:rPr>
          <w:rFonts w:ascii="Calibri" w:hAnsi="Calibri"/>
        </w:rPr>
        <w:t>2.4 Netting</w:t>
      </w:r>
    </w:p>
    <w:p>
      <w:r>
        <w:rPr>
          <w:rFonts w:ascii="Calibri" w:hAnsi="Calibri"/>
        </w:rPr>
        <w:t>OCC performs multilateral netting:</w:t>
      </w:r>
    </w:p>
    <w:p>
      <w:pPr>
        <w:pStyle w:val="ListBullet"/>
      </w:pPr>
      <w:r>
        <w:rPr>
          <w:rFonts w:ascii="Calibri" w:hAnsi="Calibri"/>
          <w:b/>
        </w:rPr>
        <w:t>Position Netting:</w:t>
      </w:r>
      <w:r>
        <w:rPr>
          <w:rFonts w:ascii="Calibri" w:hAnsi="Calibri"/>
        </w:rPr>
        <w:t xml:space="preserve"> Long and short positions in the same series are netted at the account level</w:t>
      </w:r>
    </w:p>
    <w:p>
      <w:pPr>
        <w:pStyle w:val="ListBullet"/>
      </w:pPr>
      <w:r>
        <w:rPr>
          <w:rFonts w:ascii="Calibri" w:hAnsi="Calibri"/>
          <w:b/>
        </w:rPr>
        <w:t>Premium Netting:</w:t>
      </w:r>
      <w:r>
        <w:rPr>
          <w:rFonts w:ascii="Calibri" w:hAnsi="Calibri"/>
        </w:rPr>
        <w:t xml:space="preserve"> Daily premiums receivable and payable are netted into a single payment per clearing member</w:t>
      </w:r>
    </w:p>
    <w:p>
      <w:pPr>
        <w:pStyle w:val="ListBullet"/>
      </w:pPr>
      <w:r>
        <w:rPr>
          <w:rFonts w:ascii="Calibri" w:hAnsi="Calibri"/>
          <w:b/>
        </w:rPr>
        <w:t>Exercise/Assignment Netting:</w:t>
      </w:r>
      <w:r>
        <w:rPr>
          <w:rFonts w:ascii="Calibri" w:hAnsi="Calibri"/>
        </w:rPr>
        <w:t xml:space="preserve"> Delivery obligations from exercise and assignment are netted with NSCC through the "Accord" agreement</w:t>
      </w:r>
    </w:p>
    <w:p>
      <w:pPr>
        <w:pStyle w:val="Heading3"/>
      </w:pPr>
      <w:r>
        <w:rPr>
          <w:rFonts w:ascii="Calibri" w:hAnsi="Calibri"/>
        </w:rPr>
        <w:t>2.5 Clearing Membership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Category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Number of Clearing Members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~115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Member Types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U.S. broker-dealers, futures commission merchants (FCMs), U.S. banks (newly eligible), non-U.S. securities firms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Minimum Net Capital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$10,000,000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Operational Requirements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Qualified staff, adequate facilities, ability to interface with OCC systems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Clearing Fund Contribution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Required; allocated based on risk-based methodology proportional to stress exposure</w:t>
            </w:r>
          </w:p>
        </w:tc>
      </w:tr>
    </w:tbl>
    <w:p/>
    <w:p>
      <w:r>
        <w:rPr>
          <w:rFonts w:ascii="Calibri" w:hAnsi="Calibri"/>
        </w:rPr>
        <w:t>In May 2023, the SEC approved OCC's amendment to expand eligible membership to include certain U.S. banks, in addition to the traditional broker-dealer and FCM categories.</w:t>
      </w:r>
    </w:p>
    <w:p>
      <w:r>
        <w:rPr>
          <w:rFonts w:ascii="Calibri" w:hAnsi="Calibri"/>
        </w:rPr>
        <w:t xml:space="preserve">*Sources: </w:t>
      </w:r>
      <w:r>
        <w:rPr>
          <w:rFonts w:ascii="Calibri" w:hAnsi="Calibri"/>
          <w:color w:val="0563C1"/>
          <w:u w:val="single"/>
        </w:rPr>
        <w:t>OCC — Becoming a Clearing Member</w:t>
      </w:r>
      <w:r>
        <w:rPr>
          <w:rFonts w:ascii="Calibri" w:hAnsi="Calibri"/>
        </w:rPr>
        <w:t xml:space="preserve">; </w:t>
      </w:r>
      <w:r>
        <w:rPr>
          <w:rFonts w:ascii="Calibri" w:hAnsi="Calibri"/>
          <w:color w:val="0563C1"/>
          <w:u w:val="single"/>
        </w:rPr>
        <w:t>SEC Approval of Membership Standards Amendment (2023)</w:t>
      </w:r>
      <w:r>
        <w:rPr>
          <w:rFonts w:ascii="Calibri" w:hAnsi="Calibri"/>
        </w:rPr>
        <w:t>*</w:t>
      </w:r>
    </w:p>
    <w:p>
      <w:pPr>
        <w:pStyle w:val="Heading3"/>
      </w:pPr>
      <w:r>
        <w:rPr>
          <w:rFonts w:ascii="Calibri" w:hAnsi="Calibri"/>
        </w:rPr>
        <w:t>2.6 Securities Lending Programs</w:t>
      </w:r>
    </w:p>
    <w:p>
      <w:r>
        <w:rPr>
          <w:rFonts w:ascii="Calibri" w:hAnsi="Calibri"/>
        </w:rPr>
        <w:t>OCC operates two distinct securities lending programs, established in 1993: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Program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Model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Description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Hedge Program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Bilateral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Supports transactions executed bilaterally between counterparties; OCC acts as CCP guarantor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Market Loan Program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Exchange-based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Supports transactions originating through participating loan markets (e.g., AQS)</w:t>
            </w:r>
          </w:p>
        </w:tc>
      </w:tr>
    </w:tbl>
    <w:p/>
    <w:p>
      <w:pPr>
        <w:pStyle w:val="ListBullet"/>
      </w:pPr>
      <w:r>
        <w:rPr>
          <w:rFonts w:ascii="Calibri" w:hAnsi="Calibri"/>
        </w:rPr>
        <w:t xml:space="preserve">Since 2012, stock loan clearing volumes have grown at a </w:t>
      </w:r>
      <w:r>
        <w:rPr>
          <w:rFonts w:ascii="Calibri" w:hAnsi="Calibri"/>
          <w:b/>
        </w:rPr>
        <w:t>CAGR of 16%</w:t>
      </w:r>
      <w:r>
        <w:rPr>
          <w:rFonts w:ascii="Calibri" w:hAnsi="Calibri"/>
        </w:rPr>
        <w:t xml:space="preserve">, with open interest growing at </w:t>
      </w:r>
      <w:r>
        <w:rPr>
          <w:rFonts w:ascii="Calibri" w:hAnsi="Calibri"/>
          <w:b/>
        </w:rPr>
        <w:t>22%</w:t>
      </w:r>
    </w:p>
    <w:p>
      <w:pPr>
        <w:pStyle w:val="ListBullet"/>
      </w:pPr>
      <w:r>
        <w:rPr>
          <w:rFonts w:ascii="Calibri" w:hAnsi="Calibri"/>
        </w:rPr>
        <w:t>OCC is the world's largest U.S. equities lending CCP</w:t>
      </w:r>
    </w:p>
    <w:p>
      <w:pPr>
        <w:pStyle w:val="ListBullet"/>
      </w:pPr>
      <w:r>
        <w:rPr>
          <w:rFonts w:ascii="Calibri" w:hAnsi="Calibri"/>
        </w:rPr>
        <w:t>OCC selected Axoni (DLT platform) to modernize securities lending infrastructure</w:t>
      </w:r>
    </w:p>
    <w:p>
      <w:r>
        <w:rPr>
          <w:rFonts w:ascii="Calibri" w:hAnsi="Calibri"/>
        </w:rPr>
        <w:t xml:space="preserve">*Sources: </w:t>
      </w:r>
      <w:r>
        <w:rPr>
          <w:rFonts w:ascii="Calibri" w:hAnsi="Calibri"/>
          <w:color w:val="0563C1"/>
          <w:u w:val="single"/>
        </w:rPr>
        <w:t>OCC Stock Loan Programs</w:t>
      </w:r>
      <w:r>
        <w:rPr>
          <w:rFonts w:ascii="Calibri" w:hAnsi="Calibri"/>
        </w:rPr>
        <w:t xml:space="preserve">; </w:t>
      </w:r>
      <w:r>
        <w:rPr>
          <w:rFonts w:ascii="Calibri" w:hAnsi="Calibri"/>
          <w:color w:val="0563C1"/>
          <w:u w:val="single"/>
        </w:rPr>
        <w:t>Axoni — OCC Modernization</w:t>
      </w:r>
      <w:r>
        <w:rPr>
          <w:rFonts w:ascii="Calibri" w:hAnsi="Calibri"/>
        </w:rPr>
        <w:t>*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Calibri" w:hAnsi="Calibri"/>
        </w:rPr>
        <w:t>3. Risk Management</w:t>
      </w:r>
    </w:p>
    <w:p>
      <w:pPr>
        <w:pStyle w:val="Heading3"/>
      </w:pPr>
      <w:r>
        <w:rPr>
          <w:rFonts w:ascii="Calibri" w:hAnsi="Calibri"/>
        </w:rPr>
        <w:t>3.1 STANS Margin Methodology</w:t>
      </w:r>
    </w:p>
    <w:p>
      <w:r>
        <w:rPr>
          <w:rFonts w:ascii="Calibri" w:hAnsi="Calibri"/>
        </w:rPr>
        <w:t xml:space="preserve">OCC's </w:t>
      </w:r>
      <w:r>
        <w:rPr>
          <w:rFonts w:ascii="Calibri" w:hAnsi="Calibri"/>
          <w:b/>
        </w:rPr>
        <w:t>System for Theoretical Analysis and Numerical Simulations (STANS)</w:t>
      </w:r>
      <w:r>
        <w:rPr>
          <w:rFonts w:ascii="Calibri" w:hAnsi="Calibri"/>
        </w:rPr>
        <w:t xml:space="preserve"> is the primary margin methodology, implemented in August 2006 to replace TIMS (Theoretical Intermarket Margin System). OCC was the </w:t>
      </w:r>
      <w:r>
        <w:rPr>
          <w:rFonts w:ascii="Calibri" w:hAnsi="Calibri"/>
          <w:b/>
        </w:rPr>
        <w:t>first derivatives clearinghouse in the world</w:t>
      </w:r>
      <w:r>
        <w:rPr>
          <w:rFonts w:ascii="Calibri" w:hAnsi="Calibri"/>
        </w:rPr>
        <w:t xml:space="preserve"> to use a large-scale Monte Carlo-based risk management methodology.</w:t>
      </w:r>
    </w:p>
    <w:p>
      <w:pPr>
        <w:pStyle w:val="Heading3"/>
      </w:pPr>
      <w:r>
        <w:rPr>
          <w:rFonts w:ascii="Calibri" w:hAnsi="Calibri"/>
        </w:rPr>
        <w:t>STANS Technical Details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Parameter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Methodology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Monte Carlo simulation — full portfolio margining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Risk Measure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99% Expected Shortfall (ES) — average of all losses beyond the 99% VaR point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Enhanced Measure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99.5% ES for the two single-factor sub-portfolios with greatest exposure; 99% ES for residual portfolio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Holding Period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2-day liquidation horizon</w:t>
            </w:r>
            <w:r>
              <w:rPr>
                <w:rFonts w:ascii="Calibri" w:hAnsi="Calibri"/>
              </w:rPr>
              <w:t xml:space="preserve"> (one day longer than U.S. competitors like CME)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Simulation Paths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Large-scale Monte Carlo simulations across all risk factors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Risk Factors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Equity prices, implied volatilities (by strike/maturity), interest rates, dividend yields, correlation structures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Pricing Models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Sophisticated options pricing models for all listed derivatives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Margin Components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Base component (ES) + Stress test add-on component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Stress Add-On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Considers ES increases from especially large market moves, perfect/zero correlations replacing estimated correlations, and extreme adverse idiosyncratic movements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Calculation Frequency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Daily (end-of-day), with intraday monitoring</w:t>
            </w:r>
          </w:p>
        </w:tc>
      </w:tr>
    </w:tbl>
    <w:p/>
    <w:p>
      <w:pPr>
        <w:pStyle w:val="Heading3"/>
      </w:pPr>
      <w:r>
        <w:rPr>
          <w:rFonts w:ascii="Calibri" w:hAnsi="Calibri"/>
        </w:rPr>
        <w:t>STANS vs. SPAN Comparison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Feature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OCC STANS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CME SPAN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Methodology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Monte Carlo simulation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Scenario-based (16 risk scenarios)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Risk Measure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Expected Shortfall (99%)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Worst-case loss across scenarios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Portfolio Approach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Full portfolio margining with correlations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Product-group scanning with inter-commodity spreads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Holding Period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2 days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1 day (typically)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Non-linearity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Fully captured through simulation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Approximated via scanning range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Correlation Treatment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Dynamically estimated from historical data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Fixed inter-commodity spread credits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Computational Intensity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High (Monte Carlo)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Lower (parametric scenarios)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Historical Context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Introduced 2006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Introduced 1988</w:t>
            </w:r>
          </w:p>
        </w:tc>
      </w:tr>
    </w:tbl>
    <w:p/>
    <w:p>
      <w:r>
        <w:rPr>
          <w:rFonts w:ascii="Calibri" w:hAnsi="Calibri"/>
        </w:rPr>
        <w:t xml:space="preserve">*Sources: </w:t>
      </w:r>
      <w:r>
        <w:rPr>
          <w:rFonts w:ascii="Calibri" w:hAnsi="Calibri"/>
          <w:color w:val="0563C1"/>
          <w:u w:val="single"/>
        </w:rPr>
        <w:t>OCC — Margin Methodology</w:t>
      </w:r>
      <w:r>
        <w:rPr>
          <w:rFonts w:ascii="Calibri" w:hAnsi="Calibri"/>
        </w:rPr>
        <w:t xml:space="preserve">; </w:t>
      </w:r>
      <w:r>
        <w:rPr>
          <w:rFonts w:ascii="Calibri" w:hAnsi="Calibri"/>
          <w:color w:val="0563C1"/>
          <w:u w:val="single"/>
        </w:rPr>
        <w:t>Risk.net — Clearing House of the Year: OCC</w:t>
      </w:r>
      <w:r>
        <w:rPr>
          <w:rFonts w:ascii="Calibri" w:hAnsi="Calibri"/>
        </w:rPr>
        <w:t xml:space="preserve">; </w:t>
      </w:r>
      <w:r>
        <w:rPr>
          <w:rFonts w:ascii="Calibri" w:hAnsi="Calibri"/>
          <w:color w:val="0563C1"/>
          <w:u w:val="single"/>
        </w:rPr>
        <w:t>SEC STANS Approval Order (2006)</w:t>
      </w:r>
      <w:r>
        <w:rPr>
          <w:rFonts w:ascii="Calibri" w:hAnsi="Calibri"/>
        </w:rPr>
        <w:t>*</w:t>
      </w:r>
    </w:p>
    <w:p>
      <w:pPr>
        <w:pStyle w:val="Heading3"/>
      </w:pPr>
      <w:r>
        <w:rPr>
          <w:rFonts w:ascii="Calibri" w:hAnsi="Calibri"/>
        </w:rPr>
        <w:t>3.2 Margin Call Schedule</w:t>
      </w:r>
    </w:p>
    <w:p>
      <w:pPr>
        <w:pStyle w:val="ListBullet"/>
      </w:pPr>
      <w:r>
        <w:rPr>
          <w:rFonts w:ascii="Calibri" w:hAnsi="Calibri"/>
          <w:b/>
        </w:rPr>
        <w:t>End-of-Day Margin:</w:t>
      </w:r>
      <w:r>
        <w:rPr>
          <w:rFonts w:ascii="Calibri" w:hAnsi="Calibri"/>
        </w:rPr>
        <w:t xml:space="preserve"> Calculated daily after market close using STANS; margin calls issued overnight for next-morning settlement</w:t>
      </w:r>
    </w:p>
    <w:p>
      <w:pPr>
        <w:pStyle w:val="ListBullet"/>
      </w:pPr>
      <w:r>
        <w:rPr>
          <w:rFonts w:ascii="Calibri" w:hAnsi="Calibri"/>
          <w:b/>
        </w:rPr>
        <w:t>Intraday Monitoring:</w:t>
      </w:r>
      <w:r>
        <w:rPr>
          <w:rFonts w:ascii="Calibri" w:hAnsi="Calibri"/>
        </w:rPr>
        <w:t xml:space="preserve"> OCC monitors positions and market movements intraday and may issue intraday margin calls</w:t>
      </w:r>
    </w:p>
    <w:p>
      <w:pPr>
        <w:pStyle w:val="ListBullet"/>
      </w:pPr>
      <w:r>
        <w:rPr>
          <w:rFonts w:ascii="Calibri" w:hAnsi="Calibri"/>
          <w:b/>
        </w:rPr>
        <w:t>Intraday Risk Charge (proposed/approved 2025):</w:t>
      </w:r>
      <w:r>
        <w:rPr>
          <w:rFonts w:ascii="Calibri" w:hAnsi="Calibri"/>
        </w:rPr>
        <w:t xml:space="preserve"> New margin add-on to address uncollateralized intraday exposure, particularly from 0DTE options and overnight trading activity</w:t>
      </w:r>
    </w:p>
    <w:p>
      <w:r>
        <w:rPr>
          <w:rFonts w:ascii="Calibri" w:hAnsi="Calibri"/>
        </w:rPr>
        <w:t xml:space="preserve">*Sources: </w:t>
      </w:r>
      <w:r>
        <w:rPr>
          <w:rFonts w:ascii="Calibri" w:hAnsi="Calibri"/>
          <w:color w:val="0563C1"/>
          <w:u w:val="single"/>
        </w:rPr>
        <w:t>SEC Approval of Intraday Risk Charge (April 2025)</w:t>
      </w:r>
      <w:r>
        <w:rPr>
          <w:rFonts w:ascii="Calibri" w:hAnsi="Calibri"/>
        </w:rPr>
        <w:t>*</w:t>
      </w:r>
    </w:p>
    <w:p>
      <w:pPr>
        <w:pStyle w:val="Heading3"/>
      </w:pPr>
      <w:r>
        <w:rPr>
          <w:rFonts w:ascii="Calibri" w:hAnsi="Calibri"/>
        </w:rPr>
        <w:t>3.3 Default Waterfall</w:t>
      </w:r>
    </w:p>
    <w:p>
      <w:r>
        <w:rPr>
          <w:rFonts w:ascii="Calibri" w:hAnsi="Calibri"/>
        </w:rPr>
        <w:t>OCC's default waterfall describes the order in which financial resources are used to address losses arising from a clearing member default: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Layer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Resource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Approximate Size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1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Defaulting member's margin deposits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Varies by member (total margin pool ~$180–232 billion)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2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Defaulting member's Clearing Fund contribution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Proportional share of ~$19.5 billion total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3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OCC's Skin-in-the-Game (SITG)</w:t>
            </w:r>
            <w:r>
              <w:rPr>
                <w:rFonts w:ascii="Calibri" w:hAnsi="Calibri"/>
              </w:rPr>
              <w:t xml:space="preserve"> — OCC's own capital contribution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Persistent minimum of $69 million (capital) / ~$76 million (including deferred compensation); at least 25% of target regulatory capital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4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Non-defaulting members' Clearing Fund contributions</w:t>
            </w:r>
            <w:r>
              <w:rPr>
                <w:rFonts w:ascii="Calibri" w:hAnsi="Calibri"/>
              </w:rPr>
              <w:t xml:space="preserve"> (mutualized loss sharing)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Remainder of ~$19.5 billion Clearing Fund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5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Assessments on non-defaulting members</w:t>
            </w:r>
            <w:r>
              <w:rPr>
                <w:rFonts w:ascii="Calibri" w:hAnsi="Calibri"/>
              </w:rPr>
              <w:t xml:space="preserve"> (powers of assessment)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Up to the amount of each member's required Clearing Fund contribution (effectively doubling the mutualized pool)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6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Recovery tools</w:t>
            </w:r>
            <w:r>
              <w:rPr>
                <w:rFonts w:ascii="Calibri" w:hAnsi="Calibri"/>
              </w:rPr>
              <w:t xml:space="preserve"> (VMGH, partial tear-up, etc.)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See Section 3.5</w:t>
            </w:r>
          </w:p>
        </w:tc>
      </w:tr>
    </w:tbl>
    <w:p/>
    <w:p>
      <w:r>
        <w:rPr>
          <w:rFonts w:ascii="Calibri" w:hAnsi="Calibri"/>
          <w:b/>
        </w:rPr>
        <w:t>Cover 2 Standard:</w:t>
      </w:r>
      <w:r>
        <w:rPr>
          <w:rFonts w:ascii="Calibri" w:hAnsi="Calibri"/>
        </w:rPr>
        <w:t xml:space="preserve"> OCC sizes its financial resources (margin + Clearing Fund) to cover the default of its </w:t>
      </w:r>
      <w:r>
        <w:rPr>
          <w:rFonts w:ascii="Calibri" w:hAnsi="Calibri"/>
          <w:b/>
        </w:rPr>
        <w:t>two largest clearing members and their affiliates</w:t>
      </w:r>
      <w:r>
        <w:rPr>
          <w:rFonts w:ascii="Calibri" w:hAnsi="Calibri"/>
        </w:rPr>
        <w:t xml:space="preserve"> under extreme but plausible market conditions. This is consistent with CPMI-IOSCO PFMI Principle 4 for systemically important CCPs.</w:t>
      </w:r>
    </w:p>
    <w:p>
      <w:r>
        <w:rPr>
          <w:rFonts w:ascii="Calibri" w:hAnsi="Calibri"/>
        </w:rPr>
        <w:t xml:space="preserve">*Sources: </w:t>
      </w:r>
      <w:r>
        <w:rPr>
          <w:rFonts w:ascii="Calibri" w:hAnsi="Calibri"/>
          <w:color w:val="0563C1"/>
          <w:u w:val="single"/>
        </w:rPr>
        <w:t>OCC — Default Rules &amp; Procedures</w:t>
      </w:r>
      <w:r>
        <w:rPr>
          <w:rFonts w:ascii="Calibri" w:hAnsi="Calibri"/>
        </w:rPr>
        <w:t xml:space="preserve">; </w:t>
      </w:r>
      <w:r>
        <w:rPr>
          <w:rFonts w:ascii="Calibri" w:hAnsi="Calibri"/>
          <w:color w:val="0563C1"/>
          <w:u w:val="single"/>
        </w:rPr>
        <w:t>SEC Filing on Default Waterfall Amendments (2024)</w:t>
      </w:r>
      <w:r>
        <w:rPr>
          <w:rFonts w:ascii="Calibri" w:hAnsi="Calibri"/>
        </w:rPr>
        <w:t xml:space="preserve">; </w:t>
      </w:r>
      <w:r>
        <w:rPr>
          <w:rFonts w:ascii="Calibri" w:hAnsi="Calibri"/>
          <w:color w:val="0563C1"/>
          <w:u w:val="single"/>
        </w:rPr>
        <w:t>Risk.net — OCC Cover 2</w:t>
      </w:r>
      <w:r>
        <w:rPr>
          <w:rFonts w:ascii="Calibri" w:hAnsi="Calibri"/>
        </w:rPr>
        <w:t>*</w:t>
      </w:r>
    </w:p>
    <w:p>
      <w:pPr>
        <w:pStyle w:val="Heading3"/>
      </w:pPr>
      <w:r>
        <w:rPr>
          <w:rFonts w:ascii="Calibri" w:hAnsi="Calibri"/>
        </w:rPr>
        <w:t>3.4 Stress Testing &amp; Back-Testing</w:t>
      </w:r>
    </w:p>
    <w:p>
      <w:r>
        <w:rPr>
          <w:rFonts w:ascii="Calibri" w:hAnsi="Calibri"/>
          <w:b/>
        </w:rPr>
        <w:t>Stress Testing:</w:t>
      </w:r>
    </w:p>
    <w:p>
      <w:pPr>
        <w:pStyle w:val="ListBullet"/>
      </w:pPr>
      <w:r>
        <w:rPr>
          <w:rFonts w:ascii="Calibri" w:hAnsi="Calibri"/>
        </w:rPr>
        <w:t xml:space="preserve">OCC performs </w:t>
      </w:r>
      <w:r>
        <w:rPr>
          <w:rFonts w:ascii="Calibri" w:hAnsi="Calibri"/>
          <w:b/>
        </w:rPr>
        <w:t>daily stress testing</w:t>
      </w:r>
      <w:r>
        <w:rPr>
          <w:rFonts w:ascii="Calibri" w:hAnsi="Calibri"/>
        </w:rPr>
        <w:t xml:space="preserve"> of its financial resources</w:t>
      </w:r>
    </w:p>
    <w:p>
      <w:pPr>
        <w:pStyle w:val="ListBullet"/>
      </w:pPr>
      <w:r>
        <w:rPr>
          <w:rFonts w:ascii="Calibri" w:hAnsi="Calibri"/>
        </w:rPr>
        <w:t>Two categories of scenarios:</w:t>
      </w:r>
    </w:p>
    <w:p>
      <w:pPr>
        <w:pStyle w:val="ListBullet"/>
      </w:pPr>
      <w:r>
        <w:rPr>
          <w:rFonts w:ascii="Calibri" w:hAnsi="Calibri"/>
          <w:b/>
        </w:rPr>
        <w:t>Sizing Scenarios:</w:t>
      </w:r>
      <w:r>
        <w:rPr>
          <w:rFonts w:ascii="Calibri" w:hAnsi="Calibri"/>
        </w:rPr>
        <w:t xml:space="preserve"> Assess whether collected resources are adequate and inform the size of OCC's financial resources</w:t>
      </w:r>
    </w:p>
    <w:p>
      <w:pPr>
        <w:pStyle w:val="ListBullet"/>
      </w:pPr>
      <w:r>
        <w:rPr>
          <w:rFonts w:ascii="Calibri" w:hAnsi="Calibri"/>
          <w:b/>
        </w:rPr>
        <w:t>Sufficiency Scenarios:</w:t>
      </w:r>
      <w:r>
        <w:rPr>
          <w:rFonts w:ascii="Calibri" w:hAnsi="Calibri"/>
        </w:rPr>
        <w:t xml:space="preserve"> Measure potential exposures to determine whether additional margin or Clearing Fund calls are needed</w:t>
      </w:r>
    </w:p>
    <w:p>
      <w:pPr>
        <w:pStyle w:val="ListBullet"/>
      </w:pPr>
      <w:r>
        <w:rPr>
          <w:rFonts w:ascii="Calibri" w:hAnsi="Calibri"/>
        </w:rPr>
        <w:t>Scenarios include historical (e.g., 2008 financial crisis rally/decline variations), hypothetical, and reverse stress tests</w:t>
      </w:r>
    </w:p>
    <w:p>
      <w:pPr>
        <w:pStyle w:val="ListBullet"/>
      </w:pPr>
      <w:r>
        <w:rPr>
          <w:rFonts w:ascii="Calibri" w:hAnsi="Calibri"/>
        </w:rPr>
        <w:t>In 2024, OCC recategorized certain 2008-based Informational Scenarios as Sufficiency Scenarios after finding they consistently generated higher exposures</w:t>
      </w:r>
    </w:p>
    <w:p>
      <w:pPr>
        <w:pStyle w:val="ListBullet"/>
      </w:pPr>
      <w:r>
        <w:rPr>
          <w:rFonts w:ascii="Calibri" w:hAnsi="Calibri"/>
        </w:rPr>
        <w:t>In January 2025, SEC approved enhancements to STANS and Comprehensive Stress Testing (CST) methodology to better capture risks from short-dated options</w:t>
      </w:r>
    </w:p>
    <w:p>
      <w:r>
        <w:rPr>
          <w:rFonts w:ascii="Calibri" w:hAnsi="Calibri"/>
          <w:b/>
        </w:rPr>
        <w:t>Back-Testing:</w:t>
      </w:r>
    </w:p>
    <w:p>
      <w:pPr>
        <w:pStyle w:val="ListBullet"/>
      </w:pPr>
      <w:r>
        <w:rPr>
          <w:rFonts w:ascii="Calibri" w:hAnsi="Calibri"/>
        </w:rPr>
        <w:t>OCC conducts daily back-testing of its margin model</w:t>
      </w:r>
    </w:p>
    <w:p>
      <w:pPr>
        <w:pStyle w:val="ListBullet"/>
      </w:pPr>
      <w:r>
        <w:rPr>
          <w:rFonts w:ascii="Calibri" w:hAnsi="Calibri"/>
        </w:rPr>
        <w:t>In September 2024, SEC approved OCC's updated backtesting framework and establishment of a Resource Backtesting Margin Charge</w:t>
      </w:r>
    </w:p>
    <w:p>
      <w:pPr>
        <w:pStyle w:val="ListBullet"/>
      </w:pPr>
      <w:r>
        <w:rPr>
          <w:rFonts w:ascii="Calibri" w:hAnsi="Calibri"/>
        </w:rPr>
        <w:t>Back-testing compares actual portfolio P&amp;L against margin requirements to validate model coverage</w:t>
      </w:r>
    </w:p>
    <w:p>
      <w:r>
        <w:rPr>
          <w:rFonts w:ascii="Calibri" w:hAnsi="Calibri"/>
        </w:rPr>
        <w:t xml:space="preserve">*Sources: </w:t>
      </w:r>
      <w:r>
        <w:rPr>
          <w:rFonts w:ascii="Calibri" w:hAnsi="Calibri"/>
          <w:color w:val="0563C1"/>
          <w:u w:val="single"/>
        </w:rPr>
        <w:t>SEC Approval of Stress Testing Amendments (July 2024)</w:t>
      </w:r>
      <w:r>
        <w:rPr>
          <w:rFonts w:ascii="Calibri" w:hAnsi="Calibri"/>
        </w:rPr>
        <w:t xml:space="preserve">; </w:t>
      </w:r>
      <w:r>
        <w:rPr>
          <w:rFonts w:ascii="Calibri" w:hAnsi="Calibri"/>
          <w:color w:val="0563C1"/>
          <w:u w:val="single"/>
        </w:rPr>
        <w:t>SEC Approval of STANS/CST Enhancements (January 2025)</w:t>
      </w:r>
      <w:r>
        <w:rPr>
          <w:rFonts w:ascii="Calibri" w:hAnsi="Calibri"/>
        </w:rPr>
        <w:t xml:space="preserve">; </w:t>
      </w:r>
      <w:r>
        <w:rPr>
          <w:rFonts w:ascii="Calibri" w:hAnsi="Calibri"/>
          <w:color w:val="0563C1"/>
          <w:u w:val="single"/>
        </w:rPr>
        <w:t>SEC Approval of Backtesting Framework (September 2024)</w:t>
      </w:r>
      <w:r>
        <w:rPr>
          <w:rFonts w:ascii="Calibri" w:hAnsi="Calibri"/>
        </w:rPr>
        <w:t>*</w:t>
      </w:r>
    </w:p>
    <w:p>
      <w:pPr>
        <w:pStyle w:val="Heading3"/>
      </w:pPr>
      <w:r>
        <w:rPr>
          <w:rFonts w:ascii="Calibri" w:hAnsi="Calibri"/>
        </w:rPr>
        <w:t>3.5 Recovery &amp; Resolution Tools</w:t>
      </w:r>
    </w:p>
    <w:p>
      <w:r>
        <w:rPr>
          <w:rFonts w:ascii="Calibri" w:hAnsi="Calibri"/>
        </w:rPr>
        <w:t xml:space="preserve">OCC maintains a </w:t>
      </w:r>
      <w:r>
        <w:rPr>
          <w:rFonts w:ascii="Calibri" w:hAnsi="Calibri"/>
          <w:b/>
        </w:rPr>
        <w:t>Recovery and Orderly Wind-Down (RWD) Plan</w:t>
      </w:r>
      <w:r>
        <w:rPr>
          <w:rFonts w:ascii="Calibri" w:hAnsi="Calibri"/>
        </w:rPr>
        <w:t xml:space="preserve"> that describes tools for managing losses and liquidity shortfalls beyond routine risk management: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Tool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Description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Assessments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OCC may assess non-defaulting clearing members up to their required Clearing Fund contribution amount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Variation Margin Gains Haircutting (VMGH)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OCC can allocate losses to clearing participants that experience mark-to-market gains on their positions; provides incentive for members to participate in default management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Voluntary Partial Tear-Up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Members may voluntarily extinguish contracts to help OCC return to a matched book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Mandatory Partial Tear-Up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OCC authority to extinguish remaining contracts of a defaulted clearing member at OCC's marking price; used after other default management tools have been exhausted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Orderly Wind-Down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Planned cessation of critical services with transfer of positions to alternative clearing arrangements</w:t>
            </w:r>
          </w:p>
        </w:tc>
      </w:tr>
    </w:tbl>
    <w:p/>
    <w:p>
      <w:r>
        <w:rPr>
          <w:rFonts w:ascii="Calibri" w:hAnsi="Calibri"/>
        </w:rPr>
        <w:t>The RWD Plan was most recently amended and approved by the SEC in August 2025.</w:t>
      </w:r>
    </w:p>
    <w:p>
      <w:r>
        <w:rPr>
          <w:rFonts w:ascii="Calibri" w:hAnsi="Calibri"/>
        </w:rPr>
        <w:t xml:space="preserve">*Sources: </w:t>
      </w:r>
      <w:r>
        <w:rPr>
          <w:rFonts w:ascii="Calibri" w:hAnsi="Calibri"/>
          <w:color w:val="0563C1"/>
          <w:u w:val="single"/>
        </w:rPr>
        <w:t>OCC Recovery and Orderly Wind-Down Plan</w:t>
      </w:r>
      <w:r>
        <w:rPr>
          <w:rFonts w:ascii="Calibri" w:hAnsi="Calibri"/>
        </w:rPr>
        <w:t xml:space="preserve">; </w:t>
      </w:r>
      <w:r>
        <w:rPr>
          <w:rFonts w:ascii="Calibri" w:hAnsi="Calibri"/>
          <w:color w:val="0563C1"/>
          <w:u w:val="single"/>
        </w:rPr>
        <w:t>SEC Approval of RWD Plan Modifications (August 2025)</w:t>
      </w:r>
      <w:r>
        <w:rPr>
          <w:rFonts w:ascii="Calibri" w:hAnsi="Calibri"/>
        </w:rPr>
        <w:t xml:space="preserve">; </w:t>
      </w:r>
      <w:r>
        <w:rPr>
          <w:rFonts w:ascii="Calibri" w:hAnsi="Calibri"/>
          <w:color w:val="0563C1"/>
          <w:u w:val="single"/>
        </w:rPr>
        <w:t>FSB OCC Questionnaire</w:t>
      </w:r>
      <w:r>
        <w:rPr>
          <w:rFonts w:ascii="Calibri" w:hAnsi="Calibri"/>
        </w:rPr>
        <w:t>*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Calibri" w:hAnsi="Calibri"/>
        </w:rPr>
        <w:t>4. Settlement</w:t>
      </w:r>
    </w:p>
    <w:p>
      <w:pPr>
        <w:pStyle w:val="Heading3"/>
      </w:pPr>
      <w:r>
        <w:rPr>
          <w:rFonts w:ascii="Calibri" w:hAnsi="Calibri"/>
        </w:rPr>
        <w:t>4.1 Settlement Cycle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Settlement Type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Cycle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Details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Premium Settlement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T+1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Payment of options premium is settled the next business day after trade date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Exercise/Assignment (Equity Options)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T+1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Following the transition on May 28, 2024; previously T+2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Exercise/Assignment (Index Options)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Cash settlement on T+1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Cash-settled index options pay/receive cash difference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Futures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Daily mark-to-market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Variation margin settled daily; final settlement at expiration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Stock Loan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Same-day or T+1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Depending on program and initiation time</w:t>
            </w:r>
          </w:p>
        </w:tc>
      </w:tr>
    </w:tbl>
    <w:p/>
    <w:p>
      <w:pPr>
        <w:pStyle w:val="Heading3"/>
      </w:pPr>
      <w:r>
        <w:rPr>
          <w:rFonts w:ascii="Calibri" w:hAnsi="Calibri"/>
        </w:rPr>
        <w:t>4.2 DVP and Settlement Finality</w:t>
      </w:r>
    </w:p>
    <w:p>
      <w:pPr>
        <w:pStyle w:val="ListBullet"/>
      </w:pPr>
      <w:r>
        <w:rPr>
          <w:rFonts w:ascii="Calibri" w:hAnsi="Calibri"/>
          <w:b/>
        </w:rPr>
        <w:t>Exercise/Assignment of Equity Options:</w:t>
      </w:r>
      <w:r>
        <w:rPr>
          <w:rFonts w:ascii="Calibri" w:hAnsi="Calibri"/>
        </w:rPr>
        <w:t xml:space="preserve"> When equity options are exercised/assigned, the resulting stock delivery obligation is processed through the </w:t>
      </w:r>
      <w:r>
        <w:rPr>
          <w:rFonts w:ascii="Calibri" w:hAnsi="Calibri"/>
          <w:b/>
        </w:rPr>
        <w:t>Accord</w:t>
      </w:r>
      <w:r>
        <w:rPr>
          <w:rFonts w:ascii="Calibri" w:hAnsi="Calibri"/>
        </w:rPr>
        <w:t xml:space="preserve"> — an agreement between OCC and NSCC (National Securities Clearing Corporation)</w:t>
      </w:r>
    </w:p>
    <w:p>
      <w:pPr>
        <w:pStyle w:val="ListBullet"/>
      </w:pPr>
      <w:r>
        <w:rPr>
          <w:rFonts w:ascii="Calibri" w:hAnsi="Calibri"/>
        </w:rPr>
        <w:t>Under the Accord, NSCC accepts "E&amp;A/Delivery Transactions" resulting from OCC exercise and assignment for clearing and settlement through NSCC's Continuous Net Settlement (CNS) system</w:t>
      </w:r>
    </w:p>
    <w:p>
      <w:pPr>
        <w:pStyle w:val="ListBullet"/>
      </w:pPr>
      <w:r>
        <w:rPr>
          <w:rFonts w:ascii="Calibri" w:hAnsi="Calibri"/>
        </w:rPr>
        <w:t xml:space="preserve">Settlement of underlying shares occurs at the </w:t>
      </w:r>
      <w:r>
        <w:rPr>
          <w:rFonts w:ascii="Calibri" w:hAnsi="Calibri"/>
          <w:b/>
        </w:rPr>
        <w:t>Depository Trust Company (DTC)</w:t>
      </w:r>
      <w:r>
        <w:rPr>
          <w:rFonts w:ascii="Calibri" w:hAnsi="Calibri"/>
        </w:rPr>
        <w:t xml:space="preserve"> on a DVP (Delivery versus Payment) basis</w:t>
      </w:r>
    </w:p>
    <w:p>
      <w:pPr>
        <w:pStyle w:val="ListBullet"/>
      </w:pPr>
      <w:r>
        <w:rPr>
          <w:rFonts w:ascii="Calibri" w:hAnsi="Calibri"/>
        </w:rPr>
        <w:t xml:space="preserve">Settlement is considered </w:t>
      </w:r>
      <w:r>
        <w:rPr>
          <w:rFonts w:ascii="Calibri" w:hAnsi="Calibri"/>
          <w:b/>
        </w:rPr>
        <w:t>final and irrevocable</w:t>
      </w:r>
      <w:r>
        <w:rPr>
          <w:rFonts w:ascii="Calibri" w:hAnsi="Calibri"/>
        </w:rPr>
        <w:t xml:space="preserve"> once completed through DTC's book-entry system</w:t>
      </w:r>
    </w:p>
    <w:p>
      <w:pPr>
        <w:pStyle w:val="Heading3"/>
      </w:pPr>
      <w:r>
        <w:rPr>
          <w:rFonts w:ascii="Calibri" w:hAnsi="Calibri"/>
        </w:rPr>
        <w:t>4.3 Premium Settlement Process</w:t>
      </w:r>
    </w:p>
    <w:p>
      <w:pPr>
        <w:pStyle w:val="ListBullet"/>
      </w:pPr>
      <w:r>
        <w:rPr>
          <w:rFonts w:ascii="Calibri" w:hAnsi="Calibri"/>
        </w:rPr>
        <w:t>At end of each trading day, OCC calculates net premium obligations for each clearing member</w:t>
      </w:r>
    </w:p>
    <w:p>
      <w:pPr>
        <w:pStyle w:val="ListBullet"/>
      </w:pPr>
      <w:r>
        <w:rPr>
          <w:rFonts w:ascii="Calibri" w:hAnsi="Calibri"/>
        </w:rPr>
        <w:t>Net premiums receivable and payable are aggregated across all cleared trades</w:t>
      </w:r>
    </w:p>
    <w:p>
      <w:pPr>
        <w:pStyle w:val="ListBullet"/>
      </w:pPr>
      <w:r>
        <w:rPr>
          <w:rFonts w:ascii="Calibri" w:hAnsi="Calibri"/>
        </w:rPr>
        <w:t>Settlement occurs on T+1 through Fedwire or commercial bank payment systems</w:t>
      </w:r>
    </w:p>
    <w:p>
      <w:pPr>
        <w:pStyle w:val="ListBullet"/>
      </w:pPr>
      <w:r>
        <w:rPr>
          <w:rFonts w:ascii="Calibri" w:hAnsi="Calibri"/>
        </w:rPr>
        <w:t>OCC may call for intraday premium settlement during periods of high volatility</w:t>
      </w:r>
    </w:p>
    <w:p>
      <w:pPr>
        <w:pStyle w:val="Heading3"/>
      </w:pPr>
      <w:r>
        <w:rPr>
          <w:rFonts w:ascii="Calibri" w:hAnsi="Calibri"/>
        </w:rPr>
        <w:t>4.4 Exercise and Assignment Process</w:t>
      </w:r>
    </w:p>
    <w:p>
      <w:pPr>
        <w:pStyle w:val="ListBullet"/>
      </w:pPr>
      <w:r>
        <w:rPr>
          <w:rFonts w:ascii="Calibri" w:hAnsi="Calibri"/>
          <w:b/>
        </w:rPr>
        <w:t>Exercise Notice:</w:t>
      </w:r>
      <w:r>
        <w:rPr>
          <w:rFonts w:ascii="Calibri" w:hAnsi="Calibri"/>
        </w:rPr>
        <w:t xml:space="preserve"> Option holder's clearing member submits exercise notice to OCC (either by instruction or automatic exercise for in-the-money options)</w:t>
      </w:r>
    </w:p>
    <w:p>
      <w:pPr>
        <w:pStyle w:val="ListBullet"/>
      </w:pPr>
      <w:r>
        <w:rPr>
          <w:rFonts w:ascii="Calibri" w:hAnsi="Calibri"/>
          <w:b/>
        </w:rPr>
        <w:t>Assignment:</w:t>
      </w:r>
      <w:r>
        <w:rPr>
          <w:rFonts w:ascii="Calibri" w:hAnsi="Calibri"/>
        </w:rPr>
        <w:t xml:space="preserve"> OCC uses a </w:t>
      </w:r>
      <w:r>
        <w:rPr>
          <w:rFonts w:ascii="Calibri" w:hAnsi="Calibri"/>
          <w:b/>
        </w:rPr>
        <w:t>random assignment algorithm</w:t>
      </w:r>
      <w:r>
        <w:rPr>
          <w:rFonts w:ascii="Calibri" w:hAnsi="Calibri"/>
        </w:rPr>
        <w:t xml:space="preserve"> to distribute exercise notices fairly among clearing members with short positions in the assigned series</w:t>
      </w:r>
    </w:p>
    <w:p>
      <w:pPr>
        <w:pStyle w:val="ListBullet"/>
      </w:pPr>
      <w:r>
        <w:rPr>
          <w:rFonts w:ascii="Calibri" w:hAnsi="Calibri"/>
          <w:b/>
        </w:rPr>
        <w:t>Delivery/Cash Settlement:</w:t>
      </w:r>
      <w:r>
        <w:rPr>
          <w:rFonts w:ascii="Calibri" w:hAnsi="Calibri"/>
        </w:rPr>
        <w:t xml:space="preserve"> For equity options, the resulting buy/sell obligations flow to NSCC via the Accord for settlement at DTC. For index options, cash settlement amounts are calculated and settled directly through OCC</w:t>
      </w:r>
    </w:p>
    <w:p>
      <w:pPr>
        <w:pStyle w:val="ListBullet"/>
      </w:pPr>
      <w:r>
        <w:rPr>
          <w:rFonts w:ascii="Calibri" w:hAnsi="Calibri"/>
          <w:b/>
        </w:rPr>
        <w:t>Automatic Exercise:</w:t>
      </w:r>
      <w:r>
        <w:rPr>
          <w:rFonts w:ascii="Calibri" w:hAnsi="Calibri"/>
        </w:rPr>
        <w:t xml:space="preserve"> Options expiring in-the-money by $0.01 or more are automatically exercised unless contrary instructions are received</w:t>
      </w:r>
    </w:p>
    <w:p>
      <w:r>
        <w:rPr>
          <w:rFonts w:ascii="Calibri" w:hAnsi="Calibri"/>
        </w:rPr>
        <w:t xml:space="preserve">*Sources: </w:t>
      </w:r>
      <w:r>
        <w:rPr>
          <w:rFonts w:ascii="Calibri" w:hAnsi="Calibri"/>
          <w:color w:val="0563C1"/>
          <w:u w:val="single"/>
        </w:rPr>
        <w:t>OCC Equity Options Product Specifications</w:t>
      </w:r>
      <w:r>
        <w:rPr>
          <w:rFonts w:ascii="Calibri" w:hAnsi="Calibri"/>
        </w:rPr>
        <w:t xml:space="preserve">; </w:t>
      </w:r>
      <w:r>
        <w:rPr>
          <w:rFonts w:ascii="Calibri" w:hAnsi="Calibri"/>
          <w:color w:val="0563C1"/>
          <w:u w:val="single"/>
        </w:rPr>
        <w:t>OCC T+1 Info Memo #54580</w:t>
      </w:r>
      <w:r>
        <w:rPr>
          <w:rFonts w:ascii="Calibri" w:hAnsi="Calibri"/>
        </w:rPr>
        <w:t xml:space="preserve">; </w:t>
      </w:r>
      <w:r>
        <w:rPr>
          <w:rFonts w:ascii="Calibri" w:hAnsi="Calibri"/>
          <w:color w:val="0563C1"/>
          <w:u w:val="single"/>
        </w:rPr>
        <w:t>SEC — OCC/NSCC Accord Modifications (2024)</w:t>
      </w:r>
      <w:r>
        <w:rPr>
          <w:rFonts w:ascii="Calibri" w:hAnsi="Calibri"/>
        </w:rPr>
        <w:t>*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Calibri" w:hAnsi="Calibri"/>
        </w:rPr>
        <w:t>5. Technology &amp; Infrastructure</w:t>
      </w:r>
    </w:p>
    <w:p>
      <w:pPr>
        <w:pStyle w:val="Heading3"/>
      </w:pPr>
      <w:r>
        <w:rPr>
          <w:rFonts w:ascii="Calibri" w:hAnsi="Calibri"/>
        </w:rPr>
        <w:t>5.1 Core Systems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System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Function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Status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ENCORE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Core clearing, risk management, and data management platform; real-time processing engine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Legacy — operational since 2000; scheduled for replacement by Ovation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Ovation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Next-generation cloud-based clearing, settlement, risk management, and data platform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In testing; external beta testing began July 2024; launch targeted for mid-2025 [unverified if completed]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STANS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Margin calculation engine (Monte Carlo-based)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Active — continuously enhanced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CLEARS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Clearing member reporting and inquiry system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Active [unverified current status]</w:t>
            </w:r>
          </w:p>
        </w:tc>
      </w:tr>
    </w:tbl>
    <w:p/>
    <w:p>
      <w:pPr>
        <w:pStyle w:val="Heading3"/>
      </w:pPr>
      <w:r>
        <w:rPr>
          <w:rFonts w:ascii="Calibri" w:hAnsi="Calibri"/>
        </w:rPr>
        <w:t>5.2 ENCORE Architecture</w:t>
      </w:r>
    </w:p>
    <w:p>
      <w:pPr>
        <w:pStyle w:val="ListBullet"/>
      </w:pPr>
      <w:r>
        <w:rPr>
          <w:rFonts w:ascii="Calibri" w:hAnsi="Calibri"/>
          <w:b/>
        </w:rPr>
        <w:t>Monolithic architecture</w:t>
      </w:r>
      <w:r>
        <w:rPr>
          <w:rFonts w:ascii="Calibri" w:hAnsi="Calibri"/>
        </w:rPr>
        <w:t xml:space="preserve"> — tightly coupled components making change difficult</w:t>
      </w:r>
    </w:p>
    <w:p>
      <w:pPr>
        <w:pStyle w:val="ListBullet"/>
      </w:pPr>
      <w:r>
        <w:rPr>
          <w:rFonts w:ascii="Calibri" w:hAnsi="Calibri"/>
        </w:rPr>
        <w:t>Runs in traditional on-premises data centers</w:t>
      </w:r>
    </w:p>
    <w:p>
      <w:pPr>
        <w:pStyle w:val="ListBullet"/>
      </w:pPr>
      <w:r>
        <w:rPr>
          <w:rFonts w:ascii="Calibri" w:hAnsi="Calibri"/>
        </w:rPr>
        <w:t>Receives trade and post-trade data from exchanges on a transaction-by-transaction basis in real time</w:t>
      </w:r>
    </w:p>
    <w:p>
      <w:pPr>
        <w:pStyle w:val="ListBullet"/>
      </w:pPr>
      <w:r>
        <w:rPr>
          <w:rFonts w:ascii="Calibri" w:hAnsi="Calibri"/>
        </w:rPr>
        <w:t>Maintains clearing member positions, calculates margin and Clearing Fund requirements</w:t>
      </w:r>
    </w:p>
    <w:p>
      <w:pPr>
        <w:pStyle w:val="ListBullet"/>
      </w:pPr>
      <w:r>
        <w:rPr>
          <w:rFonts w:ascii="Calibri" w:hAnsi="Calibri"/>
        </w:rPr>
        <w:t>Provides reporting to OCC staff, regulators, and clearing members</w:t>
      </w:r>
    </w:p>
    <w:p>
      <w:pPr>
        <w:pStyle w:val="Heading3"/>
      </w:pPr>
      <w:r>
        <w:rPr>
          <w:rFonts w:ascii="Calibri" w:hAnsi="Calibri"/>
        </w:rPr>
        <w:t>5.3 Ovation Architecture (Renaissance Initiative)</w:t>
      </w:r>
    </w:p>
    <w:p>
      <w:r>
        <w:rPr>
          <w:rFonts w:ascii="Calibri" w:hAnsi="Calibri"/>
        </w:rPr>
        <w:t xml:space="preserve">OCC's </w:t>
      </w:r>
      <w:r>
        <w:rPr>
          <w:rFonts w:ascii="Calibri" w:hAnsi="Calibri"/>
          <w:b/>
        </w:rPr>
        <w:t>Renaissance Initiative</w:t>
      </w:r>
      <w:r>
        <w:rPr>
          <w:rFonts w:ascii="Calibri" w:hAnsi="Calibri"/>
        </w:rPr>
        <w:t xml:space="preserve"> is a multi-year technology modernization program to replace ENCORE with the Ovation platform: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Feature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Cloud Provider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Amazon Web Services (AWS)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Architecture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Modular, cloud-native; three pillars — Clearing &amp; Settlement, Data, Risk Management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Real-Time Processing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Stream processing using Apache Kafka and Apache Flink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Data Processing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Prices for over 2 million financial instruments per second; billions of open option positions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Disaster Recovery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Isolated Kafka + Flink infrastructure in both AWS and on-premises data center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Key Benefits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Enhanced resiliency, security, scalability; real-time risk measurement using current prices (vs. prior-day close)</w:t>
            </w:r>
          </w:p>
        </w:tc>
      </w:tr>
    </w:tbl>
    <w:p/>
    <w:p>
      <w:r>
        <w:rPr>
          <w:rFonts w:ascii="Calibri" w:hAnsi="Calibri"/>
          <w:b/>
        </w:rPr>
        <w:t>Renaissance Timeline:</w:t>
      </w:r>
    </w:p>
    <w:p>
      <w:pPr>
        <w:pStyle w:val="ListBullet"/>
      </w:pPr>
      <w:r>
        <w:rPr>
          <w:rFonts w:ascii="Calibri" w:hAnsi="Calibri"/>
          <w:b/>
        </w:rPr>
        <w:t>October 2022:</w:t>
      </w:r>
      <w:r>
        <w:rPr>
          <w:rFonts w:ascii="Calibri" w:hAnsi="Calibri"/>
        </w:rPr>
        <w:t xml:space="preserve"> SEC no-objection notice for cloud infrastructure proposal</w:t>
      </w:r>
    </w:p>
    <w:p>
      <w:pPr>
        <w:pStyle w:val="ListBullet"/>
      </w:pPr>
      <w:r>
        <w:rPr>
          <w:rFonts w:ascii="Calibri" w:hAnsi="Calibri"/>
          <w:b/>
        </w:rPr>
        <w:t>2023:</w:t>
      </w:r>
      <w:r>
        <w:rPr>
          <w:rFonts w:ascii="Calibri" w:hAnsi="Calibri"/>
        </w:rPr>
        <w:t xml:space="preserve"> Ovation development and internal testing</w:t>
      </w:r>
    </w:p>
    <w:p>
      <w:pPr>
        <w:pStyle w:val="ListBullet"/>
      </w:pPr>
      <w:r>
        <w:rPr>
          <w:rFonts w:ascii="Calibri" w:hAnsi="Calibri"/>
          <w:b/>
        </w:rPr>
        <w:t>July 2024:</w:t>
      </w:r>
      <w:r>
        <w:rPr>
          <w:rFonts w:ascii="Calibri" w:hAnsi="Calibri"/>
        </w:rPr>
        <w:t xml:space="preserve"> External beta testing commenced (Beta 1)</w:t>
      </w:r>
    </w:p>
    <w:p>
      <w:pPr>
        <w:pStyle w:val="ListBullet"/>
      </w:pPr>
      <w:r>
        <w:rPr>
          <w:rFonts w:ascii="Calibri" w:hAnsi="Calibri"/>
          <w:b/>
        </w:rPr>
        <w:t>October 2024:</w:t>
      </w:r>
      <w:r>
        <w:rPr>
          <w:rFonts w:ascii="Calibri" w:hAnsi="Calibri"/>
        </w:rPr>
        <w:t xml:space="preserve"> Beta 2 launched with expanded functionality</w:t>
      </w:r>
    </w:p>
    <w:p>
      <w:pPr>
        <w:pStyle w:val="ListBullet"/>
      </w:pPr>
      <w:r>
        <w:rPr>
          <w:rFonts w:ascii="Calibri" w:hAnsi="Calibri"/>
          <w:b/>
        </w:rPr>
        <w:t>January 2025:</w:t>
      </w:r>
      <w:r>
        <w:rPr>
          <w:rFonts w:ascii="Calibri" w:hAnsi="Calibri"/>
        </w:rPr>
        <w:t xml:space="preserve"> Beta 3 — collateral management testing</w:t>
      </w:r>
    </w:p>
    <w:p>
      <w:pPr>
        <w:pStyle w:val="ListBullet"/>
      </w:pPr>
      <w:r>
        <w:rPr>
          <w:rFonts w:ascii="Calibri" w:hAnsi="Calibri"/>
          <w:b/>
        </w:rPr>
        <w:t>Mid-2025:</w:t>
      </w:r>
      <w:r>
        <w:rPr>
          <w:rFonts w:ascii="Calibri" w:hAnsi="Calibri"/>
        </w:rPr>
        <w:t xml:space="preserve"> Planned Ovation launch (ENCORE-to-Ovation conversion in single processing cycle)</w:t>
      </w:r>
    </w:p>
    <w:p>
      <w:pPr>
        <w:pStyle w:val="Heading3"/>
      </w:pPr>
      <w:r>
        <w:rPr>
          <w:rFonts w:ascii="Calibri" w:hAnsi="Calibri"/>
        </w:rPr>
        <w:t>5.4 Processing Capacity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Metric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Value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Daily Peak Volume (record)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110 million contracts (October 10, 2025)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Data Ingestion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&gt;2 million instrument prices per second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Open Positions Tracked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Billions of open option positions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Participant Exchanges Supported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~21 exchanges and trading platforms</w:t>
            </w:r>
          </w:p>
        </w:tc>
      </w:tr>
    </w:tbl>
    <w:p/>
    <w:p>
      <w:pPr>
        <w:pStyle w:val="Heading3"/>
      </w:pPr>
      <w:r>
        <w:rPr>
          <w:rFonts w:ascii="Calibri" w:hAnsi="Calibri"/>
        </w:rPr>
        <w:t>5.5 Interface Protocols</w:t>
      </w:r>
    </w:p>
    <w:p>
      <w:pPr>
        <w:pStyle w:val="ListBullet"/>
      </w:pPr>
      <w:r>
        <w:rPr>
          <w:rFonts w:ascii="Calibri" w:hAnsi="Calibri"/>
          <w:b/>
        </w:rPr>
        <w:t>FIX/FIXML:</w:t>
      </w:r>
      <w:r>
        <w:rPr>
          <w:rFonts w:ascii="Calibri" w:hAnsi="Calibri"/>
        </w:rPr>
        <w:t xml:space="preserve"> Industry-standard messaging for trade submission and reporting</w:t>
      </w:r>
    </w:p>
    <w:p>
      <w:pPr>
        <w:pStyle w:val="ListBullet"/>
      </w:pPr>
      <w:r>
        <w:rPr>
          <w:rFonts w:ascii="Calibri" w:hAnsi="Calibri"/>
          <w:b/>
        </w:rPr>
        <w:t>Proprietary APIs:</w:t>
      </w:r>
      <w:r>
        <w:rPr>
          <w:rFonts w:ascii="Calibri" w:hAnsi="Calibri"/>
        </w:rPr>
        <w:t xml:space="preserve"> OCC-specific interfaces for clearing member connectivity</w:t>
      </w:r>
    </w:p>
    <w:p>
      <w:pPr>
        <w:pStyle w:val="ListBullet"/>
      </w:pPr>
      <w:r>
        <w:rPr>
          <w:rFonts w:ascii="Calibri" w:hAnsi="Calibri"/>
          <w:b/>
        </w:rPr>
        <w:t>Market Data Feeds:</w:t>
      </w:r>
      <w:r>
        <w:rPr>
          <w:rFonts w:ascii="Calibri" w:hAnsi="Calibri"/>
        </w:rPr>
        <w:t xml:space="preserve"> Real-time position and margin data delivery</w:t>
      </w:r>
    </w:p>
    <w:p>
      <w:r>
        <w:rPr>
          <w:rFonts w:ascii="Calibri" w:hAnsi="Calibri"/>
        </w:rPr>
        <w:t xml:space="preserve">*Sources: </w:t>
      </w:r>
      <w:r>
        <w:rPr>
          <w:rFonts w:ascii="Calibri" w:hAnsi="Calibri"/>
          <w:color w:val="0563C1"/>
          <w:u w:val="single"/>
        </w:rPr>
        <w:t>OCC Transformation</w:t>
      </w:r>
      <w:r>
        <w:rPr>
          <w:rFonts w:ascii="Calibri" w:hAnsi="Calibri"/>
        </w:rPr>
        <w:t xml:space="preserve">; </w:t>
      </w:r>
      <w:r>
        <w:rPr>
          <w:rFonts w:ascii="Calibri" w:hAnsi="Calibri"/>
          <w:color w:val="0563C1"/>
          <w:u w:val="single"/>
        </w:rPr>
        <w:t>OCC — Clearing, Risk and Data Changes</w:t>
      </w:r>
      <w:r>
        <w:rPr>
          <w:rFonts w:ascii="Calibri" w:hAnsi="Calibri"/>
        </w:rPr>
        <w:t xml:space="preserve">; </w:t>
      </w:r>
      <w:r>
        <w:rPr>
          <w:rFonts w:ascii="Calibri" w:hAnsi="Calibri"/>
          <w:color w:val="0563C1"/>
          <w:u w:val="single"/>
        </w:rPr>
        <w:t>Confluent Current 2024 — OCC Stream Processing</w:t>
      </w:r>
      <w:r>
        <w:rPr>
          <w:rFonts w:ascii="Calibri" w:hAnsi="Calibri"/>
        </w:rPr>
        <w:t xml:space="preserve">; </w:t>
      </w:r>
      <w:r>
        <w:rPr>
          <w:rFonts w:ascii="Calibri" w:hAnsi="Calibri"/>
          <w:color w:val="0563C1"/>
          <w:u w:val="single"/>
        </w:rPr>
        <w:t>Built In Chicago — OCC Tech Infrastructure</w:t>
      </w:r>
      <w:r>
        <w:rPr>
          <w:rFonts w:ascii="Calibri" w:hAnsi="Calibri"/>
        </w:rPr>
        <w:t xml:space="preserve">; </w:t>
      </w:r>
      <w:r>
        <w:rPr>
          <w:rFonts w:ascii="Calibri" w:hAnsi="Calibri"/>
          <w:color w:val="0563C1"/>
          <w:u w:val="single"/>
        </w:rPr>
        <w:t>Traders Magazine — OCC Ovation Testing</w:t>
      </w:r>
      <w:r>
        <w:rPr>
          <w:rFonts w:ascii="Calibri" w:hAnsi="Calibri"/>
        </w:rPr>
        <w:t xml:space="preserve">; </w:t>
      </w:r>
      <w:r>
        <w:rPr>
          <w:rFonts w:ascii="Calibri" w:hAnsi="Calibri"/>
          <w:color w:val="0563C1"/>
          <w:u w:val="single"/>
        </w:rPr>
        <w:t>IBM — OCC Case Study</w:t>
      </w:r>
      <w:r>
        <w:rPr>
          <w:rFonts w:ascii="Calibri" w:hAnsi="Calibri"/>
        </w:rPr>
        <w:t>*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Calibri" w:hAnsi="Calibri"/>
        </w:rPr>
        <w:t>6. Regulatory Framework</w:t>
      </w:r>
    </w:p>
    <w:p>
      <w:pPr>
        <w:pStyle w:val="Heading3"/>
      </w:pPr>
      <w:r>
        <w:rPr>
          <w:rFonts w:ascii="Calibri" w:hAnsi="Calibri"/>
        </w:rPr>
        <w:t>6.1 Regulatory Structure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Regulator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Jurisdiction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Scope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SEC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Primary regulator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Registered clearing agency under Section 17A of the Securities Exchange Act of 1934; clears put/call options on equity issues, stock indexes, foreign currencies, interest rate composites, and single-stock futures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CFTC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Secondary regulator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Registered Derivatives Clearing Organization (DCO); clears futures and options on futures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Federal Reserve Board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SIFMU oversight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Prudential oversight under Dodd-Frank Title VIII; access to Federal Reserve discount window and payment system services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FSOC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Designation authority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Designated OCC as SIFMU in July 2012</w:t>
            </w:r>
          </w:p>
        </w:tc>
      </w:tr>
    </w:tbl>
    <w:p/>
    <w:p>
      <w:pPr>
        <w:pStyle w:val="Heading3"/>
      </w:pPr>
      <w:r>
        <w:rPr>
          <w:rFonts w:ascii="Calibri" w:hAnsi="Calibri"/>
        </w:rPr>
        <w:t>6.2 Key Regulatory Requirements</w:t>
      </w:r>
    </w:p>
    <w:p>
      <w:pPr>
        <w:pStyle w:val="ListBullet"/>
      </w:pPr>
      <w:r>
        <w:rPr>
          <w:rFonts w:ascii="Calibri" w:hAnsi="Calibri"/>
          <w:b/>
        </w:rPr>
        <w:t>SEC Rule 17Ad-22(e):</w:t>
      </w:r>
      <w:r>
        <w:rPr>
          <w:rFonts w:ascii="Calibri" w:hAnsi="Calibri"/>
        </w:rPr>
        <w:t xml:space="preserve"> Enhanced standards for covered clearing agencies (effective April 2017); establishes requirements for risk management, financial resources, governance, operations, and recovery planning</w:t>
      </w:r>
    </w:p>
    <w:p>
      <w:pPr>
        <w:pStyle w:val="ListBullet"/>
      </w:pPr>
      <w:r>
        <w:rPr>
          <w:rFonts w:ascii="Calibri" w:hAnsi="Calibri"/>
          <w:b/>
        </w:rPr>
        <w:t>CFTC Core Principles:</w:t>
      </w:r>
      <w:r>
        <w:rPr>
          <w:rFonts w:ascii="Calibri" w:hAnsi="Calibri"/>
        </w:rPr>
        <w:t xml:space="preserve"> Requirements for DCOs under the Commodity Exchange Act</w:t>
      </w:r>
    </w:p>
    <w:p>
      <w:pPr>
        <w:pStyle w:val="ListBullet"/>
      </w:pPr>
      <w:r>
        <w:rPr>
          <w:rFonts w:ascii="Calibri" w:hAnsi="Calibri"/>
          <w:b/>
        </w:rPr>
        <w:t>PFMI Compliance:</w:t>
      </w:r>
      <w:r>
        <w:rPr>
          <w:rFonts w:ascii="Calibri" w:hAnsi="Calibri"/>
        </w:rPr>
        <w:t xml:space="preserve"> OCC publishes PFMI Disclosure Framework and quarterly PQD data in accordance with CPMI-IOSCO guidance</w:t>
      </w:r>
    </w:p>
    <w:p>
      <w:pPr>
        <w:pStyle w:val="ListBullet"/>
      </w:pPr>
      <w:r>
        <w:rPr>
          <w:rFonts w:ascii="Calibri" w:hAnsi="Calibri"/>
          <w:b/>
        </w:rPr>
        <w:t>Annual Financial Audit:</w:t>
      </w:r>
      <w:r>
        <w:rPr>
          <w:rFonts w:ascii="Calibri" w:hAnsi="Calibri"/>
        </w:rPr>
        <w:t xml:space="preserve"> OCC's financial statements are audited annually</w:t>
      </w:r>
    </w:p>
    <w:p>
      <w:pPr>
        <w:pStyle w:val="ListBullet"/>
      </w:pPr>
      <w:r>
        <w:rPr>
          <w:rFonts w:ascii="Calibri" w:hAnsi="Calibri"/>
          <w:b/>
        </w:rPr>
        <w:t>Regulatory Reporting:</w:t>
      </w:r>
      <w:r>
        <w:rPr>
          <w:rFonts w:ascii="Calibri" w:hAnsi="Calibri"/>
        </w:rPr>
        <w:t xml:space="preserve"> Regular reporting to SEC, CFTC, and Federal Reserve on risk metrics, financial resources, and operational performance</w:t>
      </w:r>
    </w:p>
    <w:p>
      <w:pPr>
        <w:pStyle w:val="Heading3"/>
      </w:pPr>
      <w:r>
        <w:rPr>
          <w:rFonts w:ascii="Calibri" w:hAnsi="Calibri"/>
        </w:rPr>
        <w:t>6.3 Notable Regulatory Actions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Year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Action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Details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2019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SEC &amp; CFTC charges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Failure to establish and maintain adequate risk management policies; SEC fined OCC in connection with risk management deficiencies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2019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SEC Capital Plan disapproval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SEC disapproved OCC's proposed Capital Plan; cited insufficient information, governance concerns, competitive impact on non-shareholder exchanges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2023 (Feb)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SEC settlement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$17 million penalty for Clearing Fund underfunding (Oct 2019–May 2021); Clearing Fund was underfunded by $200M–$588M at various times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2023 (Feb)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CFTC settlement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$5 million penalty for operational risk management violations related to automated systems</w:t>
            </w:r>
          </w:p>
        </w:tc>
      </w:tr>
    </w:tbl>
    <w:p/>
    <w:p>
      <w:r>
        <w:rPr>
          <w:rFonts w:ascii="Calibri" w:hAnsi="Calibri"/>
        </w:rPr>
        <w:t xml:space="preserve">*Sources: </w:t>
      </w:r>
      <w:r>
        <w:rPr>
          <w:rFonts w:ascii="Calibri" w:hAnsi="Calibri"/>
          <w:color w:val="0563C1"/>
          <w:u w:val="single"/>
        </w:rPr>
        <w:t>SEC Press Release — OCC Charges (2023)</w:t>
      </w:r>
      <w:r>
        <w:rPr>
          <w:rFonts w:ascii="Calibri" w:hAnsi="Calibri"/>
        </w:rPr>
        <w:t xml:space="preserve">; </w:t>
      </w:r>
      <w:r>
        <w:rPr>
          <w:rFonts w:ascii="Calibri" w:hAnsi="Calibri"/>
          <w:color w:val="0563C1"/>
          <w:u w:val="single"/>
        </w:rPr>
        <w:t>SEC/CFTC Press Release (2019)</w:t>
      </w:r>
      <w:r>
        <w:rPr>
          <w:rFonts w:ascii="Calibri" w:hAnsi="Calibri"/>
        </w:rPr>
        <w:t xml:space="preserve">; </w:t>
      </w:r>
      <w:r>
        <w:rPr>
          <w:rFonts w:ascii="Calibri" w:hAnsi="Calibri"/>
          <w:color w:val="0563C1"/>
          <w:u w:val="single"/>
        </w:rPr>
        <w:t>CFTC Press Release (2023)</w:t>
      </w:r>
      <w:r>
        <w:rPr>
          <w:rFonts w:ascii="Calibri" w:hAnsi="Calibri"/>
        </w:rPr>
        <w:t xml:space="preserve">; </w:t>
      </w:r>
      <w:r>
        <w:rPr>
          <w:rFonts w:ascii="Calibri" w:hAnsi="Calibri"/>
          <w:color w:val="0563C1"/>
          <w:u w:val="single"/>
        </w:rPr>
        <w:t>SEC Capital Plan Disapproval (2019)</w:t>
      </w:r>
      <w:r>
        <w:rPr>
          <w:rFonts w:ascii="Calibri" w:hAnsi="Calibri"/>
        </w:rPr>
        <w:t>*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Calibri" w:hAnsi="Calibri"/>
        </w:rPr>
        <w:t>7. Interoperability</w:t>
      </w:r>
    </w:p>
    <w:p>
      <w:pPr>
        <w:pStyle w:val="Heading3"/>
      </w:pPr>
      <w:r>
        <w:rPr>
          <w:rFonts w:ascii="Calibri" w:hAnsi="Calibri"/>
        </w:rPr>
        <w:t>7.1 Cross-Margining Programs</w:t>
      </w:r>
    </w:p>
    <w:p>
      <w:r>
        <w:rPr>
          <w:rFonts w:ascii="Calibri" w:hAnsi="Calibri"/>
        </w:rPr>
        <w:t>OCC maintains cross-margining agreements that allow hedged positions cleared at separate clearinghouses to be combined into a single portfolio for margin purposes: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Program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Counterpart CCP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Description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OCC-CME Cross-Margin Program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CME Clearing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Allows qualifying clearing members to offset equity option positions (OCC) against related equity index futures positions (CME); established after 1987 Black Monday crash; second amended and restated agreement approved in 2020</w:t>
            </w:r>
          </w:p>
        </w:tc>
      </w:tr>
    </w:tbl>
    <w:p/>
    <w:p>
      <w:r>
        <w:rPr>
          <w:rFonts w:ascii="Calibri" w:hAnsi="Calibri"/>
        </w:rPr>
        <w:t>Cross-margining uses OCC's STANS methodology to calculate the combined portfolio risk, typically resulting in lower margin requirements than if margins were calculated separately at each CCP.</w:t>
      </w:r>
    </w:p>
    <w:p>
      <w:pPr>
        <w:pStyle w:val="Heading3"/>
      </w:pPr>
      <w:r>
        <w:rPr>
          <w:rFonts w:ascii="Calibri" w:hAnsi="Calibri"/>
        </w:rPr>
        <w:t>7.2 Cross-Guaranty and Linkages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Arrangement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OCC-NSCC Accord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Governs the processing of physically settled equity options; NSCC accepts exercise/assignment delivery transactions for settlement through its CNS system at DTC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Exchange Linkages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OCC maintains Participant Exchange Agreements with all 16+ options exchanges; the Amended and Restated Participant Exchange Agreement was approved by the SEC in July 2025</w:t>
            </w:r>
          </w:p>
        </w:tc>
      </w:tr>
    </w:tbl>
    <w:p/>
    <w:p>
      <w:pPr>
        <w:pStyle w:val="Heading3"/>
      </w:pPr>
      <w:r>
        <w:rPr>
          <w:rFonts w:ascii="Calibri" w:hAnsi="Calibri"/>
        </w:rPr>
        <w:t>7.3 Ongoing Coordination</w:t>
      </w:r>
    </w:p>
    <w:p>
      <w:r>
        <w:rPr>
          <w:rFonts w:ascii="Calibri" w:hAnsi="Calibri"/>
        </w:rPr>
        <w:t>OCC is evaluating adjustments to existing cross-CCP agreements and exploring potential new arrangements to support aligned margin cycles and risk management, particularly in light of:</w:t>
      </w:r>
    </w:p>
    <w:p>
      <w:pPr>
        <w:pStyle w:val="ListBullet"/>
      </w:pPr>
      <w:r>
        <w:rPr>
          <w:rFonts w:ascii="Calibri" w:hAnsi="Calibri"/>
        </w:rPr>
        <w:t>Extended trading hours initiatives</w:t>
      </w:r>
    </w:p>
    <w:p>
      <w:pPr>
        <w:pStyle w:val="ListBullet"/>
      </w:pPr>
      <w:r>
        <w:rPr>
          <w:rFonts w:ascii="Calibri" w:hAnsi="Calibri"/>
        </w:rPr>
        <w:t>T+1 settlement transition</w:t>
      </w:r>
    </w:p>
    <w:p>
      <w:pPr>
        <w:pStyle w:val="ListBullet"/>
      </w:pPr>
      <w:r>
        <w:rPr>
          <w:rFonts w:ascii="Calibri" w:hAnsi="Calibri"/>
        </w:rPr>
        <w:t>Growing intraday risk from 0DTE options</w:t>
      </w:r>
    </w:p>
    <w:p>
      <w:r>
        <w:rPr>
          <w:rFonts w:ascii="Calibri" w:hAnsi="Calibri"/>
        </w:rPr>
        <w:t xml:space="preserve">*Sources: </w:t>
      </w:r>
      <w:r>
        <w:rPr>
          <w:rFonts w:ascii="Calibri" w:hAnsi="Calibri"/>
          <w:color w:val="0563C1"/>
          <w:u w:val="single"/>
        </w:rPr>
        <w:t>OCC — Cross Margin Programs</w:t>
      </w:r>
      <w:r>
        <w:rPr>
          <w:rFonts w:ascii="Calibri" w:hAnsi="Calibri"/>
        </w:rPr>
        <w:t xml:space="preserve">; </w:t>
      </w:r>
      <w:r>
        <w:rPr>
          <w:rFonts w:ascii="Calibri" w:hAnsi="Calibri"/>
          <w:color w:val="0563C1"/>
          <w:u w:val="single"/>
        </w:rPr>
        <w:t>Yale SOM — Cross-Margining and Financial Stability</w:t>
      </w:r>
      <w:r>
        <w:rPr>
          <w:rFonts w:ascii="Calibri" w:hAnsi="Calibri"/>
        </w:rPr>
        <w:t xml:space="preserve">; </w:t>
      </w:r>
      <w:r>
        <w:rPr>
          <w:rFonts w:ascii="Calibri" w:hAnsi="Calibri"/>
          <w:color w:val="0563C1"/>
          <w:u w:val="single"/>
        </w:rPr>
        <w:t>SEC Approval of Participant Exchange Agreement (July 2025)</w:t>
      </w:r>
      <w:r>
        <w:rPr>
          <w:rFonts w:ascii="Calibri" w:hAnsi="Calibri"/>
        </w:rPr>
        <w:t>*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Calibri" w:hAnsi="Calibri"/>
        </w:rPr>
        <w:t>8. Fees</w:t>
      </w:r>
    </w:p>
    <w:p>
      <w:pPr>
        <w:pStyle w:val="Heading3"/>
      </w:pPr>
      <w:r>
        <w:rPr>
          <w:rFonts w:ascii="Calibri" w:hAnsi="Calibri"/>
        </w:rPr>
        <w:t>8.1 Clearing Fee Schedule</w:t>
      </w:r>
    </w:p>
    <w:p>
      <w:r>
        <w:rPr>
          <w:rFonts w:ascii="Calibri" w:hAnsi="Calibri"/>
        </w:rPr>
        <w:t>OCC's fee schedule has undergone several changes in 2024–2025: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Fee Type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Amount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Effective Date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Per Contract Clearing Fee (Options)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$0.025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Effective February 14, 2025 (increased from $0.02)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Per Contract Clearing Fee (Futures)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$0.025 [unverified — may differ]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--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Per Transaction Clearing Fee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Removed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Previously $55.00 for transactions of 2,751+ contracts; eliminated February 2025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Minimum Monthly Clearing Fee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$200.00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Current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Operational Loss Fee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Variable; updated per Capital Management Policy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Per SEC filing SR-OCC-2024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Clearing Fee Holiday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$0.00 (temporary)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December 1–31, 2025</w:t>
            </w:r>
          </w:p>
        </w:tc>
      </w:tr>
    </w:tbl>
    <w:p/>
    <w:p>
      <w:r>
        <w:rPr>
          <w:rFonts w:ascii="Calibri" w:hAnsi="Calibri"/>
          <w:b/>
        </w:rPr>
        <w:t>Fee History:</w:t>
      </w:r>
    </w:p>
    <w:p>
      <w:pPr>
        <w:pStyle w:val="ListBullet"/>
      </w:pPr>
      <w:r>
        <w:rPr>
          <w:rFonts w:ascii="Calibri" w:hAnsi="Calibri"/>
        </w:rPr>
        <w:t xml:space="preserve">The average clearing fee per contract from June 2021 through November 2024 was approximately </w:t>
      </w:r>
      <w:r>
        <w:rPr>
          <w:rFonts w:ascii="Calibri" w:hAnsi="Calibri"/>
          <w:b/>
        </w:rPr>
        <w:t>$0.019 per contract</w:t>
      </w:r>
      <w:r>
        <w:rPr>
          <w:rFonts w:ascii="Calibri" w:hAnsi="Calibri"/>
        </w:rPr>
        <w:t xml:space="preserve"> (including the effect of the now-removed Per Transaction Fee cap)</w:t>
      </w:r>
    </w:p>
    <w:p>
      <w:pPr>
        <w:pStyle w:val="ListBullet"/>
      </w:pPr>
      <w:r>
        <w:rPr>
          <w:rFonts w:ascii="Calibri" w:hAnsi="Calibri"/>
        </w:rPr>
        <w:t>The increase to $0.025 and removal of the per-transaction cap was designed to address OCC's anticipated cash flow needs based on interest rate forecasts, projected operating expenses, projected volumes, and capital needs</w:t>
      </w:r>
    </w:p>
    <w:p>
      <w:pPr>
        <w:pStyle w:val="ListBullet"/>
      </w:pPr>
      <w:r>
        <w:rPr>
          <w:rFonts w:ascii="Calibri" w:hAnsi="Calibri"/>
        </w:rPr>
        <w:t>OCC occasionally implements "fee holidays" when accumulated revenue exceeds targets — a one-month holiday was implemented in December 2025</w:t>
      </w:r>
    </w:p>
    <w:p>
      <w:pPr>
        <w:pStyle w:val="Heading3"/>
      </w:pPr>
      <w:r>
        <w:rPr>
          <w:rFonts w:ascii="Calibri" w:hAnsi="Calibri"/>
        </w:rPr>
        <w:t>8.2 Exercise and Assignment Fees</w:t>
      </w:r>
    </w:p>
    <w:p>
      <w:r>
        <w:rPr>
          <w:rFonts w:ascii="Calibri" w:hAnsi="Calibri"/>
        </w:rPr>
        <w:t xml:space="preserve">Specific exercise and assignment fees per contract are published in OCC's Schedule of Fees on </w:t>
      </w:r>
      <w:r>
        <w:rPr>
          <w:rFonts w:ascii="Calibri" w:hAnsi="Calibri"/>
          <w:color w:val="0563C1"/>
          <w:u w:val="single"/>
        </w:rPr>
        <w:t>theocc.com</w:t>
      </w:r>
      <w:r>
        <w:rPr>
          <w:rFonts w:ascii="Calibri" w:hAnsi="Calibri"/>
        </w:rPr>
        <w:t>. [Exact amounts not publicly available in search results — refer to official schedule]</w:t>
      </w:r>
    </w:p>
    <w:p>
      <w:pPr>
        <w:pStyle w:val="Heading3"/>
      </w:pPr>
      <w:r>
        <w:rPr>
          <w:rFonts w:ascii="Calibri" w:hAnsi="Calibri"/>
        </w:rPr>
        <w:t>8.3 Membership Fees</w:t>
      </w:r>
    </w:p>
    <w:p>
      <w:pPr>
        <w:pStyle w:val="ListBullet"/>
      </w:pPr>
      <w:r>
        <w:rPr>
          <w:rFonts w:ascii="Calibri" w:hAnsi="Calibri"/>
        </w:rPr>
        <w:t>Initial and ongoing membership fees are assessed per OCC's By-Laws</w:t>
      </w:r>
    </w:p>
    <w:p>
      <w:pPr>
        <w:pStyle w:val="ListBullet"/>
      </w:pPr>
      <w:r>
        <w:rPr>
          <w:rFonts w:ascii="Calibri" w:hAnsi="Calibri"/>
        </w:rPr>
        <w:t>Clearing Fund contributions are required based on risk-based allocation methodology (not a flat fee)</w:t>
      </w:r>
    </w:p>
    <w:p>
      <w:pPr>
        <w:pStyle w:val="ListBullet"/>
      </w:pPr>
      <w:r>
        <w:rPr>
          <w:rFonts w:ascii="Calibri" w:hAnsi="Calibri"/>
        </w:rPr>
        <w:t>In 2016, OCC announced a $39 million refund to clearing members and ~$17 million dividend to stockholder exchanges, reflecting revenue surplus</w:t>
      </w:r>
    </w:p>
    <w:p>
      <w:r>
        <w:rPr>
          <w:rFonts w:ascii="Calibri" w:hAnsi="Calibri"/>
        </w:rPr>
        <w:t xml:space="preserve">*Sources: </w:t>
      </w:r>
      <w:r>
        <w:rPr>
          <w:rFonts w:ascii="Calibri" w:hAnsi="Calibri"/>
          <w:color w:val="0563C1"/>
          <w:u w:val="single"/>
        </w:rPr>
        <w:t>OCC — Schedule of Fees</w:t>
      </w:r>
      <w:r>
        <w:rPr>
          <w:rFonts w:ascii="Calibri" w:hAnsi="Calibri"/>
        </w:rPr>
        <w:t xml:space="preserve">; </w:t>
      </w:r>
      <w:r>
        <w:rPr>
          <w:rFonts w:ascii="Calibri" w:hAnsi="Calibri"/>
          <w:color w:val="0563C1"/>
          <w:u w:val="single"/>
        </w:rPr>
        <w:t>SEC Filing SR-OCC-2024-017 (Fee Change)</w:t>
      </w:r>
      <w:r>
        <w:rPr>
          <w:rFonts w:ascii="Calibri" w:hAnsi="Calibri"/>
        </w:rPr>
        <w:t xml:space="preserve">; </w:t>
      </w:r>
      <w:r>
        <w:rPr>
          <w:rFonts w:ascii="Calibri" w:hAnsi="Calibri"/>
          <w:color w:val="0563C1"/>
          <w:u w:val="single"/>
        </w:rPr>
        <w:t>SEC Filing SR-OCC-2025-002 (Fee Update)</w:t>
      </w:r>
      <w:r>
        <w:rPr>
          <w:rFonts w:ascii="Calibri" w:hAnsi="Calibri"/>
        </w:rPr>
        <w:t xml:space="preserve">; </w:t>
      </w:r>
      <w:r>
        <w:rPr>
          <w:rFonts w:ascii="Calibri" w:hAnsi="Calibri"/>
          <w:color w:val="0563C1"/>
          <w:u w:val="single"/>
        </w:rPr>
        <w:t>OCC Fee Holiday Info Memo #57379</w:t>
      </w:r>
      <w:r>
        <w:rPr>
          <w:rFonts w:ascii="Calibri" w:hAnsi="Calibri"/>
        </w:rPr>
        <w:t>*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Calibri" w:hAnsi="Calibri"/>
        </w:rPr>
        <w:t>9. Recent Developments</w:t>
      </w:r>
    </w:p>
    <w:p>
      <w:pPr>
        <w:pStyle w:val="Heading3"/>
      </w:pPr>
      <w:r>
        <w:rPr>
          <w:rFonts w:ascii="Calibri" w:hAnsi="Calibri"/>
        </w:rPr>
        <w:t>9.1 Renaissance Initiative / Technology Modernization</w:t>
      </w:r>
    </w:p>
    <w:p>
      <w:r>
        <w:rPr>
          <w:rFonts w:ascii="Calibri" w:hAnsi="Calibri"/>
        </w:rPr>
        <w:t xml:space="preserve">OCC's multi-year </w:t>
      </w:r>
      <w:r>
        <w:rPr>
          <w:rFonts w:ascii="Calibri" w:hAnsi="Calibri"/>
          <w:b/>
        </w:rPr>
        <w:t>Renaissance Initiative</w:t>
      </w:r>
      <w:r>
        <w:rPr>
          <w:rFonts w:ascii="Calibri" w:hAnsi="Calibri"/>
        </w:rPr>
        <w:t xml:space="preserve"> is the most significant technology transformation in its history:</w:t>
      </w:r>
    </w:p>
    <w:p>
      <w:pPr>
        <w:pStyle w:val="ListBullet"/>
      </w:pPr>
      <w:r>
        <w:rPr>
          <w:rFonts w:ascii="Calibri" w:hAnsi="Calibri"/>
          <w:b/>
        </w:rPr>
        <w:t>Ovation platform</w:t>
      </w:r>
      <w:r>
        <w:rPr>
          <w:rFonts w:ascii="Calibri" w:hAnsi="Calibri"/>
        </w:rPr>
        <w:t xml:space="preserve"> built on AWS cloud with modular architecture (clearing &amp; settlement, data, risk management pillars)</w:t>
      </w:r>
    </w:p>
    <w:p>
      <w:pPr>
        <w:pStyle w:val="ListBullet"/>
      </w:pPr>
      <w:r>
        <w:rPr>
          <w:rFonts w:ascii="Calibri" w:hAnsi="Calibri"/>
        </w:rPr>
        <w:t xml:space="preserve">Transition from batch processing (ENCORE) to real-time </w:t>
      </w:r>
      <w:r>
        <w:rPr>
          <w:rFonts w:ascii="Calibri" w:hAnsi="Calibri"/>
          <w:b/>
        </w:rPr>
        <w:t>stream processing</w:t>
      </w:r>
      <w:r>
        <w:rPr>
          <w:rFonts w:ascii="Calibri" w:hAnsi="Calibri"/>
        </w:rPr>
        <w:t xml:space="preserve"> using Apache Kafka and Flink</w:t>
      </w:r>
    </w:p>
    <w:p>
      <w:pPr>
        <w:pStyle w:val="ListBullet"/>
      </w:pPr>
      <w:r>
        <w:rPr>
          <w:rFonts w:ascii="Calibri" w:hAnsi="Calibri"/>
        </w:rPr>
        <w:t>Enables intraday risk calculation using current market prices rather than prior-day closing prices</w:t>
      </w:r>
    </w:p>
    <w:p>
      <w:pPr>
        <w:pStyle w:val="ListBullet"/>
      </w:pPr>
      <w:r>
        <w:rPr>
          <w:rFonts w:ascii="Calibri" w:hAnsi="Calibri"/>
        </w:rPr>
        <w:t>External industry testing began July 2024 with progressive beta releases</w:t>
      </w:r>
    </w:p>
    <w:p>
      <w:pPr>
        <w:pStyle w:val="ListBullet"/>
      </w:pPr>
      <w:r>
        <w:rPr>
          <w:rFonts w:ascii="Calibri" w:hAnsi="Calibri"/>
        </w:rPr>
        <w:t>Planned conversion from ENCORE to Ovation in a single processing cycle [target: mid-2025; completion status unverified as of April 2026]</w:t>
      </w:r>
    </w:p>
    <w:p>
      <w:pPr>
        <w:pStyle w:val="ListBullet"/>
      </w:pPr>
      <w:r>
        <w:rPr>
          <w:rFonts w:ascii="Calibri" w:hAnsi="Calibri"/>
        </w:rPr>
        <w:t>SEC no-objection on cloud infrastructure received October 2022</w:t>
      </w:r>
    </w:p>
    <w:p>
      <w:pPr>
        <w:pStyle w:val="Heading3"/>
      </w:pPr>
      <w:r>
        <w:rPr>
          <w:rFonts w:ascii="Calibri" w:hAnsi="Calibri"/>
        </w:rPr>
        <w:t>9.2 Extended Trading Hours</w:t>
      </w:r>
    </w:p>
    <w:p>
      <w:pPr>
        <w:pStyle w:val="ListBullet"/>
      </w:pPr>
      <w:r>
        <w:rPr>
          <w:rFonts w:ascii="Calibri" w:hAnsi="Calibri"/>
        </w:rPr>
        <w:t>Cboe and other exchanges have expanded or proposed extended trading sessions (pre-market and post-market) for equity options</w:t>
      </w:r>
    </w:p>
    <w:p>
      <w:pPr>
        <w:pStyle w:val="ListBullet"/>
      </w:pPr>
      <w:r>
        <w:rPr>
          <w:rFonts w:ascii="Calibri" w:hAnsi="Calibri"/>
        </w:rPr>
        <w:t>Cboe extended trading includes 7:30–9:25 a.m. ET and 4:00–4:15 p.m. ET sessions for select options classes</w:t>
      </w:r>
    </w:p>
    <w:p>
      <w:pPr>
        <w:pStyle w:val="ListBullet"/>
      </w:pPr>
      <w:r>
        <w:rPr>
          <w:rFonts w:ascii="Calibri" w:hAnsi="Calibri"/>
        </w:rPr>
        <w:t>OCC infrastructure must support clearing and risk management across extended hours</w:t>
      </w:r>
    </w:p>
    <w:p>
      <w:pPr>
        <w:pStyle w:val="ListBullet"/>
      </w:pPr>
      <w:r>
        <w:rPr>
          <w:rFonts w:ascii="Calibri" w:hAnsi="Calibri"/>
        </w:rPr>
        <w:t>Creates challenges for margin calculation timing, intraday risk exposure, and settlement cycle alignment</w:t>
      </w:r>
    </w:p>
    <w:p>
      <w:pPr>
        <w:pStyle w:val="Heading3"/>
      </w:pPr>
      <w:r>
        <w:rPr>
          <w:rFonts w:ascii="Calibri" w:hAnsi="Calibri"/>
        </w:rPr>
        <w:t>9.3 0DTE Options Growth Impact</w:t>
      </w:r>
    </w:p>
    <w:p>
      <w:r>
        <w:rPr>
          <w:rFonts w:ascii="Calibri" w:hAnsi="Calibri"/>
        </w:rPr>
        <w:t>The explosive growth of zero-day-to-expiry options has driven significant risk management adaptations:</w:t>
      </w:r>
    </w:p>
    <w:p>
      <w:pPr>
        <w:pStyle w:val="ListBullet"/>
      </w:pPr>
      <w:r>
        <w:rPr>
          <w:rFonts w:ascii="Calibri" w:hAnsi="Calibri"/>
          <w:b/>
        </w:rPr>
        <w:t>Intraday Risk Charge:</w:t>
      </w:r>
      <w:r>
        <w:rPr>
          <w:rFonts w:ascii="Calibri" w:hAnsi="Calibri"/>
        </w:rPr>
        <w:t xml:space="preserve"> SEC approved (April 2025) a new margin add-on applied to all clearing member accounts to mitigate risks from intraday and overnight trading activity</w:t>
      </w:r>
    </w:p>
    <w:p>
      <w:pPr>
        <w:pStyle w:val="ListBullet"/>
      </w:pPr>
      <w:r>
        <w:rPr>
          <w:rFonts w:ascii="Calibri" w:hAnsi="Calibri"/>
          <w:b/>
        </w:rPr>
        <w:t>STANS Enhancements:</w:t>
      </w:r>
      <w:r>
        <w:rPr>
          <w:rFonts w:ascii="Calibri" w:hAnsi="Calibri"/>
        </w:rPr>
        <w:t xml:space="preserve"> SEC approved (January 2025) changes to STANS and CST methodology to better capture short-dated options risks; average daily margin impact estimated at +0.58%</w:t>
      </w:r>
    </w:p>
    <w:p>
      <w:pPr>
        <w:pStyle w:val="ListBullet"/>
      </w:pPr>
      <w:r>
        <w:rPr>
          <w:rFonts w:ascii="Calibri" w:hAnsi="Calibri"/>
          <w:b/>
        </w:rPr>
        <w:t>Volatility Adjustments:</w:t>
      </w:r>
      <w:r>
        <w:rPr>
          <w:rFonts w:ascii="Calibri" w:hAnsi="Calibri"/>
        </w:rPr>
        <w:t xml:space="preserve"> OCC proposed (October 2024) a mechanism to adjust margin parameters during periods of high volatility</w:t>
      </w:r>
    </w:p>
    <w:p>
      <w:pPr>
        <w:pStyle w:val="ListBullet"/>
      </w:pPr>
      <w:r>
        <w:rPr>
          <w:rFonts w:ascii="Calibri" w:hAnsi="Calibri"/>
        </w:rPr>
        <w:t xml:space="preserve">OCC's intraday exposure to 0DTE options was previously </w:t>
      </w:r>
      <w:r>
        <w:rPr>
          <w:rFonts w:ascii="Calibri" w:hAnsi="Calibri"/>
          <w:b/>
        </w:rPr>
        <w:t>uncollateralized</w:t>
      </w:r>
      <w:r>
        <w:rPr>
          <w:rFonts w:ascii="Calibri" w:hAnsi="Calibri"/>
        </w:rPr>
        <w:t xml:space="preserve"> — the new Intraday Risk Charge addresses this gap</w:t>
      </w:r>
    </w:p>
    <w:p>
      <w:pPr>
        <w:pStyle w:val="Heading3"/>
      </w:pPr>
      <w:r>
        <w:rPr>
          <w:rFonts w:ascii="Calibri" w:hAnsi="Calibri"/>
        </w:rPr>
        <w:t>9.4 Securities Lending Expansion</w:t>
      </w:r>
    </w:p>
    <w:p>
      <w:pPr>
        <w:pStyle w:val="ListBullet"/>
      </w:pPr>
      <w:r>
        <w:rPr>
          <w:rFonts w:ascii="Calibri" w:hAnsi="Calibri"/>
        </w:rPr>
        <w:t xml:space="preserve">OCC selected </w:t>
      </w:r>
      <w:r>
        <w:rPr>
          <w:rFonts w:ascii="Calibri" w:hAnsi="Calibri"/>
          <w:b/>
        </w:rPr>
        <w:t>Axoni</w:t>
      </w:r>
      <w:r>
        <w:rPr>
          <w:rFonts w:ascii="Calibri" w:hAnsi="Calibri"/>
        </w:rPr>
        <w:t xml:space="preserve"> (distributed ledger technology platform) to modernize its securities lending infrastructure</w:t>
      </w:r>
    </w:p>
    <w:p>
      <w:pPr>
        <w:pStyle w:val="ListBullet"/>
      </w:pPr>
      <w:r>
        <w:rPr>
          <w:rFonts w:ascii="Calibri" w:hAnsi="Calibri"/>
        </w:rPr>
        <w:t>Stock loan clearing volumes have grown at a 16% CAGR since 2012</w:t>
      </w:r>
    </w:p>
    <w:p>
      <w:pPr>
        <w:pStyle w:val="ListBullet"/>
      </w:pPr>
      <w:r>
        <w:rPr>
          <w:rFonts w:ascii="Calibri" w:hAnsi="Calibri"/>
        </w:rPr>
        <w:t>OCC is now the world's largest U.S. equities lending CCP</w:t>
      </w:r>
    </w:p>
    <w:p>
      <w:pPr>
        <w:pStyle w:val="ListBullet"/>
      </w:pPr>
      <w:r>
        <w:rPr>
          <w:rFonts w:ascii="Calibri" w:hAnsi="Calibri"/>
        </w:rPr>
        <w:t>Programs expanded to support broader market participation and operational efficiency</w:t>
      </w:r>
    </w:p>
    <w:p>
      <w:pPr>
        <w:pStyle w:val="Heading3"/>
      </w:pPr>
      <w:r>
        <w:rPr>
          <w:rFonts w:ascii="Calibri" w:hAnsi="Calibri"/>
        </w:rPr>
        <w:t>9.5 2021 Capital Plan / Governance Crisis and Resolution</w:t>
      </w:r>
    </w:p>
    <w:p>
      <w:r>
        <w:rPr>
          <w:rFonts w:ascii="Calibri" w:hAnsi="Calibri"/>
        </w:rPr>
        <w:t>This episode represents a significant chapter in OCC's history:</w:t>
      </w:r>
    </w:p>
    <w:p>
      <w:r>
        <w:rPr>
          <w:rFonts w:ascii="Calibri" w:hAnsi="Calibri"/>
          <w:b/>
        </w:rPr>
        <w:t>Timeline:</w:t>
      </w:r>
    </w:p>
    <w:p>
      <w:pPr>
        <w:pStyle w:val="ListBullet"/>
      </w:pPr>
      <w:r>
        <w:rPr>
          <w:rFonts w:ascii="Calibri" w:hAnsi="Calibri"/>
          <w:b/>
        </w:rPr>
        <w:t>2015:</w:t>
      </w:r>
      <w:r>
        <w:rPr>
          <w:rFonts w:ascii="Calibri" w:hAnsi="Calibri"/>
        </w:rPr>
        <w:t xml:space="preserve"> OCC submitted Capital Plan to SEC proposing significant capitalization increase through dividends to stockholder exchanges, funded by clearing fee increases</w:t>
      </w:r>
    </w:p>
    <w:p>
      <w:pPr>
        <w:pStyle w:val="ListBullet"/>
      </w:pPr>
      <w:r>
        <w:rPr>
          <w:rFonts w:ascii="Calibri" w:hAnsi="Calibri"/>
          <w:b/>
        </w:rPr>
        <w:t>2017:</w:t>
      </w:r>
      <w:r>
        <w:rPr>
          <w:rFonts w:ascii="Calibri" w:hAnsi="Calibri"/>
        </w:rPr>
        <w:t xml:space="preserve"> SEC initially approved the Capital Plan</w:t>
      </w:r>
    </w:p>
    <w:p>
      <w:pPr>
        <w:pStyle w:val="ListBullet"/>
      </w:pPr>
      <w:r>
        <w:rPr>
          <w:rFonts w:ascii="Calibri" w:hAnsi="Calibri"/>
          <w:b/>
        </w:rPr>
        <w:t>2017:</w:t>
      </w:r>
      <w:r>
        <w:rPr>
          <w:rFonts w:ascii="Calibri" w:hAnsi="Calibri"/>
        </w:rPr>
        <w:t xml:space="preserve"> D.C. Circuit Court of Appeals remanded the decision back to the SEC following challenge by non-shareholder exchanges (e.g., MIAX) who argued they were denied fair notice and opportunity to present views</w:t>
      </w:r>
    </w:p>
    <w:p>
      <w:pPr>
        <w:pStyle w:val="ListBullet"/>
      </w:pPr>
      <w:r>
        <w:rPr>
          <w:rFonts w:ascii="Calibri" w:hAnsi="Calibri"/>
          <w:b/>
        </w:rPr>
        <w:t>2019 (February):</w:t>
      </w:r>
      <w:r>
        <w:rPr>
          <w:rFonts w:ascii="Calibri" w:hAnsi="Calibri"/>
        </w:rPr>
        <w:t xml:space="preserve"> SEC </w:t>
      </w:r>
      <w:r>
        <w:rPr>
          <w:rFonts w:ascii="Calibri" w:hAnsi="Calibri"/>
          <w:b/>
        </w:rPr>
        <w:t>disapproved</w:t>
      </w:r>
      <w:r>
        <w:rPr>
          <w:rFonts w:ascii="Calibri" w:hAnsi="Calibri"/>
        </w:rPr>
        <w:t xml:space="preserve"> the Capital Plan, finding:</w:t>
      </w:r>
    </w:p>
    <w:p>
      <w:pPr>
        <w:pStyle w:val="ListBullet"/>
      </w:pPr>
      <w:r>
        <w:rPr>
          <w:rFonts w:ascii="Calibri" w:hAnsi="Calibri"/>
        </w:rPr>
        <w:t>Insufficient evidence that the Plan was consistent with the Securities Exchange Act</w:t>
      </w:r>
    </w:p>
    <w:p>
      <w:pPr>
        <w:pStyle w:val="ListBullet"/>
      </w:pPr>
      <w:r>
        <w:rPr>
          <w:rFonts w:ascii="Calibri" w:hAnsi="Calibri"/>
        </w:rPr>
        <w:t>Governance concerns — conflicts of interest between OCC management/board and stockholder exchanges</w:t>
      </w:r>
    </w:p>
    <w:p>
      <w:pPr>
        <w:pStyle w:val="ListBullet"/>
      </w:pPr>
      <w:r>
        <w:rPr>
          <w:rFonts w:ascii="Calibri" w:hAnsi="Calibri"/>
        </w:rPr>
        <w:t>Failure to notify non-shareholder exchanges of the Plan's competitive significance</w:t>
      </w:r>
    </w:p>
    <w:p>
      <w:pPr>
        <w:pStyle w:val="ListBullet"/>
      </w:pPr>
      <w:r>
        <w:rPr>
          <w:rFonts w:ascii="Calibri" w:hAnsi="Calibri"/>
        </w:rPr>
        <w:t>Questions about whether fee-funded dividends to owner-exchanges were appropriate for a market utility</w:t>
      </w:r>
    </w:p>
    <w:p>
      <w:pPr>
        <w:pStyle w:val="ListBullet"/>
      </w:pPr>
      <w:r>
        <w:rPr>
          <w:rFonts w:ascii="Calibri" w:hAnsi="Calibri"/>
          <w:b/>
        </w:rPr>
        <w:t>2019 (September):</w:t>
      </w:r>
      <w:r>
        <w:rPr>
          <w:rFonts w:ascii="Calibri" w:hAnsi="Calibri"/>
        </w:rPr>
        <w:t xml:space="preserve"> SEC and CFTC separately charged OCC with risk management policy failures unrelated to the Capital Plan but occurring during the same period</w:t>
      </w:r>
    </w:p>
    <w:p>
      <w:pPr>
        <w:pStyle w:val="ListBullet"/>
      </w:pPr>
      <w:r>
        <w:rPr>
          <w:rFonts w:ascii="Calibri" w:hAnsi="Calibri"/>
          <w:b/>
        </w:rPr>
        <w:t>2019–2021:</w:t>
      </w:r>
      <w:r>
        <w:rPr>
          <w:rFonts w:ascii="Calibri" w:hAnsi="Calibri"/>
        </w:rPr>
        <w:t xml:space="preserve"> Errors in OCC's Liquidation Cost Model led to Clearing Fund underfunding of </w:t>
      </w:r>
      <w:r>
        <w:rPr>
          <w:rFonts w:ascii="Calibri" w:hAnsi="Calibri"/>
          <w:b/>
        </w:rPr>
        <w:t>$200M–$588M</w:t>
      </w:r>
      <w:r>
        <w:rPr>
          <w:rFonts w:ascii="Calibri" w:hAnsi="Calibri"/>
        </w:rPr>
        <w:t xml:space="preserve"> at various times</w:t>
      </w:r>
    </w:p>
    <w:p>
      <w:pPr>
        <w:pStyle w:val="ListBullet"/>
      </w:pPr>
      <w:r>
        <w:rPr>
          <w:rFonts w:ascii="Calibri" w:hAnsi="Calibri"/>
          <w:b/>
        </w:rPr>
        <w:t>2023 (February):</w:t>
      </w:r>
      <w:r>
        <w:rPr>
          <w:rFonts w:ascii="Calibri" w:hAnsi="Calibri"/>
        </w:rPr>
        <w:t xml:space="preserve"> OCC settled with SEC ($17M) and CFTC ($5M); total penalties of $22M</w:t>
      </w:r>
    </w:p>
    <w:p>
      <w:pPr>
        <w:pStyle w:val="ListBullet"/>
      </w:pPr>
      <w:r>
        <w:rPr>
          <w:rFonts w:ascii="Calibri" w:hAnsi="Calibri"/>
          <w:b/>
        </w:rPr>
        <w:t>Post-2023:</w:t>
      </w:r>
      <w:r>
        <w:rPr>
          <w:rFonts w:ascii="Calibri" w:hAnsi="Calibri"/>
        </w:rPr>
        <w:t xml:space="preserve"> OCC implemented remedial measures including enhanced governance, improved internal controls, new Capital Management Policy with regulatory capital target of $303 million, and persistent minimum SITG of $69 million</w:t>
      </w:r>
    </w:p>
    <w:p>
      <w:r>
        <w:rPr>
          <w:rFonts w:ascii="Calibri" w:hAnsi="Calibri"/>
          <w:b/>
        </w:rPr>
        <w:t>Lessons:</w:t>
      </w:r>
    </w:p>
    <w:p>
      <w:pPr>
        <w:pStyle w:val="ListBullet"/>
      </w:pPr>
      <w:r>
        <w:rPr>
          <w:rFonts w:ascii="Calibri" w:hAnsi="Calibri"/>
        </w:rPr>
        <w:t>Highlighted tensions in OCC's ownership model — stockholder exchanges as both owners and competitors of non-shareholder exchanges</w:t>
      </w:r>
    </w:p>
    <w:p>
      <w:pPr>
        <w:pStyle w:val="ListBullet"/>
      </w:pPr>
      <w:r>
        <w:rPr>
          <w:rFonts w:ascii="Calibri" w:hAnsi="Calibri"/>
        </w:rPr>
        <w:t>Led to enhanced regulatory scrutiny of OCC governance</w:t>
      </w:r>
    </w:p>
    <w:p>
      <w:pPr>
        <w:pStyle w:val="ListBullet"/>
      </w:pPr>
      <w:r>
        <w:rPr>
          <w:rFonts w:ascii="Calibri" w:hAnsi="Calibri"/>
        </w:rPr>
        <w:t>Prompted OCC to adopt more transparent capital management and fee-setting processes</w:t>
      </w:r>
    </w:p>
    <w:p>
      <w:pPr>
        <w:pStyle w:val="ListBullet"/>
      </w:pPr>
      <w:r>
        <w:rPr>
          <w:rFonts w:ascii="Calibri" w:hAnsi="Calibri"/>
        </w:rPr>
        <w:t>Reinforced the importance of robust internal controls at SIFMUs</w:t>
      </w:r>
    </w:p>
    <w:p>
      <w:pPr>
        <w:pStyle w:val="Heading3"/>
      </w:pPr>
      <w:r>
        <w:rPr>
          <w:rFonts w:ascii="Calibri" w:hAnsi="Calibri"/>
        </w:rPr>
        <w:t>9.6 Clearing Fund Methodology Reform (2025)</w:t>
      </w:r>
    </w:p>
    <w:p>
      <w:pPr>
        <w:pStyle w:val="ListBullet"/>
      </w:pPr>
      <w:r>
        <w:rPr>
          <w:rFonts w:ascii="Calibri" w:hAnsi="Calibri"/>
        </w:rPr>
        <w:t xml:space="preserve">In October 2025, OCC filed a proposed rule change to reform its Clearing Fund </w:t>
      </w:r>
      <w:r>
        <w:rPr>
          <w:rFonts w:ascii="Calibri" w:hAnsi="Calibri"/>
          <w:b/>
        </w:rPr>
        <w:t>allocation methodology</w:t>
      </w:r>
      <w:r>
        <w:rPr>
          <w:rFonts w:ascii="Calibri" w:hAnsi="Calibri"/>
        </w:rPr>
        <w:t xml:space="preserve"> to better align contributions with the stress risk each clearing member poses to OCC</w:t>
      </w:r>
    </w:p>
    <w:p>
      <w:pPr>
        <w:pStyle w:val="ListBullet"/>
      </w:pPr>
      <w:r>
        <w:rPr>
          <w:rFonts w:ascii="Calibri" w:hAnsi="Calibri"/>
        </w:rPr>
        <w:t>In December 2025, SEC granted accelerated approval of the reformed methodology</w:t>
      </w:r>
    </w:p>
    <w:p>
      <w:pPr>
        <w:pStyle w:val="ListBullet"/>
      </w:pPr>
      <w:r>
        <w:rPr>
          <w:rFonts w:ascii="Calibri" w:hAnsi="Calibri"/>
        </w:rPr>
        <w:t>The new methodology ensures that stress-based risk is "fairly allotted to market participants that expose OCC to such stress risk"</w:t>
      </w:r>
    </w:p>
    <w:p>
      <w:pPr>
        <w:pStyle w:val="Heading3"/>
      </w:pPr>
      <w:r>
        <w:rPr>
          <w:rFonts w:ascii="Calibri" w:hAnsi="Calibri"/>
        </w:rPr>
        <w:t>9.7 Volume Records and Market Growth</w:t>
      </w:r>
    </w:p>
    <w:p>
      <w:pPr>
        <w:pStyle w:val="ListBullet"/>
      </w:pPr>
      <w:r>
        <w:rPr>
          <w:rFonts w:ascii="Calibri" w:hAnsi="Calibri"/>
          <w:b/>
        </w:rPr>
        <w:t>2024:</w:t>
      </w:r>
      <w:r>
        <w:rPr>
          <w:rFonts w:ascii="Calibri" w:hAnsi="Calibri"/>
        </w:rPr>
        <w:t xml:space="preserve"> 12.2 billion options contracts cleared (record; +10.6% YoY)</w:t>
      </w:r>
    </w:p>
    <w:p>
      <w:pPr>
        <w:pStyle w:val="ListBullet"/>
      </w:pPr>
      <w:r>
        <w:rPr>
          <w:rFonts w:ascii="Calibri" w:hAnsi="Calibri"/>
          <w:b/>
        </w:rPr>
        <w:t>2025 (January):</w:t>
      </w:r>
      <w:r>
        <w:rPr>
          <w:rFonts w:ascii="Calibri" w:hAnsi="Calibri"/>
        </w:rPr>
        <w:t xml:space="preserve"> 1.16 billion monthly contracts (+17.8% YoY)</w:t>
      </w:r>
    </w:p>
    <w:p>
      <w:pPr>
        <w:pStyle w:val="ListBullet"/>
      </w:pPr>
      <w:r>
        <w:rPr>
          <w:rFonts w:ascii="Calibri" w:hAnsi="Calibri"/>
          <w:b/>
        </w:rPr>
        <w:t>2025 (April 4):</w:t>
      </w:r>
      <w:r>
        <w:rPr>
          <w:rFonts w:ascii="Calibri" w:hAnsi="Calibri"/>
        </w:rPr>
        <w:t xml:space="preserve"> First-ever 100M+ daily volume — 102.6 million contracts</w:t>
      </w:r>
    </w:p>
    <w:p>
      <w:pPr>
        <w:pStyle w:val="ListBullet"/>
      </w:pPr>
      <w:r>
        <w:rPr>
          <w:rFonts w:ascii="Calibri" w:hAnsi="Calibri"/>
          <w:b/>
        </w:rPr>
        <w:t>2025 (October 10):</w:t>
      </w:r>
      <w:r>
        <w:rPr>
          <w:rFonts w:ascii="Calibri" w:hAnsi="Calibri"/>
        </w:rPr>
        <w:t xml:space="preserve"> New daily record of 110 million contracts</w:t>
      </w:r>
    </w:p>
    <w:p>
      <w:pPr>
        <w:pStyle w:val="ListBullet"/>
      </w:pPr>
      <w:r>
        <w:rPr>
          <w:rFonts w:ascii="Calibri" w:hAnsi="Calibri"/>
        </w:rPr>
        <w:t>Driven by retail participation, zero-commission trading platforms, 0DTE growth, and economic uncertainty</w:t>
      </w:r>
    </w:p>
    <w:p>
      <w:r>
        <w:rPr>
          <w:rFonts w:ascii="Calibri" w:hAnsi="Calibri"/>
        </w:rPr>
        <w:t xml:space="preserve">*Sources: </w:t>
      </w:r>
      <w:r>
        <w:rPr>
          <w:rFonts w:ascii="Calibri" w:hAnsi="Calibri"/>
          <w:color w:val="0563C1"/>
          <w:u w:val="single"/>
        </w:rPr>
        <w:t>OCC Transformation</w:t>
      </w:r>
      <w:r>
        <w:rPr>
          <w:rFonts w:ascii="Calibri" w:hAnsi="Calibri"/>
        </w:rPr>
        <w:t xml:space="preserve">; </w:t>
      </w:r>
      <w:r>
        <w:rPr>
          <w:rFonts w:ascii="Calibri" w:hAnsi="Calibri"/>
          <w:color w:val="0563C1"/>
          <w:u w:val="single"/>
        </w:rPr>
        <w:t>SEC Approval of Intraday Risk Charge (April 2025)</w:t>
      </w:r>
      <w:r>
        <w:rPr>
          <w:rFonts w:ascii="Calibri" w:hAnsi="Calibri"/>
        </w:rPr>
        <w:t xml:space="preserve">; </w:t>
      </w:r>
      <w:r>
        <w:rPr>
          <w:rFonts w:ascii="Calibri" w:hAnsi="Calibri"/>
          <w:color w:val="0563C1"/>
          <w:u w:val="single"/>
        </w:rPr>
        <w:t>SEC Approval of STANS/CST Enhancements (January 2025)</w:t>
      </w:r>
      <w:r>
        <w:rPr>
          <w:rFonts w:ascii="Calibri" w:hAnsi="Calibri"/>
        </w:rPr>
        <w:t xml:space="preserve">; </w:t>
      </w:r>
      <w:r>
        <w:rPr>
          <w:rFonts w:ascii="Calibri" w:hAnsi="Calibri"/>
          <w:color w:val="0563C1"/>
          <w:u w:val="single"/>
        </w:rPr>
        <w:t>SEC Capital Plan Disapproval (2019)</w:t>
      </w:r>
      <w:r>
        <w:rPr>
          <w:rFonts w:ascii="Calibri" w:hAnsi="Calibri"/>
        </w:rPr>
        <w:t xml:space="preserve">; </w:t>
      </w:r>
      <w:r>
        <w:rPr>
          <w:rFonts w:ascii="Calibri" w:hAnsi="Calibri"/>
          <w:color w:val="0563C1"/>
          <w:u w:val="single"/>
        </w:rPr>
        <w:t>SEC Charges OCC (2023)</w:t>
      </w:r>
      <w:r>
        <w:rPr>
          <w:rFonts w:ascii="Calibri" w:hAnsi="Calibri"/>
        </w:rPr>
        <w:t xml:space="preserve">; </w:t>
      </w:r>
      <w:r>
        <w:rPr>
          <w:rFonts w:ascii="Calibri" w:hAnsi="Calibri"/>
          <w:color w:val="0563C1"/>
          <w:u w:val="single"/>
        </w:rPr>
        <w:t>Compliance Week — OCC Penalties</w:t>
      </w:r>
      <w:r>
        <w:rPr>
          <w:rFonts w:ascii="Calibri" w:hAnsi="Calibri"/>
        </w:rPr>
        <w:t xml:space="preserve">; </w:t>
      </w:r>
      <w:r>
        <w:rPr>
          <w:rFonts w:ascii="Calibri" w:hAnsi="Calibri"/>
          <w:color w:val="0563C1"/>
          <w:u w:val="single"/>
        </w:rPr>
        <w:t>FIA — OCC Capital Plan</w:t>
      </w:r>
      <w:r>
        <w:rPr>
          <w:rFonts w:ascii="Calibri" w:hAnsi="Calibri"/>
        </w:rPr>
        <w:t xml:space="preserve">; </w:t>
      </w:r>
      <w:r>
        <w:rPr>
          <w:rFonts w:ascii="Calibri" w:hAnsi="Calibri"/>
          <w:color w:val="0563C1"/>
          <w:u w:val="single"/>
        </w:rPr>
        <w:t>OCC 2024 Volume Release</w:t>
      </w:r>
      <w:r>
        <w:rPr>
          <w:rFonts w:ascii="Calibri" w:hAnsi="Calibri"/>
        </w:rPr>
        <w:t xml:space="preserve">; </w:t>
      </w:r>
      <w:r>
        <w:rPr>
          <w:rFonts w:ascii="Calibri" w:hAnsi="Calibri"/>
          <w:color w:val="0563C1"/>
          <w:u w:val="single"/>
        </w:rPr>
        <w:t>SEC Clearing Fund Allocation Approval (December 2025)</w:t>
      </w:r>
      <w:r>
        <w:rPr>
          <w:rFonts w:ascii="Calibri" w:hAnsi="Calibri"/>
        </w:rPr>
        <w:t xml:space="preserve">; </w:t>
      </w:r>
      <w:r>
        <w:rPr>
          <w:rFonts w:ascii="Calibri" w:hAnsi="Calibri"/>
          <w:color w:val="0563C1"/>
          <w:u w:val="single"/>
        </w:rPr>
        <w:t>Cboe Extended Trading Hours FAQ</w:t>
      </w:r>
      <w:r>
        <w:rPr>
          <w:rFonts w:ascii="Calibri" w:hAnsi="Calibri"/>
        </w:rPr>
        <w:t>*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Calibri" w:hAnsi="Calibri"/>
        </w:rPr>
        <w:t>Comparison with KRX Clearing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Feature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OCC (U.S.)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KRX (Korea)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Role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CCP for listed options and futures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CCP for all KRX-listed products (equities, derivatives, bonds)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CSD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DTC (separate entity via NSCC Accord)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KSD (Korea Securities Depository — separate entity)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Margin Methodology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STANS (Monte Carlo, 99% ES, 2-day horizon)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KOSPI 200 options: SPAN-like; equities: VaR-based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Default Standard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Cover 2 (two largest members + affiliates)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Cover 1 [unverified]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SIFMU Equivalent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Yes (Dodd-Frank Title VIII)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Designated as systemically important by FSC/FSS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Settlement Cycle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T+1 (options premium, exercise/assignment)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T+2 for equities; T+1 for derivatives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Ownership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Exchange-owned (Cboe, NYSE, Nasdaq)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Part of Korea Exchange (government-designated)</w:t>
            </w:r>
          </w:p>
        </w:tc>
      </w:tr>
    </w:tbl>
    <w:p/>
    <w:p>
      <w:pPr>
        <w:pBdr>
          <w:bottom w:val="single" w:sz="4" w:space="1" w:color="auto"/>
        </w:pBdr>
      </w:pPr>
    </w:p>
    <w:p>
      <w:r>
        <w:rPr>
          <w:rFonts w:ascii="Calibri" w:hAnsi="Calibri"/>
        </w:rPr>
        <w:t>*This document was prepared as part of the Global Exchange Research Project — Clearing &amp; Settlement domain. All data sourced from publicly available materials as cited. Items marked [unverified] require additional confirmation from official sources.*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