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China Securities Depository and Clearing Corporation Limited (CSDC / ChinaClear)</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등급:** Tier 3 (개요)</w:t>
      </w:r>
    </w:p>
    <w:p>
      <w:pPr>
        <w:ind w:left="720"/>
        <w:shd w:fill="F0F0F0" w:val="clear"/>
      </w:pPr>
      <w:r>
        <w:rPr>
          <w:rFonts w:ascii="Malgun Gothic" w:hAnsi="Malgun Gothic" w:eastAsia="맑은 고딕"/>
          <w:i/>
        </w:rPr>
        <w:t>**유형:** CCP (중앙청산소) + CSD (중앙예탁기관)</w:t>
      </w:r>
    </w:p>
    <w:p>
      <w:pPr>
        <w:pBdr>
          <w:bottom w:val="single" w:sz="4" w:space="1" w:color="auto"/>
        </w:pBdr>
      </w:pPr>
    </w:p>
    <w:p>
      <w:pPr>
        <w:pStyle w:val="Heading2"/>
      </w:pPr>
      <w:r>
        <w:rPr>
          <w:rFonts w:ascii="Malgun Gothic" w:hAnsi="Malgun Gothic" w:eastAsia="맑은 고딕"/>
        </w:rP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rPr>
              <w:t>정식 명칭</w:t>
            </w:r>
          </w:p>
        </w:tc>
        <w:tc>
          <w:tcPr>
            <w:tcW w:type="dxa" w:w="4320"/>
          </w:tcPr>
          <w:p>
            <w:pPr/>
            <w:r/>
            <w:r>
              <w:rPr>
                <w:rFonts w:ascii="Malgun Gothic" w:hAnsi="Malgun Gothic" w:eastAsia="맑은 고딕"/>
              </w:rPr>
              <w:t>China Securities Depository and Clearing Corporation Limited (중국증권등기결산유한책임공사, 中国证券登记结算有限责任公司)</w:t>
            </w:r>
          </w:p>
        </w:tc>
      </w:tr>
      <w:tr>
        <w:tc>
          <w:tcPr>
            <w:tcW w:type="dxa" w:w="4320"/>
          </w:tcPr>
          <w:p>
            <w:pPr/>
            <w:r/>
            <w:r>
              <w:rPr>
                <w:rFonts w:ascii="Malgun Gothic" w:hAnsi="Malgun Gothic" w:eastAsia="맑은 고딕"/>
              </w:rPr>
              <w:t>약칭</w:t>
            </w:r>
          </w:p>
        </w:tc>
        <w:tc>
          <w:tcPr>
            <w:tcW w:type="dxa" w:w="4320"/>
          </w:tcPr>
          <w:p>
            <w:pPr/>
            <w:r/>
            <w:r>
              <w:rPr>
                <w:rFonts w:ascii="Malgun Gothic" w:hAnsi="Malgun Gothic" w:eastAsia="맑은 고딕"/>
              </w:rPr>
              <w:t>CSDC, SD&amp;C, ChinaClear (중국결산, 中国结算, 中证登)</w:t>
            </w:r>
          </w:p>
        </w:tc>
      </w:tr>
      <w:tr>
        <w:tc>
          <w:tcPr>
            <w:tcW w:type="dxa" w:w="4320"/>
          </w:tcPr>
          <w:p>
            <w:pPr/>
            <w:r/>
            <w:r>
              <w:rPr>
                <w:rFonts w:ascii="Malgun Gothic" w:hAnsi="Malgun Gothic" w:eastAsia="맑은 고딕"/>
              </w:rPr>
              <w:t>국가 / 도시</w:t>
            </w:r>
          </w:p>
        </w:tc>
        <w:tc>
          <w:tcPr>
            <w:tcW w:type="dxa" w:w="4320"/>
          </w:tcPr>
          <w:p>
            <w:pPr/>
            <w:r/>
            <w:r>
              <w:rPr>
                <w:rFonts w:ascii="Malgun Gothic" w:hAnsi="Malgun Gothic" w:eastAsia="맑은 고딕"/>
              </w:rPr>
              <w:t>중국 / 베이징 (본사), 상하이, 선전, 베이징에 지사</w:t>
            </w:r>
          </w:p>
        </w:tc>
      </w:tr>
      <w:tr>
        <w:tc>
          <w:tcPr>
            <w:tcW w:type="dxa" w:w="4320"/>
          </w:tcPr>
          <w:p>
            <w:pPr/>
            <w:r/>
            <w:r>
              <w:rPr>
                <w:rFonts w:ascii="Malgun Gothic" w:hAnsi="Malgun Gothic" w:eastAsia="맑은 고딕"/>
              </w:rPr>
              <w:t>웹사이트</w:t>
            </w:r>
          </w:p>
        </w:tc>
        <w:tc>
          <w:tcPr>
            <w:tcW w:type="dxa" w:w="4320"/>
          </w:tcPr>
          <w:p>
            <w:pPr/>
            <w:r/>
            <w:r>
              <w:rPr>
                <w:rFonts w:ascii="Malgun Gothic" w:hAnsi="Malgun Gothic" w:eastAsia="맑은 고딕"/>
                <w:color w:val="0563C1"/>
                <w:u w:val="single"/>
              </w:rPr>
              <w:t>http://www.chinaclear.cn</w:t>
            </w:r>
          </w:p>
        </w:tc>
      </w:tr>
      <w:tr>
        <w:tc>
          <w:tcPr>
            <w:tcW w:type="dxa" w:w="4320"/>
          </w:tcPr>
          <w:p>
            <w:pPr/>
            <w:r/>
            <w:r>
              <w:rPr>
                <w:rFonts w:ascii="Malgun Gothic" w:hAnsi="Malgun Gothic" w:eastAsia="맑은 고딕"/>
              </w:rPr>
              <w:t>설립연도</w:t>
            </w:r>
          </w:p>
        </w:tc>
        <w:tc>
          <w:tcPr>
            <w:tcW w:type="dxa" w:w="4320"/>
          </w:tcPr>
          <w:p>
            <w:pPr/>
            <w:r/>
            <w:r>
              <w:rPr>
                <w:rFonts w:ascii="Malgun Gothic" w:hAnsi="Malgun Gothic" w:eastAsia="맑은 고딕"/>
              </w:rPr>
              <w:t>2001년 3월 30일</w:t>
            </w:r>
          </w:p>
        </w:tc>
      </w:tr>
      <w:tr>
        <w:tc>
          <w:tcPr>
            <w:tcW w:type="dxa" w:w="4320"/>
          </w:tcPr>
          <w:p>
            <w:pPr/>
            <w:r/>
            <w:r>
              <w:rPr>
                <w:rFonts w:ascii="Malgun Gothic" w:hAnsi="Malgun Gothic" w:eastAsia="맑은 고딕"/>
              </w:rPr>
              <w:t>소유 구조</w:t>
            </w:r>
          </w:p>
        </w:tc>
        <w:tc>
          <w:tcPr>
            <w:tcW w:type="dxa" w:w="4320"/>
          </w:tcPr>
          <w:p>
            <w:pPr/>
            <w:r/>
            <w:r>
              <w:rPr>
                <w:rFonts w:ascii="Malgun Gothic" w:hAnsi="Malgun Gothic" w:eastAsia="맑은 고딕"/>
              </w:rPr>
              <w:t>상하이증권거래소 (SSE, 50%) 및 선전증권거래소 (SZSE, 50%) -- 실질적으로 국유</w:t>
            </w:r>
          </w:p>
        </w:tc>
      </w:tr>
      <w:tr>
        <w:tc>
          <w:tcPr>
            <w:tcW w:type="dxa" w:w="4320"/>
          </w:tcPr>
          <w:p>
            <w:pPr/>
            <w:r/>
            <w:r>
              <w:rPr>
                <w:rFonts w:ascii="Malgun Gothic" w:hAnsi="Malgun Gothic" w:eastAsia="맑은 고딕"/>
              </w:rPr>
              <w:t>법적 지위</w:t>
            </w:r>
          </w:p>
        </w:tc>
        <w:tc>
          <w:tcPr>
            <w:tcW w:type="dxa" w:w="4320"/>
          </w:tcPr>
          <w:p>
            <w:pPr/>
            <w:r/>
            <w:r>
              <w:rPr>
                <w:rFonts w:ascii="Malgun Gothic" w:hAnsi="Malgun Gothic" w:eastAsia="맑은 고딕"/>
              </w:rPr>
              <w:t>중국증권감독관리위원회(CSRC)가 승인한 비영리법인</w:t>
            </w:r>
          </w:p>
        </w:tc>
      </w:tr>
      <w:tr>
        <w:tc>
          <w:tcPr>
            <w:tcW w:type="dxa" w:w="4320"/>
          </w:tcPr>
          <w:p>
            <w:pPr/>
            <w:r/>
            <w:r>
              <w:rPr>
                <w:rFonts w:ascii="Malgun Gothic" w:hAnsi="Malgun Gothic" w:eastAsia="맑은 고딕"/>
              </w:rPr>
              <w:t>사장</w:t>
            </w:r>
          </w:p>
        </w:tc>
        <w:tc>
          <w:tcPr>
            <w:tcW w:type="dxa" w:w="4320"/>
          </w:tcPr>
          <w:p>
            <w:pPr/>
            <w:r/>
            <w:r>
              <w:rPr>
                <w:rFonts w:ascii="Malgun Gothic" w:hAnsi="Malgun Gothic" w:eastAsia="맑은 고딕"/>
              </w:rPr>
              <w:t>Zhuang Mu (장무)</w:t>
            </w:r>
          </w:p>
        </w:tc>
      </w:tr>
      <w:tr>
        <w:tc>
          <w:tcPr>
            <w:tcW w:type="dxa" w:w="4320"/>
          </w:tcPr>
          <w:p>
            <w:pPr/>
            <w:r/>
            <w:r>
              <w:rPr>
                <w:rFonts w:ascii="Malgun Gothic" w:hAnsi="Malgun Gothic" w:eastAsia="맑은 고딕"/>
              </w:rPr>
              <w:t>감독기관</w:t>
            </w:r>
          </w:p>
        </w:tc>
        <w:tc>
          <w:tcPr>
            <w:tcW w:type="dxa" w:w="4320"/>
          </w:tcPr>
          <w:p>
            <w:pPr/>
            <w:r/>
            <w:r>
              <w:rPr>
                <w:rFonts w:ascii="Malgun Gothic" w:hAnsi="Malgun Gothic" w:eastAsia="맑은 고딕"/>
              </w:rPr>
              <w:t>중국증권감독관리위원회 (CSRC, China Securities Regulatory Commission)</w:t>
            </w:r>
          </w:p>
        </w:tc>
      </w:tr>
      <w:tr>
        <w:tc>
          <w:tcPr>
            <w:tcW w:type="dxa" w:w="4320"/>
          </w:tcPr>
          <w:p>
            <w:pPr/>
            <w:r/>
            <w:r>
              <w:rPr>
                <w:rFonts w:ascii="Malgun Gothic" w:hAnsi="Malgun Gothic" w:eastAsia="맑은 고딕"/>
              </w:rPr>
              <w:t>총 투자자 계좌</w:t>
            </w:r>
          </w:p>
        </w:tc>
        <w:tc>
          <w:tcPr>
            <w:tcW w:type="dxa" w:w="4320"/>
          </w:tcPr>
          <w:p>
            <w:pPr/>
            <w:r/>
            <w:r>
              <w:rPr>
                <w:rFonts w:ascii="Malgun Gothic" w:hAnsi="Malgun Gothic" w:eastAsia="맑은 고딕"/>
              </w:rPr>
              <w:t>약 2억 3,700만 개 통합계좌(一码通, 이마통), 2024년 말 기준; 2024년 중 약 1,270만 개 신규 계좌 개설 [Source: CSDC 2024 Statistical Yearbook via Sina Finance]</w:t>
            </w:r>
          </w:p>
        </w:tc>
      </w:tr>
      <w:tr>
        <w:tc>
          <w:tcPr>
            <w:tcW w:type="dxa" w:w="4320"/>
          </w:tcPr>
          <w:p>
            <w:pPr/>
            <w:r/>
            <w:r>
              <w:rPr>
                <w:rFonts w:ascii="Malgun Gothic" w:hAnsi="Malgun Gothic" w:eastAsia="맑은 고딕"/>
              </w:rPr>
              <w:t>수탁증권</w:t>
            </w:r>
          </w:p>
        </w:tc>
        <w:tc>
          <w:tcPr>
            <w:tcW w:type="dxa" w:w="4320"/>
          </w:tcPr>
          <w:p>
            <w:pPr/>
            <w:r/>
            <w:r>
              <w:rPr>
                <w:rFonts w:ascii="Malgun Gothic" w:hAnsi="Malgun Gothic" w:eastAsia="맑은 고딕"/>
              </w:rPr>
              <w:t>11.05경 RMB (상하이+선전 거래소, 2024년 말 기준) [Source: CSDC 2024 Statistical Yearbook]</w:t>
            </w:r>
          </w:p>
        </w:tc>
      </w:tr>
      <w:tr>
        <w:tc>
          <w:tcPr>
            <w:tcW w:type="dxa" w:w="4320"/>
          </w:tcPr>
          <w:p>
            <w:pPr/>
            <w:r/>
            <w:r>
              <w:rPr>
                <w:rFonts w:ascii="Malgun Gothic" w:hAnsi="Malgun Gothic" w:eastAsia="맑은 고딕"/>
              </w:rPr>
              <w:t>CPMI-IOSCO PFMI 준수</w:t>
            </w:r>
          </w:p>
        </w:tc>
        <w:tc>
          <w:tcPr>
            <w:tcW w:type="dxa" w:w="4320"/>
          </w:tcPr>
          <w:p>
            <w:pPr/>
            <w:r/>
            <w:r>
              <w:rPr>
                <w:rFonts w:ascii="Malgun Gothic" w:hAnsi="Malgun Gothic" w:eastAsia="맑은 고딕"/>
              </w:rPr>
              <w:t>중국은 PFMI 평가를 받은 바 있음; CSDC는 서구 CCP 대비 제한적 공시 [unverified -- 전체 PQD 공개 여부 불명확]</w:t>
            </w:r>
          </w:p>
        </w:tc>
      </w:tr>
    </w:tbl>
    <w:p/>
    <w:p>
      <w:pPr>
        <w:ind w:left="720"/>
        <w:shd w:fill="F0F0F0" w:val="clear"/>
      </w:pPr>
      <w:r>
        <w:rPr>
          <w:rFonts w:ascii="Malgun Gothic" w:hAnsi="Malgun Gothic" w:eastAsia="맑은 고딕"/>
          <w:i/>
        </w:rPr>
        <w:t>**KRX/KSD 비교:** CSDC는 CCP와 CSD 기능을 단일 법인에 결합한 반면, 한국은 KRX가 거래소 상장 상품의 CCP 역할을 수행하고 KSD(한국예탁결제원)가 CSD 역할을 수행하는 분리 구조이다. CSDC의 이중 역할은 기능 분리 이전의 유럽 역사적 모델에 더 가깝다.</w:t>
      </w:r>
    </w:p>
    <w:p>
      <w:pPr>
        <w:pStyle w:val="Heading3"/>
      </w:pPr>
      <w:r>
        <w:rPr>
          <w:rFonts w:ascii="Malgun Gothic" w:hAnsi="Malgun Gothic" w:eastAsia="맑은 고딕"/>
        </w:rPr>
        <w:t>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2001 (3월)</w:t>
            </w:r>
          </w:p>
        </w:tc>
        <w:tc>
          <w:tcPr>
            <w:tcW w:type="dxa" w:w="4320"/>
          </w:tcPr>
          <w:p>
            <w:pPr/>
            <w:r/>
            <w:r>
              <w:rPr>
                <w:rFonts w:ascii="Malgun Gothic" w:hAnsi="Malgun Gothic" w:eastAsia="맑은 고딕"/>
              </w:rPr>
              <w:t xml:space="preserve">CSRC 승인을 받아 CSDC 설립, 베이징 본사 </w:t>
            </w:r>
            <w:r>
              <w:rPr>
                <w:rFonts w:ascii="Malgun Gothic" w:hAnsi="Malgun Gothic" w:eastAsia="맑은 고딕"/>
                <w:color w:val="0563C1"/>
                <w:u w:val="single"/>
              </w:rPr>
              <w:t>Source: [Wikipedia</w:t>
            </w:r>
            <w:r>
              <w:rPr>
                <w:rFonts w:ascii="Malgun Gothic" w:hAnsi="Malgun Gothic" w:eastAsia="맑은 고딕"/>
              </w:rPr>
              <w:t>]</w:t>
            </w:r>
          </w:p>
        </w:tc>
      </w:tr>
      <w:tr>
        <w:tc>
          <w:tcPr>
            <w:tcW w:type="dxa" w:w="4320"/>
          </w:tcPr>
          <w:p>
            <w:pPr/>
            <w:r/>
            <w:r>
              <w:rPr>
                <w:rFonts w:ascii="Malgun Gothic" w:hAnsi="Malgun Gothic" w:eastAsia="맑은 고딕"/>
              </w:rPr>
              <w:t>2001 (9월)</w:t>
            </w:r>
          </w:p>
        </w:tc>
        <w:tc>
          <w:tcPr>
            <w:tcW w:type="dxa" w:w="4320"/>
          </w:tcPr>
          <w:p>
            <w:pPr/>
            <w:r/>
            <w:r>
              <w:rPr>
                <w:rFonts w:ascii="Malgun Gothic" w:hAnsi="Malgun Gothic" w:eastAsia="맑은 고딕"/>
              </w:rPr>
              <w:t xml:space="preserve">상하이증권중앙예탁청산공사와 선전증권예탁공사를 CSDC로 통합 </w:t>
            </w:r>
            <w:r>
              <w:rPr>
                <w:rFonts w:ascii="Malgun Gothic" w:hAnsi="Malgun Gothic" w:eastAsia="맑은 고딕"/>
                <w:color w:val="0563C1"/>
                <w:u w:val="single"/>
              </w:rPr>
              <w:t>Source: [Wikipedia</w:t>
            </w:r>
            <w:r>
              <w:rPr>
                <w:rFonts w:ascii="Malgun Gothic" w:hAnsi="Malgun Gothic" w:eastAsia="맑은 고딕"/>
              </w:rPr>
              <w:t>]</w:t>
            </w:r>
          </w:p>
        </w:tc>
      </w:tr>
      <w:tr>
        <w:tc>
          <w:tcPr>
            <w:tcW w:type="dxa" w:w="4320"/>
          </w:tcPr>
          <w:p>
            <w:pPr/>
            <w:r/>
            <w:r>
              <w:rPr>
                <w:rFonts w:ascii="Malgun Gothic" w:hAnsi="Malgun Gothic" w:eastAsia="맑은 고딕"/>
              </w:rPr>
              <w:t>2003 (6월)</w:t>
            </w:r>
          </w:p>
        </w:tc>
        <w:tc>
          <w:tcPr>
            <w:tcW w:type="dxa" w:w="4320"/>
          </w:tcPr>
          <w:p>
            <w:pPr/>
            <w:r/>
            <w:r>
              <w:rPr>
                <w:rFonts w:ascii="Malgun Gothic" w:hAnsi="Malgun Gothic" w:eastAsia="맑은 고딕"/>
              </w:rPr>
              <w:t>CSDC 데이터웨어하우스 프로토타입 시스템 가동</w:t>
            </w:r>
          </w:p>
        </w:tc>
      </w:tr>
      <w:tr>
        <w:tc>
          <w:tcPr>
            <w:tcW w:type="dxa" w:w="4320"/>
          </w:tcPr>
          <w:p>
            <w:pPr/>
            <w:r/>
            <w:r>
              <w:rPr>
                <w:rFonts w:ascii="Malgun Gothic" w:hAnsi="Malgun Gothic" w:eastAsia="맑은 고딕"/>
              </w:rPr>
              <w:t>2007 (12월)</w:t>
            </w:r>
          </w:p>
        </w:tc>
        <w:tc>
          <w:tcPr>
            <w:tcW w:type="dxa" w:w="4320"/>
          </w:tcPr>
          <w:p>
            <w:pPr/>
            <w:r/>
            <w:r>
              <w:rPr>
                <w:rFonts w:ascii="Malgun Gothic" w:hAnsi="Malgun Gothic" w:eastAsia="맑은 고딕"/>
              </w:rPr>
              <w:t>상하이 지사 실시간 청산 시스템 가동</w:t>
            </w:r>
          </w:p>
        </w:tc>
      </w:tr>
      <w:tr>
        <w:tc>
          <w:tcPr>
            <w:tcW w:type="dxa" w:w="4320"/>
          </w:tcPr>
          <w:p>
            <w:pPr/>
            <w:r/>
            <w:r>
              <w:rPr>
                <w:rFonts w:ascii="Malgun Gothic" w:hAnsi="Malgun Gothic" w:eastAsia="맑은 고딕"/>
              </w:rPr>
              <w:t>2014 (11월)</w:t>
            </w:r>
          </w:p>
        </w:tc>
        <w:tc>
          <w:tcPr>
            <w:tcW w:type="dxa" w:w="4320"/>
          </w:tcPr>
          <w:p>
            <w:pPr/>
            <w:r/>
            <w:r>
              <w:rPr>
                <w:rFonts w:ascii="Malgun Gothic" w:hAnsi="Malgun Gothic" w:eastAsia="맑은 고딕"/>
              </w:rPr>
              <w:t xml:space="preserve">후강통(Shanghai-Hong Kong Stock Connect) 개시; CSDC와 HKSCC 간 상호 청산 링크 구축 </w:t>
            </w:r>
            <w:r>
              <w:rPr>
                <w:rFonts w:ascii="Malgun Gothic" w:hAnsi="Malgun Gothic" w:eastAsia="맑은 고딕"/>
                <w:color w:val="0563C1"/>
                <w:u w:val="single"/>
              </w:rPr>
              <w:t>Source: [SFC HK Joint Announcement</w:t>
            </w:r>
            <w:r>
              <w:rPr>
                <w:rFonts w:ascii="Malgun Gothic" w:hAnsi="Malgun Gothic" w:eastAsia="맑은 고딕"/>
              </w:rPr>
              <w:t>]</w:t>
            </w:r>
          </w:p>
        </w:tc>
      </w:tr>
      <w:tr>
        <w:tc>
          <w:tcPr>
            <w:tcW w:type="dxa" w:w="4320"/>
          </w:tcPr>
          <w:p>
            <w:pPr/>
            <w:r/>
            <w:r>
              <w:rPr>
                <w:rFonts w:ascii="Malgun Gothic" w:hAnsi="Malgun Gothic" w:eastAsia="맑은 고딕"/>
              </w:rPr>
              <w:t>2016 (12월)</w:t>
            </w:r>
          </w:p>
        </w:tc>
        <w:tc>
          <w:tcPr>
            <w:tcW w:type="dxa" w:w="4320"/>
          </w:tcPr>
          <w:p>
            <w:pPr/>
            <w:r/>
            <w:r>
              <w:rPr>
                <w:rFonts w:ascii="Malgun Gothic" w:hAnsi="Malgun Gothic" w:eastAsia="맑은 고딕"/>
              </w:rPr>
              <w:t>선강통(Shenzhen-Hong Kong Stock Connect) 개시; CSDC의 HKSCC 청산 링크 확장</w:t>
            </w:r>
          </w:p>
        </w:tc>
      </w:tr>
      <w:tr>
        <w:tc>
          <w:tcPr>
            <w:tcW w:type="dxa" w:w="4320"/>
          </w:tcPr>
          <w:p>
            <w:pPr/>
            <w:r/>
            <w:r>
              <w:rPr>
                <w:rFonts w:ascii="Malgun Gothic" w:hAnsi="Malgun Gothic" w:eastAsia="맑은 고딕"/>
              </w:rPr>
              <w:t>2022 (1월)</w:t>
            </w:r>
          </w:p>
        </w:tc>
        <w:tc>
          <w:tcPr>
            <w:tcW w:type="dxa" w:w="4320"/>
          </w:tcPr>
          <w:p>
            <w:pPr/>
            <w:r/>
            <w:r>
              <w:rPr>
                <w:rFonts w:ascii="Malgun Gothic" w:hAnsi="Malgun Gothic" w:eastAsia="맑은 고딕"/>
              </w:rPr>
              <w:t xml:space="preserve">CSRC, A주 결제의 DVP 개혁 공식 시행 </w:t>
            </w:r>
            <w:r>
              <w:rPr>
                <w:rFonts w:ascii="Malgun Gothic" w:hAnsi="Malgun Gothic" w:eastAsia="맑은 고딕"/>
                <w:color w:val="0563C1"/>
                <w:u w:val="single"/>
              </w:rPr>
              <w:t>Source: [WFE Focus</w:t>
            </w:r>
            <w:r>
              <w:rPr>
                <w:rFonts w:ascii="Malgun Gothic" w:hAnsi="Malgun Gothic" w:eastAsia="맑은 고딕"/>
              </w:rPr>
              <w:t>]</w:t>
            </w:r>
          </w:p>
        </w:tc>
      </w:tr>
      <w:tr>
        <w:tc>
          <w:tcPr>
            <w:tcW w:type="dxa" w:w="4320"/>
          </w:tcPr>
          <w:p>
            <w:pPr/>
            <w:r/>
            <w:r>
              <w:rPr>
                <w:rFonts w:ascii="Malgun Gothic" w:hAnsi="Malgun Gothic" w:eastAsia="맑은 고딕"/>
              </w:rPr>
              <w:t>2024 (4월)</w:t>
            </w:r>
          </w:p>
        </w:tc>
        <w:tc>
          <w:tcPr>
            <w:tcW w:type="dxa" w:w="4320"/>
          </w:tcPr>
          <w:p>
            <w:pPr/>
            <w:r/>
            <w:r>
              <w:rPr>
                <w:rFonts w:ascii="Malgun Gothic" w:hAnsi="Malgun Gothic" w:eastAsia="맑은 고딕"/>
              </w:rPr>
              <w:t xml:space="preserve">CSDC, 최저결제준비금 비율을 18%에서 16%로 인하하여 시장 비용 절감 </w:t>
            </w:r>
            <w:r>
              <w:rPr>
                <w:rFonts w:ascii="Malgun Gothic" w:hAnsi="Malgun Gothic" w:eastAsia="맑은 고딕"/>
                <w:color w:val="0563C1"/>
                <w:u w:val="single"/>
              </w:rPr>
              <w:t>Source: [Xinhua Silk Road</w:t>
            </w:r>
            <w:r>
              <w:rPr>
                <w:rFonts w:ascii="Malgun Gothic" w:hAnsi="Malgun Gothic" w:eastAsia="맑은 고딕"/>
              </w:rPr>
              <w:t>]</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 xml:space="preserve">Bond Connect CSD 링크 확대 -- PBOC와 HKMA 간 다통화 결제(CNY, HKD, USD, EUR) 및 결제시간 연장 MoU </w:t>
            </w:r>
            <w:r>
              <w:rPr>
                <w:rFonts w:ascii="Malgun Gothic" w:hAnsi="Malgun Gothic" w:eastAsia="맑은 고딕"/>
                <w:color w:val="0563C1"/>
                <w:u w:val="single"/>
              </w:rPr>
              <w:t>Source: [Chambers Debt Finance 2025 Guide</w:t>
            </w:r>
            <w:r>
              <w:rPr>
                <w:rFonts w:ascii="Malgun Gothic" w:hAnsi="Malgun Gothic" w:eastAsia="맑은 고딕"/>
              </w:rPr>
              <w:t>]</w:t>
            </w:r>
          </w:p>
        </w:tc>
      </w:tr>
    </w:tbl>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CSDC는 중국 내 모든 거래소 상장 증권의 중앙청산소(CCP)로서, 매매 체결 시 모든 매도자에 대한 매수자이자 모든 매수자에 대한 매도자가 된다. CCP 기능의 적용 범위는 다음과 같다: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부문</w:t>
            </w:r>
          </w:p>
        </w:tc>
        <w:tc>
          <w:tcPr>
            <w:tcW w:type="dxa" w:w="2880"/>
            <w:shd w:fill="4472C4" w:val="clear"/>
          </w:tcPr>
          <w:p>
            <w:pPr/>
            <w:r>
              <w:rPr>
                <w:b/>
                <w:color w:val="FFFFFF"/>
              </w:rPr>
            </w:r>
            <w:r>
              <w:rPr>
                <w:rFonts w:ascii="Malgun Gothic" w:hAnsi="Malgun Gothic" w:eastAsia="맑은 고딕"/>
                <w:b/>
                <w:color w:val="FFFFFF"/>
              </w:rPr>
              <w:t>상품</w:t>
            </w:r>
          </w:p>
        </w:tc>
        <w:tc>
          <w:tcPr>
            <w:tcW w:type="dxa" w:w="2880"/>
            <w:shd w:fill="4472C4" w:val="clear"/>
          </w:tcPr>
          <w:p>
            <w:pPr/>
            <w:r>
              <w:rPr>
                <w:b/>
                <w:color w:val="FFFFFF"/>
              </w:rPr>
            </w:r>
            <w:r>
              <w:rPr>
                <w:rFonts w:ascii="Malgun Gothic" w:hAnsi="Malgun Gothic" w:eastAsia="맑은 고딕"/>
                <w:b/>
                <w:color w:val="FFFFFF"/>
              </w:rPr>
              <w:t>거래소</w:t>
            </w:r>
          </w:p>
        </w:tc>
      </w:tr>
      <w:tr>
        <w:tc>
          <w:tcPr>
            <w:tcW w:type="dxa" w:w="2880"/>
          </w:tcPr>
          <w:p>
            <w:pPr/>
            <w:r/>
            <w:r>
              <w:rPr>
                <w:rFonts w:ascii="Malgun Gothic" w:hAnsi="Malgun Gothic" w:eastAsia="맑은 고딕"/>
              </w:rPr>
              <w:t>주식</w:t>
            </w:r>
          </w:p>
        </w:tc>
        <w:tc>
          <w:tcPr>
            <w:tcW w:type="dxa" w:w="2880"/>
          </w:tcPr>
          <w:p>
            <w:pPr/>
            <w:r/>
            <w:r>
              <w:rPr>
                <w:rFonts w:ascii="Malgun Gothic" w:hAnsi="Malgun Gothic" w:eastAsia="맑은 고딕"/>
              </w:rPr>
              <w:t>A주, B주, CDR</w:t>
            </w:r>
          </w:p>
        </w:tc>
        <w:tc>
          <w:tcPr>
            <w:tcW w:type="dxa" w:w="2880"/>
          </w:tcPr>
          <w:p>
            <w:pPr/>
            <w:r/>
            <w:r>
              <w:rPr>
                <w:rFonts w:ascii="Malgun Gothic" w:hAnsi="Malgun Gothic" w:eastAsia="맑은 고딕"/>
              </w:rPr>
              <w:t>SSE, SZSE, BSE</w:t>
            </w:r>
          </w:p>
        </w:tc>
      </w:tr>
      <w:tr>
        <w:tc>
          <w:tcPr>
            <w:tcW w:type="dxa" w:w="2880"/>
          </w:tcPr>
          <w:p>
            <w:pPr/>
            <w:r/>
            <w:r>
              <w:rPr>
                <w:rFonts w:ascii="Malgun Gothic" w:hAnsi="Malgun Gothic" w:eastAsia="맑은 고딕"/>
              </w:rPr>
              <w:t>채권</w:t>
            </w:r>
          </w:p>
        </w:tc>
        <w:tc>
          <w:tcPr>
            <w:tcW w:type="dxa" w:w="2880"/>
          </w:tcPr>
          <w:p>
            <w:pPr/>
            <w:r/>
            <w:r>
              <w:rPr>
                <w:rFonts w:ascii="Malgun Gothic" w:hAnsi="Malgun Gothic" w:eastAsia="맑은 고딕"/>
              </w:rPr>
              <w:t>국채, 회사채, 전환사채</w:t>
            </w:r>
          </w:p>
        </w:tc>
        <w:tc>
          <w:tcPr>
            <w:tcW w:type="dxa" w:w="2880"/>
          </w:tcPr>
          <w:p>
            <w:pPr/>
            <w:r/>
            <w:r>
              <w:rPr>
                <w:rFonts w:ascii="Malgun Gothic" w:hAnsi="Malgun Gothic" w:eastAsia="맑은 고딕"/>
              </w:rPr>
              <w:t>SSE, SZSE</w:t>
            </w:r>
          </w:p>
        </w:tc>
      </w:tr>
      <w:tr>
        <w:tc>
          <w:tcPr>
            <w:tcW w:type="dxa" w:w="2880"/>
          </w:tcPr>
          <w:p>
            <w:pPr/>
            <w:r/>
            <w:r>
              <w:rPr>
                <w:rFonts w:ascii="Malgun Gothic" w:hAnsi="Malgun Gothic" w:eastAsia="맑은 고딕"/>
              </w:rPr>
              <w:t>펀드</w:t>
            </w:r>
          </w:p>
        </w:tc>
        <w:tc>
          <w:tcPr>
            <w:tcW w:type="dxa" w:w="2880"/>
          </w:tcPr>
          <w:p>
            <w:pPr/>
            <w:r/>
            <w:r>
              <w:rPr>
                <w:rFonts w:ascii="Malgun Gothic" w:hAnsi="Malgun Gothic" w:eastAsia="맑은 고딕"/>
              </w:rPr>
              <w:t>ETF, LOF, 폐쇄형 펀드</w:t>
            </w:r>
          </w:p>
        </w:tc>
        <w:tc>
          <w:tcPr>
            <w:tcW w:type="dxa" w:w="2880"/>
          </w:tcPr>
          <w:p>
            <w:pPr/>
            <w:r/>
            <w:r>
              <w:rPr>
                <w:rFonts w:ascii="Malgun Gothic" w:hAnsi="Malgun Gothic" w:eastAsia="맑은 고딕"/>
              </w:rPr>
              <w:t>SSE, SZSE</w:t>
            </w:r>
          </w:p>
        </w:tc>
      </w:tr>
      <w:tr>
        <w:tc>
          <w:tcPr>
            <w:tcW w:type="dxa" w:w="2880"/>
          </w:tcPr>
          <w:p>
            <w:pPr/>
            <w:r/>
            <w:r>
              <w:rPr>
                <w:rFonts w:ascii="Malgun Gothic" w:hAnsi="Malgun Gothic" w:eastAsia="맑은 고딕"/>
              </w:rPr>
              <w:t>파생상품</w:t>
            </w:r>
          </w:p>
        </w:tc>
        <w:tc>
          <w:tcPr>
            <w:tcW w:type="dxa" w:w="2880"/>
          </w:tcPr>
          <w:p>
            <w:pPr/>
            <w:r/>
            <w:r>
              <w:rPr>
                <w:rFonts w:ascii="Malgun Gothic" w:hAnsi="Malgun Gothic" w:eastAsia="맑은 고딕"/>
              </w:rPr>
              <w:t>주식옵션 (예: SSE 50 ETF 옵션, CSI 300 ETF 옵션)</w:t>
            </w:r>
          </w:p>
        </w:tc>
        <w:tc>
          <w:tcPr>
            <w:tcW w:type="dxa" w:w="2880"/>
          </w:tcPr>
          <w:p>
            <w:pPr/>
            <w:r/>
            <w:r>
              <w:rPr>
                <w:rFonts w:ascii="Malgun Gothic" w:hAnsi="Malgun Gothic" w:eastAsia="맑은 고딕"/>
              </w:rPr>
              <w:t>SSE, SZSE</w:t>
            </w:r>
          </w:p>
        </w:tc>
      </w:tr>
      <w:tr>
        <w:tc>
          <w:tcPr>
            <w:tcW w:type="dxa" w:w="2880"/>
          </w:tcPr>
          <w:p>
            <w:pPr/>
            <w:r/>
            <w:r>
              <w:rPr>
                <w:rFonts w:ascii="Malgun Gothic" w:hAnsi="Malgun Gothic" w:eastAsia="맑은 고딕"/>
              </w:rPr>
              <w:t>기타</w:t>
            </w:r>
          </w:p>
        </w:tc>
        <w:tc>
          <w:tcPr>
            <w:tcW w:type="dxa" w:w="2880"/>
          </w:tcPr>
          <w:p>
            <w:pPr/>
            <w:r/>
            <w:r>
              <w:rPr>
                <w:rFonts w:ascii="Malgun Gothic" w:hAnsi="Malgun Gothic" w:eastAsia="맑은 고딕"/>
              </w:rPr>
              <w:t>신용거래 증권, 자산유동화증권</w:t>
            </w:r>
          </w:p>
        </w:tc>
        <w:tc>
          <w:tcPr>
            <w:tcW w:type="dxa" w:w="2880"/>
          </w:tcPr>
          <w:p>
            <w:pPr/>
            <w:r/>
            <w:r>
              <w:rPr>
                <w:rFonts w:ascii="Malgun Gothic" w:hAnsi="Malgun Gothic" w:eastAsia="맑은 고딕"/>
              </w:rPr>
              <w:t>SSE, SZSE</w:t>
            </w:r>
          </w:p>
        </w:tc>
      </w:tr>
    </w:tbl>
    <w:p/>
    <w:p>
      <w:r>
        <w:rPr>
          <w:rFonts w:ascii="Malgun Gothic" w:hAnsi="Malgun Gothic" w:eastAsia="맑은 고딕"/>
          <w:color w:val="0563C1"/>
          <w:u w:val="single"/>
        </w:rPr>
        <w:t>Source: [CSDC Company Profile</w:t>
      </w:r>
      <w:r>
        <w:rPr>
          <w:rFonts w:ascii="Malgun Gothic" w:hAnsi="Malgun Gothic" w:eastAsia="맑은 고딕"/>
        </w:rPr>
        <w:t xml:space="preserve">; </w:t>
      </w:r>
      <w:r>
        <w:rPr>
          <w:rFonts w:ascii="Malgun Gothic" w:hAnsi="Malgun Gothic" w:eastAsia="맑은 고딕"/>
          <w:color w:val="0563C1"/>
          <w:u w:val="single"/>
        </w:rPr>
        <w:t>SSE Clearing and Settlement</w:t>
      </w:r>
      <w:r>
        <w:rPr>
          <w:rFonts w:ascii="Malgun Gothic" w:hAnsi="Malgun Gothic" w:eastAsia="맑은 고딕"/>
        </w:rPr>
        <w:t>]</w:t>
      </w:r>
    </w:p>
    <w:p>
      <w:pPr>
        <w:ind w:left="720"/>
        <w:shd w:fill="F0F0F0" w:val="clear"/>
      </w:pPr>
      <w:r>
        <w:rPr>
          <w:rFonts w:ascii="Malgun Gothic" w:hAnsi="Malgun Gothic" w:eastAsia="맑은 고딕"/>
          <w:i/>
        </w:rPr>
        <w:t>**참고:** CSDC는 금융선물이나 상품파생상품은 청산하지 **않는다** -- 이들은 각각 중국금융선물거래소(CFFEX)와 상품거래소(상하이선물거래소, 다롄상품거래소, 정저우상품거래소)가 자체 청산소를 통해 처리한다. 이는 단일 CCP가 주식과 상장파생상품 모두를 청산하는 KRX와 대조적이다.</w:t>
      </w:r>
    </w:p>
    <w:p>
      <w:pPr>
        <w:pStyle w:val="Heading3"/>
      </w:pPr>
      <w:r>
        <w:rPr>
          <w:rFonts w:ascii="Malgun Gothic" w:hAnsi="Malgun Gothic" w:eastAsia="맑은 고딕"/>
        </w:rPr>
        <w:t>2.3 차감 (Netting)</w:t>
      </w:r>
    </w:p>
    <w:p>
      <w:r>
        <w:rPr>
          <w:rFonts w:ascii="Malgun Gothic" w:hAnsi="Malgun Gothic" w:eastAsia="맑은 고딕"/>
        </w:rPr>
        <w:t xml:space="preserve">CSDC는 거래소 상장 증권의 주요 청산 방식으로 </w:t>
      </w:r>
      <w:r>
        <w:rPr>
          <w:rFonts w:ascii="Malgun Gothic" w:hAnsi="Malgun Gothic" w:eastAsia="맑은 고딕"/>
          <w:b/>
        </w:rPr>
        <w:t>다자간차감(multilateral netting)</w:t>
      </w:r>
      <w:r>
        <w:rPr>
          <w:rFonts w:ascii="Malgun Gothic" w:hAnsi="Malgun Gothic" w:eastAsia="맑은 고딕"/>
        </w:rPr>
        <w:t>을 적용한다:</w:t>
      </w:r>
    </w:p>
    <w:p>
      <w:pPr>
        <w:pStyle w:val="ListBullet"/>
      </w:pPr>
      <w:r>
        <w:rPr>
          <w:rFonts w:ascii="Malgun Gothic" w:hAnsi="Malgun Gothic" w:eastAsia="맑은 고딕"/>
          <w:b/>
        </w:rPr>
        <w:t>증권 차감:</w:t>
      </w:r>
      <w:r>
        <w:rPr>
          <w:rFonts w:ascii="Malgun Gothic" w:hAnsi="Malgun Gothic" w:eastAsia="맑은 고딕"/>
        </w:rPr>
        <w:t xml:space="preserve"> 동일 결제일의 동일 종목에 대해 각 청산참가자별 순의무를 산출</w:t>
      </w:r>
    </w:p>
    <w:p>
      <w:pPr>
        <w:pStyle w:val="ListBullet"/>
      </w:pPr>
      <w:r>
        <w:rPr>
          <w:rFonts w:ascii="Malgun Gothic" w:hAnsi="Malgun Gothic" w:eastAsia="맑은 고딕"/>
          <w:b/>
        </w:rPr>
        <w:t>대금 차감:</w:t>
      </w:r>
      <w:r>
        <w:rPr>
          <w:rFonts w:ascii="Malgun Gothic" w:hAnsi="Malgun Gothic" w:eastAsia="맑은 고딕"/>
        </w:rPr>
        <w:t xml:space="preserve"> 각 참가자의 특정 결제일 전체 거래에 대한 순지급의무를 산출</w:t>
      </w:r>
    </w:p>
    <w:p>
      <w:pPr>
        <w:pStyle w:val="ListBullet"/>
      </w:pPr>
      <w:r>
        <w:rPr>
          <w:rFonts w:ascii="Malgun Gothic" w:hAnsi="Malgun Gothic" w:eastAsia="맑은 고딕"/>
        </w:rPr>
        <w:t xml:space="preserve">CSDC는 CCP로서 개입하여 다자간차감을 통한 </w:t>
      </w:r>
      <w:r>
        <w:rPr>
          <w:rFonts w:ascii="Malgun Gothic" w:hAnsi="Malgun Gothic" w:eastAsia="맑은 고딕"/>
          <w:b/>
        </w:rPr>
        <w:t>결제 보증</w:t>
      </w:r>
      <w:r>
        <w:rPr>
          <w:rFonts w:ascii="Malgun Gothic" w:hAnsi="Malgun Gothic" w:eastAsia="맑은 고딕"/>
        </w:rPr>
        <w:t xml:space="preserve"> 제공</w:t>
      </w:r>
    </w:p>
    <w:p>
      <w:pPr>
        <w:pStyle w:val="ListBullet"/>
      </w:pPr>
      <w:r>
        <w:rPr>
          <w:rFonts w:ascii="Malgun Gothic" w:hAnsi="Malgun Gothic" w:eastAsia="맑은 고딕"/>
        </w:rPr>
        <w:t>차감 프로세스는 장마감 후 실행되며, T+1 결제를 위한 순포지션 산출</w:t>
      </w:r>
    </w:p>
    <w:p>
      <w:r>
        <w:rPr>
          <w:rFonts w:ascii="Malgun Gothic" w:hAnsi="Malgun Gothic" w:eastAsia="맑은 고딕"/>
          <w:color w:val="0563C1"/>
          <w:u w:val="single"/>
        </w:rPr>
        <w:t>Source: [SSE Clearing and Settlement</w:t>
      </w:r>
      <w:r>
        <w:rPr>
          <w:rFonts w:ascii="Malgun Gothic" w:hAnsi="Malgun Gothic" w:eastAsia="맑은 고딕"/>
        </w:rPr>
        <w:t xml:space="preserve">; </w:t>
      </w:r>
      <w:r>
        <w:rPr>
          <w:rFonts w:ascii="Malgun Gothic" w:hAnsi="Malgun Gothic" w:eastAsia="맑은 고딕"/>
          <w:color w:val="0563C1"/>
          <w:u w:val="single"/>
        </w:rPr>
        <w:t>CSDC Settlement Rules</w:t>
      </w:r>
      <w:r>
        <w:rPr>
          <w:rFonts w:ascii="Malgun Gothic" w:hAnsi="Malgun Gothic" w:eastAsia="맑은 고딕"/>
        </w:rPr>
        <w:t>]</w:t>
      </w:r>
    </w:p>
    <w:p>
      <w:pPr>
        <w:ind w:left="720"/>
        <w:shd w:fill="F0F0F0" w:val="clear"/>
      </w:pPr>
      <w:r>
        <w:rPr>
          <w:rFonts w:ascii="Malgun Gothic" w:hAnsi="Malgun Gothic" w:eastAsia="맑은 고딕"/>
          <w:i/>
        </w:rPr>
        <w:t>**KRX/KSD 비교:** CSDC와 KRX 모두 주식 거래에 다자간차감을 적용한다. KRX도 마찬가지로 CCP로 개입하여 참가자 전체의 의무를 차감한다. 차감 방법론은 개념적으로 유사하나, KRX는 T+2 결제주기(2024년 이후)를 운영하는 반면 CSDC는 T+1을 사용한다.</w:t>
      </w:r>
    </w:p>
    <w:p>
      <w:pPr>
        <w:pStyle w:val="Heading3"/>
      </w:pPr>
      <w:r>
        <w:rPr>
          <w:rFonts w:ascii="Malgun Gothic" w:hAnsi="Malgun Gothic" w:eastAsia="맑은 고딕"/>
        </w:rPr>
        <w:t>2.4 청산 회원 자격 (Clearing Membership)</w:t>
      </w:r>
    </w:p>
    <w:p>
      <w:r>
        <w:rPr>
          <w:rFonts w:ascii="Malgun Gothic" w:hAnsi="Malgun Gothic" w:eastAsia="맑은 고딕"/>
        </w:rPr>
        <w:t>CSDC는 계층화된 청산참가자 구조를 운영한다: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유형</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청산참가자 (Clearing Participants)</w:t>
            </w:r>
          </w:p>
        </w:tc>
        <w:tc>
          <w:tcPr>
            <w:tcW w:type="dxa" w:w="4320"/>
          </w:tcPr>
          <w:p>
            <w:pPr/>
            <w:r/>
            <w:r>
              <w:rPr>
                <w:rFonts w:ascii="Malgun Gothic" w:hAnsi="Malgun Gothic" w:eastAsia="맑은 고딕"/>
              </w:rPr>
              <w:t>CSDC와 직접 결제하는 증권사, 은행 및 기타 기관</w:t>
            </w:r>
          </w:p>
        </w:tc>
      </w:tr>
      <w:tr>
        <w:tc>
          <w:tcPr>
            <w:tcW w:type="dxa" w:w="4320"/>
          </w:tcPr>
          <w:p>
            <w:pPr/>
            <w:r/>
            <w:r>
              <w:rPr>
                <w:rFonts w:ascii="Malgun Gothic" w:hAnsi="Malgun Gothic" w:eastAsia="맑은 고딕"/>
                <w:b/>
              </w:rPr>
              <w:t>결제은행 (Settlement Banks)</w:t>
            </w:r>
          </w:p>
        </w:tc>
        <w:tc>
          <w:tcPr>
            <w:tcW w:type="dxa" w:w="4320"/>
          </w:tcPr>
          <w:p>
            <w:pPr/>
            <w:r/>
            <w:r>
              <w:rPr>
                <w:rFonts w:ascii="Malgun Gothic" w:hAnsi="Malgun Gothic" w:eastAsia="맑은 고딕"/>
              </w:rPr>
              <w:t>자금결제 서비스를 제공하는 지정 상업은행 (공상은행, 건설은행, 농업은행, 중국은행 등 포함)</w:t>
            </w:r>
          </w:p>
        </w:tc>
      </w:tr>
      <w:tr>
        <w:tc>
          <w:tcPr>
            <w:tcW w:type="dxa" w:w="4320"/>
          </w:tcPr>
          <w:p>
            <w:pPr/>
            <w:r/>
            <w:r>
              <w:rPr>
                <w:rFonts w:ascii="Malgun Gothic" w:hAnsi="Malgun Gothic" w:eastAsia="맑은 고딕"/>
                <w:b/>
              </w:rPr>
              <w:t>수탁은행 (Custodian Banks)</w:t>
            </w:r>
          </w:p>
        </w:tc>
        <w:tc>
          <w:tcPr>
            <w:tcW w:type="dxa" w:w="4320"/>
          </w:tcPr>
          <w:p>
            <w:pPr/>
            <w:r/>
            <w:r>
              <w:rPr>
                <w:rFonts w:ascii="Malgun Gothic" w:hAnsi="Malgun Gothic" w:eastAsia="맑은 고딕"/>
              </w:rPr>
              <w:t>QFII/RQFII 투자자에 대한 증권수탁 서비스 승인 은행</w:t>
            </w:r>
          </w:p>
        </w:tc>
      </w:tr>
    </w:tbl>
    <w:p/>
    <w:p>
      <w:pPr>
        <w:pStyle w:val="ListBullet"/>
      </w:pPr>
      <w:r>
        <w:rPr>
          <w:rFonts w:ascii="Malgun Gothic" w:hAnsi="Malgun Gothic" w:eastAsia="맑은 고딕"/>
        </w:rPr>
        <w:t>CSDC 상하이 지사는 SSE 상장 증권의 청산 처리</w:t>
      </w:r>
    </w:p>
    <w:p>
      <w:pPr>
        <w:pStyle w:val="ListBullet"/>
      </w:pPr>
      <w:r>
        <w:rPr>
          <w:rFonts w:ascii="Malgun Gothic" w:hAnsi="Malgun Gothic" w:eastAsia="맑은 고딕"/>
        </w:rPr>
        <w:t>CSDC 선전 지사는 SZSE 상장 증권의 청산 처리</w:t>
      </w:r>
    </w:p>
    <w:p>
      <w:pPr>
        <w:pStyle w:val="ListBullet"/>
      </w:pPr>
      <w:r>
        <w:rPr>
          <w:rFonts w:ascii="Malgun Gothic" w:hAnsi="Malgun Gothic" w:eastAsia="맑은 고딕"/>
        </w:rPr>
        <w:t>CSDC 베이징 데이터 지사는 BSE 및 NEEQ (신삼판) 청산 처리</w:t>
      </w:r>
    </w:p>
    <w:p>
      <w:r>
        <w:rPr>
          <w:rFonts w:ascii="Malgun Gothic" w:hAnsi="Malgun Gothic" w:eastAsia="맑은 고딕"/>
          <w:color w:val="0563C1"/>
          <w:u w:val="single"/>
        </w:rPr>
        <w:t>Source: [CSDC Company Profile</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p>
      <w:r>
        <w:rPr>
          <w:rFonts w:ascii="Malgun Gothic" w:hAnsi="Malgun Gothic" w:eastAsia="맑은 고딕"/>
        </w:rPr>
        <w:t>CSDC는 결제 안정성 확보를 위해 여러 리스크 관리 수단을 활용한다: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수단</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결제준비금 (Settlement Reserve Fund, 结算备付金)</w:t>
            </w:r>
          </w:p>
        </w:tc>
        <w:tc>
          <w:tcPr>
            <w:tcW w:type="dxa" w:w="4320"/>
          </w:tcPr>
          <w:p>
            <w:pPr/>
            <w:r/>
            <w:r>
              <w:rPr>
                <w:rFonts w:ascii="Malgun Gothic" w:hAnsi="Malgun Gothic" w:eastAsia="맑은 고딕"/>
              </w:rPr>
              <w:t xml:space="preserve">청산참가자가 CSDC에 유지해야 하는 의무적 최저 현금준비금. 주식 관련 업무에 대해 2024년 4월 최저 비율 18%에서 16%로 인하 </w:t>
            </w:r>
            <w:r>
              <w:rPr>
                <w:rFonts w:ascii="Malgun Gothic" w:hAnsi="Malgun Gothic" w:eastAsia="맑은 고딕"/>
                <w:color w:val="0563C1"/>
                <w:u w:val="single"/>
              </w:rPr>
              <w:t>Source: [Xinhua Silk Road</w:t>
            </w:r>
            <w:r>
              <w:rPr>
                <w:rFonts w:ascii="Malgun Gothic" w:hAnsi="Malgun Gothic" w:eastAsia="맑은 고딕"/>
              </w:rPr>
              <w:t>]</w:t>
            </w:r>
          </w:p>
        </w:tc>
      </w:tr>
      <w:tr>
        <w:tc>
          <w:tcPr>
            <w:tcW w:type="dxa" w:w="4320"/>
          </w:tcPr>
          <w:p>
            <w:pPr/>
            <w:r/>
            <w:r>
              <w:rPr>
                <w:rFonts w:ascii="Malgun Gothic" w:hAnsi="Malgun Gothic" w:eastAsia="맑은 고딕"/>
                <w:b/>
              </w:rPr>
              <w:t>결제보증금 (Settlement Guarantee Fund, 结算保证金)</w:t>
            </w:r>
          </w:p>
        </w:tc>
        <w:tc>
          <w:tcPr>
            <w:tcW w:type="dxa" w:w="4320"/>
          </w:tcPr>
          <w:p>
            <w:pPr/>
            <w:r/>
            <w:r>
              <w:rPr>
                <w:rFonts w:ascii="Malgun Gothic" w:hAnsi="Malgun Gothic" w:eastAsia="맑은 고딕"/>
              </w:rPr>
              <w:t>잠재적 불이행 손실 보전을 위해 청산참가자가 출연하는 공동기금</w:t>
            </w:r>
          </w:p>
        </w:tc>
      </w:tr>
      <w:tr>
        <w:tc>
          <w:tcPr>
            <w:tcW w:type="dxa" w:w="4320"/>
          </w:tcPr>
          <w:p>
            <w:pPr/>
            <w:r/>
            <w:r>
              <w:rPr>
                <w:rFonts w:ascii="Malgun Gothic" w:hAnsi="Malgun Gothic" w:eastAsia="맑은 고딕"/>
                <w:b/>
              </w:rPr>
              <w:t>시가평가 (Mark-to-Market)</w:t>
            </w:r>
          </w:p>
        </w:tc>
        <w:tc>
          <w:tcPr>
            <w:tcW w:type="dxa" w:w="4320"/>
          </w:tcPr>
          <w:p>
            <w:pPr/>
            <w:r/>
            <w:r>
              <w:rPr>
                <w:rFonts w:ascii="Malgun Gothic" w:hAnsi="Malgun Gothic" w:eastAsia="맑은 고딕"/>
              </w:rPr>
              <w:t>미결제 포지션의 일일 시가평가 및 증거금 추가 징수</w:t>
            </w:r>
          </w:p>
        </w:tc>
      </w:tr>
      <w:tr>
        <w:tc>
          <w:tcPr>
            <w:tcW w:type="dxa" w:w="4320"/>
          </w:tcPr>
          <w:p>
            <w:pPr/>
            <w:r/>
            <w:r>
              <w:rPr>
                <w:rFonts w:ascii="Malgun Gothic" w:hAnsi="Malgun Gothic" w:eastAsia="맑은 고딕"/>
                <w:b/>
              </w:rPr>
              <w:t>DVP 연계</w:t>
            </w:r>
          </w:p>
        </w:tc>
        <w:tc>
          <w:tcPr>
            <w:tcW w:type="dxa" w:w="4320"/>
          </w:tcPr>
          <w:p>
            <w:pPr/>
            <w:r/>
            <w:r>
              <w:rPr>
                <w:rFonts w:ascii="Malgun Gothic" w:hAnsi="Malgun Gothic" w:eastAsia="맑은 고딕"/>
              </w:rPr>
              <w:t>2022년 개혁 이후, 증권 인도는 대금 지급에 연계되며 그 반대도 동일하여 원금 리스크 제거</w:t>
            </w:r>
          </w:p>
        </w:tc>
      </w:tr>
    </w:tbl>
    <w:p/>
    <w:p>
      <w:pPr>
        <w:pStyle w:val="ListBullet"/>
      </w:pPr>
      <w:r>
        <w:rPr>
          <w:rFonts w:ascii="Malgun Gothic" w:hAnsi="Malgun Gothic" w:eastAsia="맑은 고딕"/>
          <w:b/>
        </w:rPr>
        <w:t>주식옵션 청산</w:t>
      </w:r>
      <w:r>
        <w:rPr>
          <w:rFonts w:ascii="Malgun Gothic" w:hAnsi="Malgun Gothic" w:eastAsia="맑은 고딕"/>
        </w:rPr>
        <w:t>에 대해서는 국제 관행과 유사한 개시증거금, 유지증거금, 변동증거금 요건을 적용 [unverified -- 구체적 방법론은 영어 공개자료 미확인]</w:t>
      </w:r>
    </w:p>
    <w:p>
      <w:pPr>
        <w:ind w:left="720"/>
        <w:shd w:fill="F0F0F0" w:val="clear"/>
      </w:pPr>
      <w:r>
        <w:rPr>
          <w:rFonts w:ascii="Malgun Gothic" w:hAnsi="Malgun Gothic" w:eastAsia="맑은 고딕"/>
          <w:i/>
        </w:rPr>
        <w:t>**KRX 비교:** KRX의 리스크 관리 체계에는 개시증거금(KOSPI200 옵션은 SPAN 유사 방법론 적용), 결제적립금, 손해배상공동기금이 포함된다. CSDC의 결제준비금 비율 메커니즘(비율 기반 최저한도)은 중국 고유의 방식이며, KRX는 포트폴리오 리스크 모델을 기반으로 증거금을 산출한다.</w:t>
      </w:r>
    </w:p>
    <w:p>
      <w:pPr>
        <w:pStyle w:val="Heading3"/>
      </w:pPr>
      <w:r>
        <w:rPr>
          <w:rFonts w:ascii="Malgun Gothic" w:hAnsi="Malgun Gothic" w:eastAsia="맑은 고딕"/>
        </w:rPr>
        <w:t>3.3 손실부담순서 (Default Waterfall)</w:t>
      </w:r>
    </w:p>
    <w:p>
      <w:r>
        <w:rPr>
          <w:rFonts w:ascii="Malgun Gothic" w:hAnsi="Malgun Gothic" w:eastAsia="맑은 고딕"/>
        </w:rPr>
        <w:t>CSDC의 불이행 관리는 다음의 일반적 순서를 따른다 [unverified -- 추론된 규제 체계에 기반한 구체적 구조]:</w:t>
      </w:r>
    </w:p>
    <w:p>
      <w:pPr>
        <w:pStyle w:val="ListBullet"/>
      </w:pPr>
      <w:r>
        <w:rPr>
          <w:rFonts w:ascii="Malgun Gothic" w:hAnsi="Malgun Gothic" w:eastAsia="맑은 고딕"/>
          <w:b/>
        </w:rPr>
        <w:t>불이행 회원의 결제준비금</w:t>
      </w:r>
      <w:r>
        <w:rPr>
          <w:rFonts w:ascii="Malgun Gothic" w:hAnsi="Malgun Gothic" w:eastAsia="맑은 고딕"/>
        </w:rPr>
        <w:t xml:space="preserve"> -- 불이행 보전에 우선 적용</w:t>
      </w:r>
    </w:p>
    <w:p>
      <w:pPr>
        <w:pStyle w:val="ListBullet"/>
      </w:pPr>
      <w:r>
        <w:rPr>
          <w:rFonts w:ascii="Malgun Gothic" w:hAnsi="Malgun Gothic" w:eastAsia="맑은 고딕"/>
          <w:b/>
        </w:rPr>
        <w:t>불이행 회원의 결제보증금 출연분</w:t>
      </w:r>
      <w:r>
        <w:rPr>
          <w:rFonts w:ascii="Malgun Gothic" w:hAnsi="Malgun Gothic" w:eastAsia="맑은 고딕"/>
        </w:rPr>
        <w:t xml:space="preserve"> -- 준비금이 부족할 경우 사용</w:t>
      </w:r>
    </w:p>
    <w:p>
      <w:pPr>
        <w:pStyle w:val="ListBullet"/>
      </w:pPr>
      <w:r>
        <w:rPr>
          <w:rFonts w:ascii="Malgun Gothic" w:hAnsi="Malgun Gothic" w:eastAsia="맑은 고딕"/>
          <w:b/>
        </w:rPr>
        <w:t>CSDC 자기자본 (CCP 자기자본 출연분)</w:t>
      </w:r>
      <w:r>
        <w:rPr>
          <w:rFonts w:ascii="Malgun Gothic" w:hAnsi="Malgun Gothic" w:eastAsia="맑은 고딕"/>
        </w:rPr>
        <w:t xml:space="preserve"> -- CSDC의 자체 재원 투입</w:t>
      </w:r>
    </w:p>
    <w:p>
      <w:pPr>
        <w:pStyle w:val="ListBullet"/>
      </w:pPr>
      <w:r>
        <w:rPr>
          <w:rFonts w:ascii="Malgun Gothic" w:hAnsi="Malgun Gothic" w:eastAsia="맑은 고딕"/>
          <w:b/>
        </w:rPr>
        <w:t>비불이행 회원의 결제보증금 출연분</w:t>
      </w:r>
      <w:r>
        <w:rPr>
          <w:rFonts w:ascii="Malgun Gothic" w:hAnsi="Malgun Gothic" w:eastAsia="맑은 고딕"/>
        </w:rPr>
        <w:t xml:space="preserve"> -- 손실 상호부담</w:t>
      </w:r>
    </w:p>
    <w:p>
      <w:pPr>
        <w:pStyle w:val="ListBullet"/>
      </w:pPr>
      <w:r>
        <w:rPr>
          <w:rFonts w:ascii="Malgun Gothic" w:hAnsi="Malgun Gothic" w:eastAsia="맑은 고딕"/>
          <w:b/>
        </w:rPr>
        <w:t>추가분담금 부과 권한</w:t>
      </w:r>
      <w:r>
        <w:rPr>
          <w:rFonts w:ascii="Malgun Gothic" w:hAnsi="Malgun Gothic" w:eastAsia="맑은 고딕"/>
        </w:rPr>
        <w:t xml:space="preserve"> -- CSDC는 추가 출연을 요청할 수 있음</w:t>
      </w:r>
    </w:p>
    <w:p>
      <w:pPr>
        <w:ind w:left="720"/>
        <w:shd w:fill="F0F0F0" w:val="clear"/>
      </w:pPr>
      <w:r>
        <w:rPr>
          <w:rFonts w:ascii="Malgun Gothic" w:hAnsi="Malgun Gothic" w:eastAsia="맑은 고딕"/>
          <w:i/>
        </w:rPr>
        <w:t>**참고:** CSDC 손실부담순서에 대한 구체적 금액이 포함된 상세 공개정량공시는 영어 자료에서 쉽게 확인되지 않는다. 이는 상세한 CPMI-IOSCO PQD 보고서를 발행하는 서구 CCP 대비 상당한 투명성 격차이다.</w:t>
      </w:r>
    </w:p>
    <w:p>
      <w:pPr>
        <w:pStyle w:val="Heading3"/>
      </w:pPr>
      <w:r>
        <w:rPr>
          <w:rFonts w:ascii="Malgun Gothic" w:hAnsi="Malgun Gothic" w:eastAsia="맑은 고딕"/>
        </w:rPr>
        <w:t>3.6 회복 및 정리 (Recovery &amp; Resolution)</w:t>
      </w:r>
    </w:p>
    <w:p>
      <w:pPr>
        <w:pStyle w:val="ListBullet"/>
      </w:pPr>
      <w:r>
        <w:rPr>
          <w:rFonts w:ascii="Malgun Gothic" w:hAnsi="Malgun Gothic" w:eastAsia="맑은 고딕"/>
        </w:rPr>
        <w:t>CSDC는 중국 증권법 및 CSRC 규정에 따라 회복 및 정리 운영</w:t>
      </w:r>
    </w:p>
    <w:p>
      <w:pPr>
        <w:pStyle w:val="ListBullet"/>
      </w:pPr>
      <w:r>
        <w:rPr>
          <w:rFonts w:ascii="Malgun Gothic" w:hAnsi="Malgun Gothic" w:eastAsia="맑은 고딕"/>
        </w:rPr>
        <w:t>CSRC가 정리당국으로서 CSDC에 대한 권한 보유</w:t>
      </w:r>
    </w:p>
    <w:p>
      <w:pPr>
        <w:pStyle w:val="ListBullet"/>
      </w:pPr>
      <w:r>
        <w:rPr>
          <w:rFonts w:ascii="Malgun Gothic" w:hAnsi="Malgun Gothic" w:eastAsia="맑은 고딕"/>
        </w:rPr>
        <w:t>중국은 EU의 CCP 회복정리규정(CCPRRR)이나 미국 Dodd-Frank Act Title II에 상응하는 공식적인 CCP 정리 체계를 채택하지 않음 [unverified]</w:t>
      </w:r>
    </w:p>
    <w:p>
      <w:pPr>
        <w:pStyle w:val="ListBullet"/>
      </w:pPr>
      <w:r>
        <w:rPr>
          <w:rFonts w:ascii="Malgun Gothic" w:hAnsi="Malgun Gothic" w:eastAsia="맑은 고딕"/>
        </w:rPr>
        <w:t>DVP 개혁(2022)으로 증권과 대금 인도를 연계하여 결제 리스크를 크게 감소</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p>
      <w:r>
        <w:rPr>
          <w:rFonts w:ascii="Malgun Gothic" w:hAnsi="Malgun Gothic" w:eastAsia="맑은 고딕"/>
        </w:rPr>
        <w:t>CSDC의 결제주기는 상품 유형별로 상이하다: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상품</w:t>
            </w:r>
          </w:p>
        </w:tc>
        <w:tc>
          <w:tcPr>
            <w:tcW w:type="dxa" w:w="2160"/>
            <w:shd w:fill="4472C4" w:val="clear"/>
          </w:tcPr>
          <w:p>
            <w:pPr/>
            <w:r>
              <w:rPr>
                <w:b/>
                <w:color w:val="FFFFFF"/>
              </w:rPr>
            </w:r>
            <w:r>
              <w:rPr>
                <w:rFonts w:ascii="Malgun Gothic" w:hAnsi="Malgun Gothic" w:eastAsia="맑은 고딕"/>
                <w:b/>
                <w:color w:val="FFFFFF"/>
              </w:rPr>
              <w:t>증권 결제</w:t>
            </w:r>
          </w:p>
        </w:tc>
        <w:tc>
          <w:tcPr>
            <w:tcW w:type="dxa" w:w="2160"/>
            <w:shd w:fill="4472C4" w:val="clear"/>
          </w:tcPr>
          <w:p>
            <w:pPr/>
            <w:r>
              <w:rPr>
                <w:b/>
                <w:color w:val="FFFFFF"/>
              </w:rPr>
            </w:r>
            <w:r>
              <w:rPr>
                <w:rFonts w:ascii="Malgun Gothic" w:hAnsi="Malgun Gothic" w:eastAsia="맑은 고딕"/>
                <w:b/>
                <w:color w:val="FFFFFF"/>
              </w:rPr>
              <w:t>대금 결제</w:t>
            </w:r>
          </w:p>
        </w:tc>
        <w:tc>
          <w:tcPr>
            <w:tcW w:type="dxa" w:w="2160"/>
            <w:shd w:fill="4472C4" w:val="clear"/>
          </w:tcPr>
          <w:p>
            <w:pPr/>
            <w:r>
              <w:rPr>
                <w:b/>
                <w:color w:val="FFFFFF"/>
              </w:rPr>
            </w:r>
            <w:r>
              <w:rPr>
                <w:rFonts w:ascii="Malgun Gothic" w:hAnsi="Malgun Gothic" w:eastAsia="맑은 고딕"/>
                <w:b/>
                <w:color w:val="FFFFFF"/>
              </w:rPr>
              <w:t>비고</w:t>
            </w:r>
          </w:p>
        </w:tc>
      </w:tr>
      <w:tr>
        <w:tc>
          <w:tcPr>
            <w:tcW w:type="dxa" w:w="2160"/>
          </w:tcPr>
          <w:p>
            <w:pPr/>
            <w:r/>
            <w:r>
              <w:rPr>
                <w:rFonts w:ascii="Malgun Gothic" w:hAnsi="Malgun Gothic" w:eastAsia="맑은 고딕"/>
              </w:rPr>
              <w:t>A주</w:t>
            </w:r>
          </w:p>
        </w:tc>
        <w:tc>
          <w:tcPr>
            <w:tcW w:type="dxa" w:w="2160"/>
          </w:tcPr>
          <w:p>
            <w:pPr/>
            <w:r/>
            <w:r>
              <w:rPr>
                <w:rFonts w:ascii="Malgun Gothic" w:hAnsi="Malgun Gothic" w:eastAsia="맑은 고딕"/>
              </w:rPr>
              <w:t>T+0 (증권 이전)</w:t>
            </w:r>
          </w:p>
        </w:tc>
        <w:tc>
          <w:tcPr>
            <w:tcW w:type="dxa" w:w="2160"/>
          </w:tcPr>
          <w:p>
            <w:pPr/>
            <w:r/>
            <w:r>
              <w:rPr>
                <w:rFonts w:ascii="Malgun Gothic" w:hAnsi="Malgun Gothic" w:eastAsia="맑은 고딕"/>
              </w:rPr>
              <w:t>T+1 (대금)</w:t>
            </w:r>
          </w:p>
        </w:tc>
        <w:tc>
          <w:tcPr>
            <w:tcW w:type="dxa" w:w="2160"/>
          </w:tcPr>
          <w:p>
            <w:pPr/>
            <w:r/>
            <w:r>
              <w:rPr>
                <w:rFonts w:ascii="Malgun Gothic" w:hAnsi="Malgun Gothic" w:eastAsia="맑은 고딕"/>
              </w:rPr>
              <w:t>증권은 T+0에 매도 가능하나 대금은 T+1 결제</w:t>
            </w:r>
          </w:p>
        </w:tc>
      </w:tr>
      <w:tr>
        <w:tc>
          <w:tcPr>
            <w:tcW w:type="dxa" w:w="2160"/>
          </w:tcPr>
          <w:p>
            <w:pPr/>
            <w:r/>
            <w:r>
              <w:rPr>
                <w:rFonts w:ascii="Malgun Gothic" w:hAnsi="Malgun Gothic" w:eastAsia="맑은 고딕"/>
              </w:rPr>
              <w:t>B주</w:t>
            </w:r>
          </w:p>
        </w:tc>
        <w:tc>
          <w:tcPr>
            <w:tcW w:type="dxa" w:w="2160"/>
          </w:tcPr>
          <w:p>
            <w:pPr/>
            <w:r/>
            <w:r>
              <w:rPr>
                <w:rFonts w:ascii="Malgun Gothic" w:hAnsi="Malgun Gothic" w:eastAsia="맑은 고딕"/>
              </w:rPr>
              <w:t>T+3</w:t>
            </w:r>
          </w:p>
        </w:tc>
        <w:tc>
          <w:tcPr>
            <w:tcW w:type="dxa" w:w="2160"/>
          </w:tcPr>
          <w:p>
            <w:pPr/>
            <w:r/>
            <w:r>
              <w:rPr>
                <w:rFonts w:ascii="Malgun Gothic" w:hAnsi="Malgun Gothic" w:eastAsia="맑은 고딕"/>
              </w:rPr>
              <w:t>T+3</w:t>
            </w:r>
          </w:p>
        </w:tc>
        <w:tc>
          <w:tcPr>
            <w:tcW w:type="dxa" w:w="2160"/>
          </w:tcPr>
          <w:p>
            <w:pPr/>
            <w:r/>
            <w:r>
              <w:rPr>
                <w:rFonts w:ascii="Malgun Gothic" w:hAnsi="Malgun Gothic" w:eastAsia="맑은 고딕"/>
              </w:rPr>
              <w:t>외화결제로 인한 장기 주기</w:t>
            </w:r>
          </w:p>
        </w:tc>
      </w:tr>
      <w:tr>
        <w:tc>
          <w:tcPr>
            <w:tcW w:type="dxa" w:w="2160"/>
          </w:tcPr>
          <w:p>
            <w:pPr/>
            <w:r/>
            <w:r>
              <w:rPr>
                <w:rFonts w:ascii="Malgun Gothic" w:hAnsi="Malgun Gothic" w:eastAsia="맑은 고딕"/>
              </w:rPr>
              <w:t>채권 (거래소거래)</w:t>
            </w:r>
          </w:p>
        </w:tc>
        <w:tc>
          <w:tcPr>
            <w:tcW w:type="dxa" w:w="2160"/>
          </w:tcPr>
          <w:p>
            <w:pPr/>
            <w:r/>
            <w:r>
              <w:rPr>
                <w:rFonts w:ascii="Malgun Gothic" w:hAnsi="Malgun Gothic" w:eastAsia="맑은 고딕"/>
              </w:rPr>
              <w:t>T+0 / T+1</w:t>
            </w:r>
          </w:p>
        </w:tc>
        <w:tc>
          <w:tcPr>
            <w:tcW w:type="dxa" w:w="2160"/>
          </w:tcPr>
          <w:p>
            <w:pPr/>
            <w:r/>
            <w:r>
              <w:rPr>
                <w:rFonts w:ascii="Malgun Gothic" w:hAnsi="Malgun Gothic" w:eastAsia="맑은 고딕"/>
              </w:rPr>
              <w:t>T+0 / T+1</w:t>
            </w:r>
          </w:p>
        </w:tc>
        <w:tc>
          <w:tcPr>
            <w:tcW w:type="dxa" w:w="2160"/>
          </w:tcPr>
          <w:p>
            <w:pPr/>
            <w:r/>
            <w:r>
              <w:rPr>
                <w:rFonts w:ascii="Malgun Gothic" w:hAnsi="Malgun Gothic" w:eastAsia="맑은 고딕"/>
              </w:rPr>
              <w:t>채권 유형별 상이</w:t>
            </w:r>
          </w:p>
        </w:tc>
      </w:tr>
      <w:tr>
        <w:tc>
          <w:tcPr>
            <w:tcW w:type="dxa" w:w="2160"/>
          </w:tcPr>
          <w:p>
            <w:pPr/>
            <w:r/>
            <w:r>
              <w:rPr>
                <w:rFonts w:ascii="Malgun Gothic" w:hAnsi="Malgun Gothic" w:eastAsia="맑은 고딕"/>
              </w:rPr>
              <w:t>ETF</w:t>
            </w:r>
          </w:p>
        </w:tc>
        <w:tc>
          <w:tcPr>
            <w:tcW w:type="dxa" w:w="2160"/>
          </w:tcPr>
          <w:p>
            <w:pPr/>
            <w:r/>
            <w:r>
              <w:rPr>
                <w:rFonts w:ascii="Malgun Gothic" w:hAnsi="Malgun Gothic" w:eastAsia="맑은 고딕"/>
              </w:rPr>
              <w:t>T+0 (증권)</w:t>
            </w:r>
          </w:p>
        </w:tc>
        <w:tc>
          <w:tcPr>
            <w:tcW w:type="dxa" w:w="2160"/>
          </w:tcPr>
          <w:p>
            <w:pPr/>
            <w:r/>
            <w:r>
              <w:rPr>
                <w:rFonts w:ascii="Malgun Gothic" w:hAnsi="Malgun Gothic" w:eastAsia="맑은 고딕"/>
              </w:rPr>
              <w:t>T+1 (대금)</w:t>
            </w:r>
          </w:p>
        </w:tc>
        <w:tc>
          <w:tcPr>
            <w:tcW w:type="dxa" w:w="2160"/>
          </w:tcPr>
          <w:p>
            <w:pPr/>
            <w:r/>
            <w:r>
              <w:rPr>
                <w:rFonts w:ascii="Malgun Gothic" w:hAnsi="Malgun Gothic" w:eastAsia="맑은 고딕"/>
              </w:rPr>
              <w:t>A주와 유사</w:t>
            </w:r>
          </w:p>
        </w:tc>
      </w:tr>
      <w:tr>
        <w:tc>
          <w:tcPr>
            <w:tcW w:type="dxa" w:w="2160"/>
          </w:tcPr>
          <w:p>
            <w:pPr/>
            <w:r/>
            <w:r>
              <w:rPr>
                <w:rFonts w:ascii="Malgun Gothic" w:hAnsi="Malgun Gothic" w:eastAsia="맑은 고딕"/>
              </w:rPr>
              <w:t>주식옵션</w:t>
            </w:r>
          </w:p>
        </w:tc>
        <w:tc>
          <w:tcPr>
            <w:tcW w:type="dxa" w:w="2160"/>
          </w:tcPr>
          <w:p>
            <w:pPr/>
            <w:r/>
            <w:r>
              <w:rPr>
                <w:rFonts w:ascii="Malgun Gothic" w:hAnsi="Malgun Gothic" w:eastAsia="맑은 고딕"/>
              </w:rPr>
              <w:t>T+0</w:t>
            </w:r>
          </w:p>
        </w:tc>
        <w:tc>
          <w:tcPr>
            <w:tcW w:type="dxa" w:w="2160"/>
          </w:tcPr>
          <w:p>
            <w:pPr/>
            <w:r/>
            <w:r>
              <w:rPr>
                <w:rFonts w:ascii="Malgun Gothic" w:hAnsi="Malgun Gothic" w:eastAsia="맑은 고딕"/>
              </w:rPr>
              <w:t>T+0</w:t>
            </w:r>
          </w:p>
        </w:tc>
        <w:tc>
          <w:tcPr>
            <w:tcW w:type="dxa" w:w="2160"/>
          </w:tcPr>
          <w:p>
            <w:pPr/>
            <w:r/>
            <w:r>
              <w:rPr>
                <w:rFonts w:ascii="Malgun Gothic" w:hAnsi="Malgun Gothic" w:eastAsia="맑은 고딕"/>
              </w:rPr>
              <w:t>실시간총액결제</w:t>
            </w:r>
          </w:p>
        </w:tc>
      </w:tr>
      <w:tr>
        <w:tc>
          <w:tcPr>
            <w:tcW w:type="dxa" w:w="2160"/>
          </w:tcPr>
          <w:p>
            <w:pPr/>
            <w:r/>
            <w:r>
              <w:rPr>
                <w:rFonts w:ascii="Malgun Gothic" w:hAnsi="Malgun Gothic" w:eastAsia="맑은 고딕"/>
              </w:rPr>
              <w:t>Stock Connect (북향)</w:t>
            </w:r>
          </w:p>
        </w:tc>
        <w:tc>
          <w:tcPr>
            <w:tcW w:type="dxa" w:w="2160"/>
          </w:tcPr>
          <w:p>
            <w:pPr/>
            <w:r/>
            <w:r>
              <w:rPr>
                <w:rFonts w:ascii="Malgun Gothic" w:hAnsi="Malgun Gothic" w:eastAsia="맑은 고딕"/>
              </w:rPr>
              <w:t>T+0 (증권)</w:t>
            </w:r>
          </w:p>
        </w:tc>
        <w:tc>
          <w:tcPr>
            <w:tcW w:type="dxa" w:w="2160"/>
          </w:tcPr>
          <w:p>
            <w:pPr/>
            <w:r/>
            <w:r>
              <w:rPr>
                <w:rFonts w:ascii="Malgun Gothic" w:hAnsi="Malgun Gothic" w:eastAsia="맑은 고딕"/>
              </w:rPr>
              <w:t>T+1 (대금)</w:t>
            </w:r>
          </w:p>
        </w:tc>
        <w:tc>
          <w:tcPr>
            <w:tcW w:type="dxa" w:w="2160"/>
          </w:tcPr>
          <w:p>
            <w:pPr/>
            <w:r/>
            <w:r>
              <w:rPr>
                <w:rFonts w:ascii="Malgun Gothic" w:hAnsi="Malgun Gothic" w:eastAsia="맑은 고딕"/>
              </w:rPr>
              <w:t>A주 결제 규칙 적용</w:t>
            </w:r>
          </w:p>
        </w:tc>
      </w:tr>
    </w:tbl>
    <w:p/>
    <w:p>
      <w:r>
        <w:rPr>
          <w:rFonts w:ascii="Malgun Gothic" w:hAnsi="Malgun Gothic" w:eastAsia="맑은 고딕"/>
          <w:color w:val="0563C1"/>
          <w:u w:val="single"/>
        </w:rPr>
        <w:t>Source: [WFE Focus - CSDC DVP</w:t>
      </w:r>
      <w:r>
        <w:rPr>
          <w:rFonts w:ascii="Malgun Gothic" w:hAnsi="Malgun Gothic" w:eastAsia="맑은 고딕"/>
        </w:rPr>
        <w:t xml:space="preserve">; </w:t>
      </w:r>
      <w:r>
        <w:rPr>
          <w:rFonts w:ascii="Malgun Gothic" w:hAnsi="Malgun Gothic" w:eastAsia="맑은 고딕"/>
          <w:color w:val="0563C1"/>
          <w:u w:val="single"/>
        </w:rPr>
        <w:t>Clearstream Settlement Process - China</w:t>
      </w:r>
      <w:r>
        <w:rPr>
          <w:rFonts w:ascii="Malgun Gothic" w:hAnsi="Malgun Gothic" w:eastAsia="맑은 고딕"/>
        </w:rPr>
        <w:t>]</w:t>
      </w:r>
    </w:p>
    <w:p>
      <w:r>
        <w:rPr>
          <w:rFonts w:ascii="Malgun Gothic" w:hAnsi="Malgun Gothic" w:eastAsia="맑은 고딕"/>
          <w:b/>
        </w:rPr>
        <w:t>핵심 특징 -- T+0 증권 / T+1 대금:</w:t>
      </w:r>
    </w:p>
    <w:p>
      <w:r>
        <w:rPr>
          <w:rFonts w:ascii="Malgun Gothic" w:hAnsi="Malgun Gothic" w:eastAsia="맑은 고딕"/>
        </w:rPr>
        <w:t>중국 A주 시장은 증권 소유권이 T+0(매매일)에 이전되나 대금결제는 T+1에 이루어지는 독특한 결제 방식을 가지고 있다. 이는 예탁 관점에서 투자자가 매입한 주식을 매입 당일 매도할 수 있다는 의미이나, 중국의 "T+1 매매 규칙"에 따라 신규 매입 주식의 당일 매도는 금지된다.</w:t>
      </w:r>
    </w:p>
    <w:p>
      <w:pPr>
        <w:ind w:left="720"/>
        <w:shd w:fill="F0F0F0" w:val="clear"/>
      </w:pPr>
      <w:r>
        <w:rPr>
          <w:rFonts w:ascii="Malgun Gothic" w:hAnsi="Malgun Gothic" w:eastAsia="맑은 고딕"/>
          <w:i/>
        </w:rPr>
        <w:t>**KRX/KSD 비교:** 한국은 2024년 주식에 T+2 결제를 적용 중이다. CSDC의 T+0 증권 / T+1 대금 모델은 전 세계적으로 독특하다. 한국에서는 증권과 대금이 T+2에 동시 결제되며, 이는 보다 전통적인 DVP 방식이다.</w:t>
      </w:r>
    </w:p>
    <w:p>
      <w:pPr>
        <w:pStyle w:val="Heading3"/>
      </w:pPr>
      <w:r>
        <w:rPr>
          <w:rFonts w:ascii="Malgun Gothic" w:hAnsi="Malgun Gothic" w:eastAsia="맑은 고딕"/>
        </w:rPr>
        <w:t>4.2 DVP 모델 (DVP Model)</w:t>
      </w:r>
    </w:p>
    <w:p>
      <w:r>
        <w:rPr>
          <w:rFonts w:ascii="Malgun Gothic" w:hAnsi="Malgun Gothic" w:eastAsia="맑은 고딕"/>
          <w:b/>
        </w:rPr>
        <w:t>2022년 이전 (비DVP):</w:t>
      </w:r>
    </w:p>
    <w:p>
      <w:pPr>
        <w:pStyle w:val="ListBullet"/>
      </w:pPr>
      <w:r>
        <w:rPr>
          <w:rFonts w:ascii="Malgun Gothic" w:hAnsi="Malgun Gothic" w:eastAsia="맑은 고딕"/>
        </w:rPr>
        <w:t>2022년 1월 이전, A주 결제는 진정한 DVP가 아니었다 -- 증권과 대금이 엄격한 조건부 연계 없이 별도 결제</w:t>
      </w:r>
    </w:p>
    <w:p>
      <w:pPr>
        <w:pStyle w:val="ListBullet"/>
      </w:pPr>
      <w:r>
        <w:rPr>
          <w:rFonts w:ascii="Malgun Gothic" w:hAnsi="Malgun Gothic" w:eastAsia="맑은 고딕"/>
        </w:rPr>
        <w:t>결제는 T+1 16:00에만 가능하여 유동성 및 거래상대방 리스크 발생</w:t>
      </w:r>
    </w:p>
    <w:p>
      <w:r>
        <w:rPr>
          <w:rFonts w:ascii="Malgun Gothic" w:hAnsi="Malgun Gothic" w:eastAsia="맑은 고딕"/>
          <w:b/>
        </w:rPr>
        <w:t>2022년 DVP 개혁 이후:</w:t>
      </w:r>
    </w:p>
    <w:p>
      <w:pPr>
        <w:pStyle w:val="ListBullet"/>
      </w:pPr>
      <w:r>
        <w:rPr>
          <w:rFonts w:ascii="Malgun Gothic" w:hAnsi="Malgun Gothic" w:eastAsia="맑은 고딕"/>
        </w:rPr>
        <w:t>CSRC는 2022년 1월 14일 DVP 개혁 시행</w:t>
      </w:r>
    </w:p>
    <w:p>
      <w:pPr>
        <w:pStyle w:val="ListBullet"/>
      </w:pPr>
      <w:r>
        <w:rPr>
          <w:rFonts w:ascii="Malgun Gothic" w:hAnsi="Malgun Gothic" w:eastAsia="맑은 고딕"/>
        </w:rPr>
        <w:t xml:space="preserve">CSDC는 </w:t>
      </w:r>
      <w:r>
        <w:rPr>
          <w:rFonts w:ascii="Malgun Gothic" w:hAnsi="Malgun Gothic" w:eastAsia="맑은 고딕"/>
          <w:b/>
        </w:rPr>
        <w:t>DVP Model 2</w:t>
      </w:r>
      <w:r>
        <w:rPr>
          <w:rFonts w:ascii="Malgun Gothic" w:hAnsi="Malgun Gothic" w:eastAsia="맑은 고딕"/>
        </w:rPr>
        <w:t xml:space="preserve"> (증권 건별결제 대 대금 차감결제)를 채택:</w:t>
      </w:r>
    </w:p>
    <w:p>
      <w:pPr>
        <w:pStyle w:val="ListBullet"/>
      </w:pPr>
      <w:r>
        <w:rPr>
          <w:rFonts w:ascii="Malgun Gothic" w:hAnsi="Malgun Gothic" w:eastAsia="맑은 고딕"/>
        </w:rPr>
        <w:t>증권은 건별(Gross) 기준으로 인도</w:t>
      </w:r>
    </w:p>
    <w:p>
      <w:pPr>
        <w:pStyle w:val="ListBullet"/>
      </w:pPr>
      <w:r>
        <w:rPr>
          <w:rFonts w:ascii="Malgun Gothic" w:hAnsi="Malgun Gothic" w:eastAsia="맑은 고딕"/>
        </w:rPr>
        <w:t>대금은 다자간차감 후 순액 기준으로 결제</w:t>
      </w:r>
    </w:p>
    <w:p>
      <w:pPr>
        <w:pStyle w:val="ListBullet"/>
      </w:pPr>
      <w:r>
        <w:rPr>
          <w:rFonts w:ascii="Malgun Gothic" w:hAnsi="Malgun Gothic" w:eastAsia="맑은 고딕"/>
        </w:rPr>
        <w:t>증권 인도는 대금 지급이 이루어져야만 실행되며, 그 반대도 동일</w:t>
      </w:r>
    </w:p>
    <w:p>
      <w:pPr>
        <w:pStyle w:val="ListBullet"/>
      </w:pPr>
      <w:r>
        <w:rPr>
          <w:rFonts w:ascii="Malgun Gothic" w:hAnsi="Malgun Gothic" w:eastAsia="맑은 고딕"/>
        </w:rPr>
        <w:t>개혁 이후, 참가자는 16:00까지 기다리지 않고 T+1 중 조기에 대금을 제공하여 결제 완료 가능</w:t>
      </w:r>
    </w:p>
    <w:p>
      <w:pPr>
        <w:pStyle w:val="ListBullet"/>
      </w:pPr>
      <w:r>
        <w:rPr>
          <w:rFonts w:ascii="Malgun Gothic" w:hAnsi="Malgun Gothic" w:eastAsia="맑은 고딕"/>
        </w:rPr>
        <w:t>이 개혁은 중국 자본시장을 국제 PFMI 기준(원칙 12: 교환가치 결제 시스템)에 더 가깝게 정렬</w:t>
      </w:r>
    </w:p>
    <w:p>
      <w:r>
        <w:rPr>
          <w:rFonts w:ascii="Malgun Gothic" w:hAnsi="Malgun Gothic" w:eastAsia="맑은 고딕"/>
          <w:color w:val="0563C1"/>
          <w:u w:val="single"/>
        </w:rPr>
        <w:t>Source: [WFE Focus - CSDC DVP Reform</w:t>
      </w:r>
      <w:r>
        <w:rPr>
          <w:rFonts w:ascii="Malgun Gothic" w:hAnsi="Malgun Gothic" w:eastAsia="맑은 고딕"/>
        </w:rPr>
        <w:t>]</w:t>
      </w:r>
    </w:p>
    <w:p>
      <w:pPr>
        <w:ind w:left="720"/>
        <w:shd w:fill="F0F0F0" w:val="clear"/>
      </w:pPr>
      <w:r>
        <w:rPr>
          <w:rFonts w:ascii="Malgun Gothic" w:hAnsi="Malgun Gothic" w:eastAsia="맑은 고딕"/>
          <w:i/>
        </w:rPr>
        <w:t>**KRX/KSD 비교:** KSD는 주식 결제에 DVP Model 3 (증권 차감 대 대금 차감)을 운영한다. CSDC의 DVP Model 2 (증권 건별, 대금 차감) 채택은 보다 보수적이며, 개별 거래 단위에서 더 강한 결제완결성을 제공하나, 증권의 사전 준비가 더 많이 필요하다.</w:t>
      </w:r>
    </w:p>
    <w:p>
      <w:pPr>
        <w:pBdr>
          <w:bottom w:val="single" w:sz="4" w:space="1" w:color="auto"/>
        </w:pBdr>
      </w:pPr>
    </w:p>
    <w:p>
      <w:pPr>
        <w:pStyle w:val="Heading2"/>
      </w:pPr>
      <w:r>
        <w:rPr>
          <w:rFonts w:ascii="Malgun Gothic" w:hAnsi="Malgun Gothic" w:eastAsia="맑은 고딕"/>
        </w:rPr>
        <w:t>5. 기술 및 인프라 (Technology &amp;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통합계좌 시스템 (一码通, Unified Account System)</w:t>
            </w:r>
          </w:p>
        </w:tc>
        <w:tc>
          <w:tcPr>
            <w:tcW w:type="dxa" w:w="4320"/>
          </w:tcPr>
          <w:p>
            <w:pPr/>
            <w:r/>
            <w:r>
              <w:rPr>
                <w:rFonts w:ascii="Malgun Gothic" w:hAnsi="Malgun Gothic" w:eastAsia="맑은 고딕"/>
              </w:rPr>
              <w:t>SSE, SZSE, BSE 전 투자자 계좌를 단일 식별자로 연결하는 이마통 시스템; 2024년 말 기준 2억 3,700만 개 이상의 계좌</w:t>
            </w:r>
          </w:p>
        </w:tc>
      </w:tr>
      <w:tr>
        <w:tc>
          <w:tcPr>
            <w:tcW w:type="dxa" w:w="4320"/>
          </w:tcPr>
          <w:p>
            <w:pPr/>
            <w:r/>
            <w:r>
              <w:rPr>
                <w:rFonts w:ascii="Malgun Gothic" w:hAnsi="Malgun Gothic" w:eastAsia="맑은 고딕"/>
                <w:b/>
              </w:rPr>
              <w:t>실시간 청산 시스템</w:t>
            </w:r>
          </w:p>
        </w:tc>
        <w:tc>
          <w:tcPr>
            <w:tcW w:type="dxa" w:w="4320"/>
          </w:tcPr>
          <w:p>
            <w:pPr/>
            <w:r/>
            <w:r>
              <w:rPr>
                <w:rFonts w:ascii="Malgun Gothic" w:hAnsi="Malgun Gothic" w:eastAsia="맑은 고딕"/>
              </w:rPr>
              <w:t>상하이 지사가 2007년 12월 실시간 청산 가동; 장마감 후 다자간차감 처리</w:t>
            </w:r>
          </w:p>
        </w:tc>
      </w:tr>
      <w:tr>
        <w:tc>
          <w:tcPr>
            <w:tcW w:type="dxa" w:w="4320"/>
          </w:tcPr>
          <w:p>
            <w:pPr/>
            <w:r/>
            <w:r>
              <w:rPr>
                <w:rFonts w:ascii="Malgun Gothic" w:hAnsi="Malgun Gothic" w:eastAsia="맑은 고딕"/>
                <w:b/>
              </w:rPr>
              <w:t>전자 장부기입 시스템</w:t>
            </w:r>
          </w:p>
        </w:tc>
        <w:tc>
          <w:tcPr>
            <w:tcW w:type="dxa" w:w="4320"/>
          </w:tcPr>
          <w:p>
            <w:pPr/>
            <w:r/>
            <w:r>
              <w:rPr>
                <w:rFonts w:ascii="Malgun Gothic" w:hAnsi="Malgun Gothic" w:eastAsia="맑은 고딕"/>
              </w:rPr>
              <w:t>완전 무권화/부동화 증권예탁 -- 모든 증권을 전자 형태로 보유</w:t>
            </w:r>
          </w:p>
        </w:tc>
      </w:tr>
      <w:tr>
        <w:tc>
          <w:tcPr>
            <w:tcW w:type="dxa" w:w="4320"/>
          </w:tcPr>
          <w:p>
            <w:pPr/>
            <w:r/>
            <w:r>
              <w:rPr>
                <w:rFonts w:ascii="Malgun Gothic" w:hAnsi="Malgun Gothic" w:eastAsia="맑은 고딕"/>
                <w:b/>
              </w:rPr>
              <w:t>크로스보더 시스템</w:t>
            </w:r>
          </w:p>
        </w:tc>
        <w:tc>
          <w:tcPr>
            <w:tcW w:type="dxa" w:w="4320"/>
          </w:tcPr>
          <w:p>
            <w:pPr/>
            <w:r/>
            <w:r>
              <w:rPr>
                <w:rFonts w:ascii="Malgun Gothic" w:hAnsi="Malgun Gothic" w:eastAsia="맑은 고딕"/>
              </w:rPr>
              <w:t>Stock Connect (후강통, 선강통) 청산 및 결제를 위한 전용 시스템</w:t>
            </w:r>
          </w:p>
        </w:tc>
      </w:tr>
      <w:tr>
        <w:tc>
          <w:tcPr>
            <w:tcW w:type="dxa" w:w="4320"/>
          </w:tcPr>
          <w:p>
            <w:pPr/>
            <w:r/>
            <w:r>
              <w:rPr>
                <w:rFonts w:ascii="Malgun Gothic" w:hAnsi="Malgun Gothic" w:eastAsia="맑은 고딕"/>
                <w:b/>
              </w:rPr>
              <w:t>데이터 인프라</w:t>
            </w:r>
          </w:p>
        </w:tc>
        <w:tc>
          <w:tcPr>
            <w:tcW w:type="dxa" w:w="4320"/>
          </w:tcPr>
          <w:p>
            <w:pPr/>
            <w:r/>
            <w:r>
              <w:rPr>
                <w:rFonts w:ascii="Malgun Gothic" w:hAnsi="Malgun Gothic" w:eastAsia="맑은 고딕"/>
              </w:rPr>
              <w:t>베이징 데이터 지사가 데이터웨어하우스 및 IT 인프라 관리; 2003년 프로토타입 가동</w:t>
            </w:r>
          </w:p>
        </w:tc>
      </w:tr>
    </w:tbl>
    <w:p/>
    <w:p>
      <w:pPr>
        <w:pStyle w:val="ListBullet"/>
      </w:pPr>
      <w:r>
        <w:rPr>
          <w:rFonts w:ascii="Malgun Gothic" w:hAnsi="Malgun Gothic" w:eastAsia="맑은 고딕"/>
        </w:rPr>
        <w:t>CSDC는 자체 기술 스택을 운영한다 (Cinnober나 NASDAQ OMX 같은 공통 플랫폼 기반이 아님)</w:t>
      </w:r>
    </w:p>
    <w:p>
      <w:pPr>
        <w:pStyle w:val="ListBullet"/>
      </w:pPr>
      <w:r>
        <w:rPr>
          <w:rFonts w:ascii="Malgun Gothic" w:hAnsi="Malgun Gothic" w:eastAsia="맑은 고딕"/>
        </w:rPr>
        <w:t>시스템은 대규모 처리 능력을 갖춘다: 약 2억 3,700만 투자자 계좌, 2대 주요 거래소, 세계 최대 주식시장 중 하나의 일일 결제량</w:t>
      </w:r>
    </w:p>
    <w:p>
      <w:r>
        <w:rPr>
          <w:rFonts w:ascii="Malgun Gothic" w:hAnsi="Malgun Gothic" w:eastAsia="맑은 고딕"/>
          <w:color w:val="0563C1"/>
          <w:u w:val="single"/>
        </w:rPr>
        <w:t>Source: [CSDC Company Profile</w:t>
      </w:r>
      <w:r>
        <w:rPr>
          <w:rFonts w:ascii="Malgun Gothic" w:hAnsi="Malgun Gothic" w:eastAsia="맑은 고딕"/>
        </w:rPr>
        <w:t xml:space="preserve">; </w:t>
      </w:r>
      <w:r>
        <w:rPr>
          <w:rFonts w:ascii="Malgun Gothic" w:hAnsi="Malgun Gothic" w:eastAsia="맑은 고딕"/>
          <w:color w:val="0563C1"/>
          <w:u w:val="single"/>
        </w:rPr>
        <w:t>SSE Registration and Depository</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6. 규제 체계 (Regulatory Framework)</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측면</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b/>
              </w:rPr>
              <w:t>주요 규제기관</w:t>
            </w:r>
          </w:p>
        </w:tc>
        <w:tc>
          <w:tcPr>
            <w:tcW w:type="dxa" w:w="4320"/>
          </w:tcPr>
          <w:p>
            <w:pPr/>
            <w:r/>
            <w:r>
              <w:rPr>
                <w:rFonts w:ascii="Malgun Gothic" w:hAnsi="Malgun Gothic" w:eastAsia="맑은 고딕"/>
              </w:rPr>
              <w:t>중국증권감독관리위원회 (CSRC)</w:t>
            </w:r>
          </w:p>
        </w:tc>
      </w:tr>
      <w:tr>
        <w:tc>
          <w:tcPr>
            <w:tcW w:type="dxa" w:w="4320"/>
          </w:tcPr>
          <w:p>
            <w:pPr/>
            <w:r/>
            <w:r>
              <w:rPr>
                <w:rFonts w:ascii="Malgun Gothic" w:hAnsi="Malgun Gothic" w:eastAsia="맑은 고딕"/>
                <w:b/>
              </w:rPr>
              <w:t>주요 법규</w:t>
            </w:r>
          </w:p>
        </w:tc>
        <w:tc>
          <w:tcPr>
            <w:tcW w:type="dxa" w:w="4320"/>
          </w:tcPr>
          <w:p>
            <w:pPr/>
            <w:r/>
            <w:r>
              <w:rPr>
                <w:rFonts w:ascii="Malgun Gothic" w:hAnsi="Malgun Gothic" w:eastAsia="맑은 고딕"/>
              </w:rPr>
              <w:t>중화인민공화국 증권법 (2019년 개정); 증권등기결산관리방법</w:t>
            </w:r>
          </w:p>
        </w:tc>
      </w:tr>
      <w:tr>
        <w:tc>
          <w:tcPr>
            <w:tcW w:type="dxa" w:w="4320"/>
          </w:tcPr>
          <w:p>
            <w:pPr/>
            <w:r/>
            <w:r>
              <w:rPr>
                <w:rFonts w:ascii="Malgun Gothic" w:hAnsi="Malgun Gothic" w:eastAsia="맑은 고딕"/>
                <w:b/>
              </w:rPr>
              <w:t>결제 규칙</w:t>
            </w:r>
          </w:p>
        </w:tc>
        <w:tc>
          <w:tcPr>
            <w:tcW w:type="dxa" w:w="4320"/>
          </w:tcPr>
          <w:p>
            <w:pPr/>
            <w:r/>
            <w:r>
              <w:rPr>
                <w:rFonts w:ascii="Malgun Gothic" w:hAnsi="Malgun Gothic" w:eastAsia="맑은 고딕"/>
              </w:rPr>
              <w:t>CSDC 증권등기결산규칙 (DVP 개혁을 위해 2022년 개정)</w:t>
            </w:r>
          </w:p>
        </w:tc>
      </w:tr>
      <w:tr>
        <w:tc>
          <w:tcPr>
            <w:tcW w:type="dxa" w:w="4320"/>
          </w:tcPr>
          <w:p>
            <w:pPr/>
            <w:r/>
            <w:r>
              <w:rPr>
                <w:rFonts w:ascii="Malgun Gothic" w:hAnsi="Malgun Gothic" w:eastAsia="맑은 고딕"/>
                <w:b/>
              </w:rPr>
              <w:t>감독</w:t>
            </w:r>
          </w:p>
        </w:tc>
        <w:tc>
          <w:tcPr>
            <w:tcW w:type="dxa" w:w="4320"/>
          </w:tcPr>
          <w:p>
            <w:pPr/>
            <w:r/>
            <w:r>
              <w:rPr>
                <w:rFonts w:ascii="Malgun Gothic" w:hAnsi="Malgun Gothic" w:eastAsia="맑은 고딕"/>
              </w:rPr>
              <w:t>CSRC가 CSDC의 운영, 규칙, 수수료 구조, 리스크 관리에 대해 포괄적 규제 권한 행사</w:t>
            </w:r>
          </w:p>
        </w:tc>
      </w:tr>
      <w:tr>
        <w:tc>
          <w:tcPr>
            <w:tcW w:type="dxa" w:w="4320"/>
          </w:tcPr>
          <w:p>
            <w:pPr/>
            <w:r/>
            <w:r>
              <w:rPr>
                <w:rFonts w:ascii="Malgun Gothic" w:hAnsi="Malgun Gothic" w:eastAsia="맑은 고딕"/>
                <w:b/>
              </w:rPr>
              <w:t>국제 기준</w:t>
            </w:r>
          </w:p>
        </w:tc>
        <w:tc>
          <w:tcPr>
            <w:tcW w:type="dxa" w:w="4320"/>
          </w:tcPr>
          <w:p>
            <w:pPr/>
            <w:r/>
            <w:r>
              <w:rPr>
                <w:rFonts w:ascii="Malgun Gothic" w:hAnsi="Malgun Gothic" w:eastAsia="맑은 고딕"/>
              </w:rPr>
              <w:t>중국은 CPMI-IOSCO 평가를 받은 바 있으며; CSDC는 PFMI 원칙에 부합 (특히 DVP 개혁 이후)</w:t>
            </w:r>
          </w:p>
        </w:tc>
      </w:tr>
      <w:tr>
        <w:tc>
          <w:tcPr>
            <w:tcW w:type="dxa" w:w="4320"/>
          </w:tcPr>
          <w:p>
            <w:pPr/>
            <w:r/>
            <w:r>
              <w:rPr>
                <w:rFonts w:ascii="Malgun Gothic" w:hAnsi="Malgun Gothic" w:eastAsia="맑은 고딕"/>
                <w:b/>
              </w:rPr>
              <w:t>PBoC 역할</w:t>
            </w:r>
          </w:p>
        </w:tc>
        <w:tc>
          <w:tcPr>
            <w:tcW w:type="dxa" w:w="4320"/>
          </w:tcPr>
          <w:p>
            <w:pPr/>
            <w:r/>
            <w:r>
              <w:rPr>
                <w:rFonts w:ascii="Malgun Gothic" w:hAnsi="Malgun Gothic" w:eastAsia="맑은 고딕"/>
              </w:rPr>
              <w:t>인민은행은 결제시스템 측면을 감독; 2025년 8월 금융인프라에 관한 규제조치 공포</w:t>
            </w:r>
          </w:p>
        </w:tc>
      </w:tr>
    </w:tbl>
    <w:p/>
    <w:p>
      <w:pPr>
        <w:pStyle w:val="ListBullet"/>
      </w:pPr>
      <w:r>
        <w:rPr>
          <w:rFonts w:ascii="Malgun Gothic" w:hAnsi="Malgun Gothic" w:eastAsia="맑은 고딕"/>
        </w:rPr>
        <w:t>CSDC는 비영리법인으로서, 2대 주주(SSE, SZSE)가 각각 CSRC의 규제를 받는 독특한 지배구조를 가지며, 이는 수직적으로 통합된 규제 체계를 형성한다</w:t>
      </w:r>
    </w:p>
    <w:p>
      <w:pPr>
        <w:pStyle w:val="ListBullet"/>
      </w:pPr>
      <w:r>
        <w:rPr>
          <w:rFonts w:ascii="Malgun Gothic" w:hAnsi="Malgun Gothic" w:eastAsia="맑은 고딕"/>
        </w:rPr>
        <w:t>CSDC는 현재 어떤 외국 관할권에서도 적격중앙청산소(QCCP) 지위를 보유하지 않는다 [unverified]</w:t>
      </w:r>
    </w:p>
    <w:p>
      <w:r>
        <w:rPr>
          <w:rFonts w:ascii="Malgun Gothic" w:hAnsi="Malgun Gothic" w:eastAsia="맑은 고딕"/>
          <w:color w:val="0563C1"/>
          <w:u w:val="single"/>
        </w:rPr>
        <w:t>Source: [CSRC</w:t>
      </w:r>
      <w:r>
        <w:rPr>
          <w:rFonts w:ascii="Malgun Gothic" w:hAnsi="Malgun Gothic" w:eastAsia="맑은 고딕"/>
        </w:rPr>
        <w:t xml:space="preserve">; </w:t>
      </w:r>
      <w:r>
        <w:rPr>
          <w:rFonts w:ascii="Malgun Gothic" w:hAnsi="Malgun Gothic" w:eastAsia="맑은 고딕"/>
          <w:color w:val="0563C1"/>
          <w:u w:val="single"/>
        </w:rPr>
        <w:t>Chambers Debt Finance 2025 Guide</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7. 상호운용성 (Interoperability)</w:t>
      </w:r>
    </w:p>
    <w:p>
      <w:pPr>
        <w:pStyle w:val="Heading3"/>
      </w:pPr>
      <w:r>
        <w:rPr>
          <w:rFonts w:ascii="Malgun Gothic" w:hAnsi="Malgun Gothic" w:eastAsia="맑은 고딕"/>
        </w:rPr>
        <w:t>Stock Connect 청산 체계 (Stock Connect Clearing Arrangements)</w:t>
      </w:r>
    </w:p>
    <w:p>
      <w:r>
        <w:rPr>
          <w:rFonts w:ascii="Malgun Gothic" w:hAnsi="Malgun Gothic" w:eastAsia="맑은 고딕"/>
        </w:rPr>
        <w:t xml:space="preserve">가장 중요한 크로스보더 상호운용 체계는 중국 본토와 홍콩을 연결하는 </w:t>
      </w:r>
      <w:r>
        <w:rPr>
          <w:rFonts w:ascii="Malgun Gothic" w:hAnsi="Malgun Gothic" w:eastAsia="맑은 고딕"/>
          <w:b/>
        </w:rPr>
        <w:t>Stock Connect</w:t>
      </w:r>
      <w:r>
        <w:rPr>
          <w:rFonts w:ascii="Malgun Gothic" w:hAnsi="Malgun Gothic" w:eastAsia="맑은 고딕"/>
        </w:rPr>
        <w:t xml:space="preserve"> 프로그램이다: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프로그램</w:t>
            </w:r>
          </w:p>
        </w:tc>
        <w:tc>
          <w:tcPr>
            <w:tcW w:type="dxa" w:w="2880"/>
            <w:shd w:fill="4472C4" w:val="clear"/>
          </w:tcPr>
          <w:p>
            <w:pPr/>
            <w:r>
              <w:rPr>
                <w:b/>
                <w:color w:val="FFFFFF"/>
              </w:rPr>
            </w:r>
            <w:r>
              <w:rPr>
                <w:rFonts w:ascii="Malgun Gothic" w:hAnsi="Malgun Gothic" w:eastAsia="맑은 고딕"/>
                <w:b/>
                <w:color w:val="FFFFFF"/>
              </w:rPr>
              <w:t>개시</w:t>
            </w:r>
          </w:p>
        </w:tc>
        <w:tc>
          <w:tcPr>
            <w:tcW w:type="dxa" w:w="2880"/>
            <w:shd w:fill="4472C4" w:val="clear"/>
          </w:tcPr>
          <w:p>
            <w:pPr/>
            <w:r>
              <w:rPr>
                <w:b/>
                <w:color w:val="FFFFFF"/>
              </w:rPr>
            </w:r>
            <w:r>
              <w:rPr>
                <w:rFonts w:ascii="Malgun Gothic" w:hAnsi="Malgun Gothic" w:eastAsia="맑은 고딕"/>
                <w:b/>
                <w:color w:val="FFFFFF"/>
              </w:rPr>
              <w:t>청산 링크</w:t>
            </w:r>
          </w:p>
        </w:tc>
      </w:tr>
      <w:tr>
        <w:tc>
          <w:tcPr>
            <w:tcW w:type="dxa" w:w="2880"/>
          </w:tcPr>
          <w:p>
            <w:pPr/>
            <w:r/>
            <w:r>
              <w:rPr>
                <w:rFonts w:ascii="Malgun Gothic" w:hAnsi="Malgun Gothic" w:eastAsia="맑은 고딕"/>
              </w:rPr>
              <w:t>후강통 (Shanghai-Hong Kong Stock Connect)</w:t>
            </w:r>
          </w:p>
        </w:tc>
        <w:tc>
          <w:tcPr>
            <w:tcW w:type="dxa" w:w="2880"/>
          </w:tcPr>
          <w:p>
            <w:pPr/>
            <w:r/>
            <w:r>
              <w:rPr>
                <w:rFonts w:ascii="Malgun Gothic" w:hAnsi="Malgun Gothic" w:eastAsia="맑은 고딕"/>
              </w:rPr>
              <w:t>2014년 11월</w:t>
            </w:r>
          </w:p>
        </w:tc>
        <w:tc>
          <w:tcPr>
            <w:tcW w:type="dxa" w:w="2880"/>
          </w:tcPr>
          <w:p>
            <w:pPr/>
            <w:r/>
            <w:r>
              <w:rPr>
                <w:rFonts w:ascii="Malgun Gothic" w:hAnsi="Malgun Gothic" w:eastAsia="맑은 고딕"/>
              </w:rPr>
              <w:t>CSDC 상하이 지사 &lt;-&gt; HKSCC</w:t>
            </w:r>
          </w:p>
        </w:tc>
      </w:tr>
      <w:tr>
        <w:tc>
          <w:tcPr>
            <w:tcW w:type="dxa" w:w="2880"/>
          </w:tcPr>
          <w:p>
            <w:pPr/>
            <w:r/>
            <w:r>
              <w:rPr>
                <w:rFonts w:ascii="Malgun Gothic" w:hAnsi="Malgun Gothic" w:eastAsia="맑은 고딕"/>
              </w:rPr>
              <w:t>선강통 (Shenzhen-Hong Kong Stock Connect)</w:t>
            </w:r>
          </w:p>
        </w:tc>
        <w:tc>
          <w:tcPr>
            <w:tcW w:type="dxa" w:w="2880"/>
          </w:tcPr>
          <w:p>
            <w:pPr/>
            <w:r/>
            <w:r>
              <w:rPr>
                <w:rFonts w:ascii="Malgun Gothic" w:hAnsi="Malgun Gothic" w:eastAsia="맑은 고딕"/>
              </w:rPr>
              <w:t>2016년 12월</w:t>
            </w:r>
          </w:p>
        </w:tc>
        <w:tc>
          <w:tcPr>
            <w:tcW w:type="dxa" w:w="2880"/>
          </w:tcPr>
          <w:p>
            <w:pPr/>
            <w:r/>
            <w:r>
              <w:rPr>
                <w:rFonts w:ascii="Malgun Gothic" w:hAnsi="Malgun Gothic" w:eastAsia="맑은 고딕"/>
              </w:rPr>
              <w:t>CSDC 선전 지사 &lt;-&gt; HKSCC</w:t>
            </w:r>
          </w:p>
        </w:tc>
      </w:tr>
      <w:tr>
        <w:tc>
          <w:tcPr>
            <w:tcW w:type="dxa" w:w="2880"/>
          </w:tcPr>
          <w:p>
            <w:pPr/>
            <w:r/>
            <w:r>
              <w:rPr>
                <w:rFonts w:ascii="Malgun Gothic" w:hAnsi="Malgun Gothic" w:eastAsia="맑은 고딕"/>
              </w:rPr>
              <w:t>Bond Connect (북향)</w:t>
            </w:r>
          </w:p>
        </w:tc>
        <w:tc>
          <w:tcPr>
            <w:tcW w:type="dxa" w:w="2880"/>
          </w:tcPr>
          <w:p>
            <w:pPr/>
            <w:r/>
            <w:r>
              <w:rPr>
                <w:rFonts w:ascii="Malgun Gothic" w:hAnsi="Malgun Gothic" w:eastAsia="맑은 고딕"/>
              </w:rPr>
              <w:t>2017년 7월</w:t>
            </w:r>
          </w:p>
        </w:tc>
        <w:tc>
          <w:tcPr>
            <w:tcW w:type="dxa" w:w="2880"/>
          </w:tcPr>
          <w:p>
            <w:pPr/>
            <w:r/>
            <w:r>
              <w:rPr>
                <w:rFonts w:ascii="Malgun Gothic" w:hAnsi="Malgun Gothic" w:eastAsia="맑은 고딕"/>
              </w:rPr>
              <w:t>CSDC/CCDC &lt;-&gt; CMU (HKMA)</w:t>
            </w:r>
          </w:p>
        </w:tc>
      </w:tr>
      <w:tr>
        <w:tc>
          <w:tcPr>
            <w:tcW w:type="dxa" w:w="2880"/>
          </w:tcPr>
          <w:p>
            <w:pPr/>
            <w:r/>
            <w:r>
              <w:rPr>
                <w:rFonts w:ascii="Malgun Gothic" w:hAnsi="Malgun Gothic" w:eastAsia="맑은 고딕"/>
              </w:rPr>
              <w:t>Bond Connect (남향)</w:t>
            </w:r>
          </w:p>
        </w:tc>
        <w:tc>
          <w:tcPr>
            <w:tcW w:type="dxa" w:w="2880"/>
          </w:tcPr>
          <w:p>
            <w:pPr/>
            <w:r/>
            <w:r>
              <w:rPr>
                <w:rFonts w:ascii="Malgun Gothic" w:hAnsi="Malgun Gothic" w:eastAsia="맑은 고딕"/>
              </w:rPr>
              <w:t>2021년 9월</w:t>
            </w:r>
          </w:p>
        </w:tc>
        <w:tc>
          <w:tcPr>
            <w:tcW w:type="dxa" w:w="2880"/>
          </w:tcPr>
          <w:p>
            <w:pPr/>
            <w:r/>
            <w:r>
              <w:rPr>
                <w:rFonts w:ascii="Malgun Gothic" w:hAnsi="Malgun Gothic" w:eastAsia="맑은 고딕"/>
              </w:rPr>
              <w:t>CSDC/CCDC &lt;-&gt; CMU (HKMA)</w:t>
            </w:r>
          </w:p>
        </w:tc>
      </w:tr>
    </w:tbl>
    <w:p/>
    <w:p>
      <w:r>
        <w:rPr>
          <w:rFonts w:ascii="Malgun Gothic" w:hAnsi="Malgun Gothic" w:eastAsia="맑은 고딕"/>
          <w:b/>
        </w:rPr>
        <w:t>청산 링크 메커니즘:</w:t>
      </w:r>
    </w:p>
    <w:p>
      <w:pPr>
        <w:pStyle w:val="ListBullet"/>
      </w:pPr>
      <w:r>
        <w:rPr>
          <w:rFonts w:ascii="Malgun Gothic" w:hAnsi="Malgun Gothic" w:eastAsia="맑은 고딕"/>
        </w:rPr>
        <w:t>CSDC와 HKSCC는 상호 청산참가자가 됨</w:t>
      </w:r>
    </w:p>
    <w:p>
      <w:pPr>
        <w:pStyle w:val="ListBullet"/>
      </w:pPr>
      <w:r>
        <w:rPr>
          <w:rFonts w:ascii="Malgun Gothic" w:hAnsi="Malgun Gothic" w:eastAsia="맑은 고딕"/>
          <w:b/>
        </w:rPr>
        <w:t>북향 거래</w:t>
      </w:r>
      <w:r>
        <w:rPr>
          <w:rFonts w:ascii="Malgun Gothic" w:hAnsi="Malgun Gothic" w:eastAsia="맑은 고딕"/>
        </w:rPr>
        <w:t xml:space="preserve"> (해외 투자자의 A주 매입): HKSCC가 자사 청산참가자를 대리하여 CSDC와 결제, A주 결제 규칙 적용 (T+0 증권 / T+1 대금)</w:t>
      </w:r>
    </w:p>
    <w:p>
      <w:pPr>
        <w:pStyle w:val="ListBullet"/>
      </w:pPr>
      <w:r>
        <w:rPr>
          <w:rFonts w:ascii="Malgun Gothic" w:hAnsi="Malgun Gothic" w:eastAsia="맑은 고딕"/>
          <w:b/>
        </w:rPr>
        <w:t>남향 거래</w:t>
      </w:r>
      <w:r>
        <w:rPr>
          <w:rFonts w:ascii="Malgun Gothic" w:hAnsi="Malgun Gothic" w:eastAsia="맑은 고딕"/>
        </w:rPr>
        <w:t xml:space="preserve"> (본토 투자자의 홍콩 주식 매입): CSDC가 자사 청산참가자를 대리하여 HKSCC와 결제, 홍콩 결제 규칙 적용 (T+2)</w:t>
      </w:r>
    </w:p>
    <w:p>
      <w:pPr>
        <w:pStyle w:val="ListBullet"/>
      </w:pPr>
      <w:r>
        <w:rPr>
          <w:rFonts w:ascii="Malgun Gothic" w:hAnsi="Malgun Gothic" w:eastAsia="맑은 고딕"/>
        </w:rPr>
        <w:t>각 CCP는 자사 회원의 거래상대방 리스크를 부담하며; CSDC와 HKSCC는 상대방 회원을 보증하지 않음</w:t>
      </w:r>
    </w:p>
    <w:p>
      <w:r>
        <w:rPr>
          <w:rFonts w:ascii="Malgun Gothic" w:hAnsi="Malgun Gothic" w:eastAsia="맑은 고딕"/>
          <w:color w:val="0563C1"/>
          <w:u w:val="single"/>
        </w:rPr>
        <w:t>Source: [SSE Stock Connect Settlement</w:t>
      </w:r>
      <w:r>
        <w:rPr>
          <w:rFonts w:ascii="Malgun Gothic" w:hAnsi="Malgun Gothic" w:eastAsia="맑은 고딕"/>
        </w:rPr>
        <w:t xml:space="preserve">; </w:t>
      </w:r>
      <w:r>
        <w:rPr>
          <w:rFonts w:ascii="Malgun Gothic" w:hAnsi="Malgun Gothic" w:eastAsia="맑은 고딕"/>
          <w:color w:val="0563C1"/>
          <w:u w:val="single"/>
        </w:rPr>
        <w:t>SFC Joint Announcement</w:t>
      </w:r>
      <w:r>
        <w:rPr>
          <w:rFonts w:ascii="Malgun Gothic" w:hAnsi="Malgun Gothic" w:eastAsia="맑은 고딕"/>
        </w:rPr>
        <w:t>]</w:t>
      </w:r>
    </w:p>
    <w:p>
      <w:pPr>
        <w:pStyle w:val="Heading3"/>
      </w:pPr>
      <w:r>
        <w:rPr>
          <w:rFonts w:ascii="Malgun Gothic" w:hAnsi="Malgun Gothic" w:eastAsia="맑은 고딕"/>
        </w:rPr>
        <w:t>기타 연계 (Other Linkages)</w:t>
      </w:r>
    </w:p>
    <w:p>
      <w:pPr>
        <w:pStyle w:val="ListBullet"/>
      </w:pPr>
      <w:r>
        <w:rPr>
          <w:rFonts w:ascii="Malgun Gothic" w:hAnsi="Malgun Gothic" w:eastAsia="맑은 고딕"/>
          <w:b/>
        </w:rPr>
        <w:t>CCDC (중국중앙예탁청산):</w:t>
      </w:r>
      <w:r>
        <w:rPr>
          <w:rFonts w:ascii="Malgun Gothic" w:hAnsi="Malgun Gothic" w:eastAsia="맑은 고딕"/>
        </w:rPr>
        <w:t xml:space="preserve"> CSDC는 거래소 거래 채권을 처리하고, CCDC는 은행간 채권을 처리 -- 서로 다른 시장을 위한 별도 기관</w:t>
      </w:r>
    </w:p>
    <w:p>
      <w:pPr>
        <w:pStyle w:val="ListBullet"/>
      </w:pPr>
      <w:r>
        <w:rPr>
          <w:rFonts w:ascii="Malgun Gothic" w:hAnsi="Malgun Gothic" w:eastAsia="맑은 고딕"/>
          <w:b/>
        </w:rPr>
        <w:t>베이징증권거래소 / NEEQ:</w:t>
      </w:r>
      <w:r>
        <w:rPr>
          <w:rFonts w:ascii="Malgun Gothic" w:hAnsi="Malgun Gothic" w:eastAsia="맑은 고딕"/>
        </w:rPr>
        <w:t xml:space="preserve"> CSDC는 베이징 데이터 지사를 통해 BSE 및 전국중소기업주식양도시스템(NEEQ, 신삼판)에 대한 청산 제공</w:t>
      </w:r>
    </w:p>
    <w:p>
      <w:pPr>
        <w:ind w:left="720"/>
        <w:shd w:fill="F0F0F0" w:val="clear"/>
      </w:pPr>
      <w:r>
        <w:rPr>
          <w:rFonts w:ascii="Malgun Gothic" w:hAnsi="Malgun Gothic" w:eastAsia="맑은 고딕"/>
          <w:i/>
        </w:rPr>
        <w:t>**KRX/KSD 비교:** KSD는 크로스보더 결제를 위해 다수의 국제 CSD(Euroclear, Clearstream, DTC)와 CSD 링크를 구축하였다. CSDC의 크로스보더 링크는 보다 제한적이며, 주로 Stock Connect 및 Bond Connect 체계를 통해 운영되는데, 이는 중국의 관리자본계정 접근 방식을 반영한다.</w:t>
      </w:r>
    </w:p>
    <w:p>
      <w:pPr>
        <w:pBdr>
          <w:bottom w:val="single" w:sz="4" w:space="1" w:color="auto"/>
        </w:pBdr>
      </w:pPr>
    </w:p>
    <w:p>
      <w:pPr>
        <w:pStyle w:val="Heading2"/>
      </w:pPr>
      <w:r>
        <w:rPr>
          <w:rFonts w:ascii="Malgun Gothic" w:hAnsi="Malgun Gothic" w:eastAsia="맑은 고딕"/>
        </w:rPr>
        <w:t>9. 최근 동향 (Recent Developments)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일자</w:t>
            </w:r>
          </w:p>
        </w:tc>
        <w:tc>
          <w:tcPr>
            <w:tcW w:type="dxa" w:w="4320"/>
            <w:shd w:fill="4472C4" w:val="clear"/>
          </w:tcPr>
          <w:p>
            <w:pPr/>
            <w:r>
              <w:rPr>
                <w:b/>
                <w:color w:val="FFFFFF"/>
              </w:rPr>
            </w:r>
            <w:r>
              <w:rPr>
                <w:rFonts w:ascii="Malgun Gothic" w:hAnsi="Malgun Gothic" w:eastAsia="맑은 고딕"/>
                <w:b/>
                <w:color w:val="FFFFFF"/>
              </w:rPr>
              <w:t>동향</w:t>
            </w:r>
          </w:p>
        </w:tc>
      </w:tr>
      <w:tr>
        <w:tc>
          <w:tcPr>
            <w:tcW w:type="dxa" w:w="4320"/>
          </w:tcPr>
          <w:p>
            <w:pPr/>
            <w:r/>
            <w:r>
              <w:rPr>
                <w:rFonts w:ascii="Malgun Gothic" w:hAnsi="Malgun Gothic" w:eastAsia="맑은 고딕"/>
              </w:rPr>
              <w:t>2022 (1월)</w:t>
            </w:r>
          </w:p>
        </w:tc>
        <w:tc>
          <w:tcPr>
            <w:tcW w:type="dxa" w:w="4320"/>
          </w:tcPr>
          <w:p>
            <w:pPr/>
            <w:r/>
            <w:r>
              <w:rPr>
                <w:rFonts w:ascii="Malgun Gothic" w:hAnsi="Malgun Gothic" w:eastAsia="맑은 고딕"/>
              </w:rPr>
              <w:t>DVP 개혁 시행 -- CSDC 설립 이래 중국 증권결제 시스템의 가장 중요한 구조적 변화</w:t>
            </w:r>
          </w:p>
        </w:tc>
      </w:tr>
      <w:tr>
        <w:tc>
          <w:tcPr>
            <w:tcW w:type="dxa" w:w="4320"/>
          </w:tcPr>
          <w:p>
            <w:pPr/>
            <w:r/>
            <w:r>
              <w:rPr>
                <w:rFonts w:ascii="Malgun Gothic" w:hAnsi="Malgun Gothic" w:eastAsia="맑은 고딕"/>
              </w:rPr>
              <w:t>2024 (1월)</w:t>
            </w:r>
          </w:p>
        </w:tc>
        <w:tc>
          <w:tcPr>
            <w:tcW w:type="dxa" w:w="4320"/>
          </w:tcPr>
          <w:p>
            <w:pPr/>
            <w:r/>
            <w:r>
              <w:rPr>
                <w:rFonts w:ascii="Malgun Gothic" w:hAnsi="Malgun Gothic" w:eastAsia="맑은 고딕"/>
              </w:rPr>
              <w:t>PBOC-HKMA MoU로 Bond Connect CSD 연계 협력 강화</w:t>
            </w:r>
          </w:p>
        </w:tc>
      </w:tr>
      <w:tr>
        <w:tc>
          <w:tcPr>
            <w:tcW w:type="dxa" w:w="4320"/>
          </w:tcPr>
          <w:p>
            <w:pPr/>
            <w:r/>
            <w:r>
              <w:rPr>
                <w:rFonts w:ascii="Malgun Gothic" w:hAnsi="Malgun Gothic" w:eastAsia="맑은 고딕"/>
              </w:rPr>
              <w:t>2024 (4월)</w:t>
            </w:r>
          </w:p>
        </w:tc>
        <w:tc>
          <w:tcPr>
            <w:tcW w:type="dxa" w:w="4320"/>
          </w:tcPr>
          <w:p>
            <w:pPr/>
            <w:r/>
            <w:r>
              <w:rPr>
                <w:rFonts w:ascii="Malgun Gothic" w:hAnsi="Malgun Gothic" w:eastAsia="맑은 고딕"/>
              </w:rPr>
              <w:t>주식 업무 결제준비금 최저 비율 18%에서 16%로 인하</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CSD 연계를 통한 Bond Connect 다통화 결제(CNY, HKD, USD, EUR) 지원</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CSD 연계를 통한 Bond Connect 결제시간 연장</w:t>
            </w:r>
          </w:p>
        </w:tc>
      </w:tr>
      <w:tr>
        <w:tc>
          <w:tcPr>
            <w:tcW w:type="dxa" w:w="4320"/>
          </w:tcPr>
          <w:p>
            <w:pPr/>
            <w:r/>
            <w:r>
              <w:rPr>
                <w:rFonts w:ascii="Malgun Gothic" w:hAnsi="Malgun Gothic" w:eastAsia="맑은 고딕"/>
              </w:rPr>
              <w:t>2025 (8월)</w:t>
            </w:r>
          </w:p>
        </w:tc>
        <w:tc>
          <w:tcPr>
            <w:tcW w:type="dxa" w:w="4320"/>
          </w:tcPr>
          <w:p>
            <w:pPr/>
            <w:r/>
            <w:r>
              <w:rPr>
                <w:rFonts w:ascii="Malgun Gothic" w:hAnsi="Malgun Gothic" w:eastAsia="맑은 고딕"/>
              </w:rPr>
              <w:t xml:space="preserve">인민은행, 등록, 예탁, 청산 및 결제 시스템을 포함하는 금융인프라에 관한 규제조치 공포 </w:t>
            </w:r>
            <w:r>
              <w:rPr>
                <w:rFonts w:ascii="Malgun Gothic" w:hAnsi="Malgun Gothic" w:eastAsia="맑은 고딕"/>
                <w:color w:val="0563C1"/>
                <w:u w:val="single"/>
              </w:rPr>
              <w:t>Source: [Chambers Guide</w:t>
            </w:r>
            <w:r>
              <w:rPr>
                <w:rFonts w:ascii="Malgun Gothic" w:hAnsi="Malgun Gothic" w:eastAsia="맑은 고딕"/>
              </w:rPr>
              <w:t>]</w:t>
            </w:r>
          </w:p>
        </w:tc>
      </w:tr>
      <w:tr>
        <w:tc>
          <w:tcPr>
            <w:tcW w:type="dxa" w:w="4320"/>
          </w:tcPr>
          <w:p>
            <w:pPr/>
            <w:r/>
            <w:r>
              <w:rPr>
                <w:rFonts w:ascii="Malgun Gothic" w:hAnsi="Malgun Gothic" w:eastAsia="맑은 고딕"/>
              </w:rPr>
              <w:t>진행 중</w:t>
            </w:r>
          </w:p>
        </w:tc>
        <w:tc>
          <w:tcPr>
            <w:tcW w:type="dxa" w:w="4320"/>
          </w:tcPr>
          <w:p>
            <w:pPr/>
            <w:r/>
            <w:r>
              <w:rPr>
                <w:rFonts w:ascii="Malgun Gothic" w:hAnsi="Malgun Gothic" w:eastAsia="맑은 고딕"/>
              </w:rPr>
              <w:t>Stock Connect 적격 상품 확대(2022년 ETF 추가); 중국 자본시장의 점진적 개방</w:t>
            </w:r>
          </w:p>
        </w:tc>
      </w:tr>
    </w:tbl>
    <w:p/>
    <w:p>
      <w:r>
        <w:rPr>
          <w:rFonts w:ascii="Malgun Gothic" w:hAnsi="Malgun Gothic" w:eastAsia="맑은 고딕"/>
          <w:b/>
        </w:rPr>
        <w:t>주요 동향:</w:t>
      </w:r>
    </w:p>
    <w:p>
      <w:pPr>
        <w:pStyle w:val="ListBullet"/>
      </w:pPr>
      <w:r>
        <w:rPr>
          <w:rFonts w:ascii="Malgun Gothic" w:hAnsi="Malgun Gothic" w:eastAsia="맑은 고딕"/>
        </w:rPr>
        <w:t>DVP 개혁 이후 국제 PFMI 기준과의 지속적 정렬</w:t>
      </w:r>
    </w:p>
    <w:p>
      <w:pPr>
        <w:pStyle w:val="ListBullet"/>
      </w:pPr>
      <w:r>
        <w:rPr>
          <w:rFonts w:ascii="Malgun Gothic" w:hAnsi="Malgun Gothic" w:eastAsia="맑은 고딕"/>
        </w:rPr>
        <w:t>Stock Connect 및 Bond Connect를 통한 크로스보더 연결의 점진적 확대</w:t>
      </w:r>
    </w:p>
    <w:p>
      <w:pPr>
        <w:pStyle w:val="ListBullet"/>
      </w:pPr>
      <w:r>
        <w:rPr>
          <w:rFonts w:ascii="Malgun Gothic" w:hAnsi="Malgun Gothic" w:eastAsia="맑은 고딕"/>
        </w:rPr>
        <w:t>시장참가자 결제비용 절감 (결제준비금 비율 인하)</w:t>
      </w:r>
    </w:p>
    <w:p>
      <w:pPr>
        <w:pStyle w:val="ListBullet"/>
      </w:pPr>
      <w:r>
        <w:rPr>
          <w:rFonts w:ascii="Malgun Gothic" w:hAnsi="Malgun Gothic" w:eastAsia="맑은 고딕"/>
        </w:rPr>
        <w:t>중소기업/혁신 시장을 위한 베이징증권거래소 청산 인프라 개발</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CSDC Official Website (English)</w:t>
      </w:r>
    </w:p>
    <w:p>
      <w:pPr>
        <w:pStyle w:val="ListBullet"/>
      </w:pPr>
      <w:r>
        <w:rPr>
          <w:rFonts w:ascii="Malgun Gothic" w:hAnsi="Malgun Gothic" w:eastAsia="맑은 고딕"/>
          <w:color w:val="0563C1"/>
          <w:u w:val="single"/>
        </w:rPr>
        <w:t>CSDC Company Profile</w:t>
      </w:r>
    </w:p>
    <w:p>
      <w:pPr>
        <w:pStyle w:val="ListBullet"/>
      </w:pPr>
      <w:r>
        <w:rPr>
          <w:rFonts w:ascii="Malgun Gothic" w:hAnsi="Malgun Gothic" w:eastAsia="맑은 고딕"/>
          <w:color w:val="0563C1"/>
          <w:u w:val="single"/>
        </w:rPr>
        <w:t>Wikipedia - CSDC</w:t>
      </w:r>
    </w:p>
    <w:p>
      <w:pPr>
        <w:pStyle w:val="ListBullet"/>
      </w:pPr>
      <w:r>
        <w:rPr>
          <w:rFonts w:ascii="Malgun Gothic" w:hAnsi="Malgun Gothic" w:eastAsia="맑은 고딕"/>
          <w:color w:val="0563C1"/>
          <w:u w:val="single"/>
        </w:rPr>
        <w:t>WFE Focus - Introducing the DVP Reform of China's Capital Market</w:t>
      </w:r>
    </w:p>
    <w:p>
      <w:pPr>
        <w:pStyle w:val="ListBullet"/>
      </w:pPr>
      <w:r>
        <w:rPr>
          <w:rFonts w:ascii="Malgun Gothic" w:hAnsi="Malgun Gothic" w:eastAsia="맑은 고딕"/>
          <w:color w:val="0563C1"/>
          <w:u w:val="single"/>
        </w:rPr>
        <w:t>SSE - Clearing and Settlement</w:t>
      </w:r>
    </w:p>
    <w:p>
      <w:pPr>
        <w:pStyle w:val="ListBullet"/>
      </w:pPr>
      <w:r>
        <w:rPr>
          <w:rFonts w:ascii="Malgun Gothic" w:hAnsi="Malgun Gothic" w:eastAsia="맑은 고딕"/>
          <w:color w:val="0563C1"/>
          <w:u w:val="single"/>
        </w:rPr>
        <w:t>SSE - Registration and Depository</w:t>
      </w:r>
    </w:p>
    <w:p>
      <w:pPr>
        <w:pStyle w:val="ListBullet"/>
      </w:pPr>
      <w:r>
        <w:rPr>
          <w:rFonts w:ascii="Malgun Gothic" w:hAnsi="Malgun Gothic" w:eastAsia="맑은 고딕"/>
          <w:color w:val="0563C1"/>
          <w:u w:val="single"/>
        </w:rPr>
        <w:t>SSE - Stock Connect Settlement</w:t>
      </w:r>
    </w:p>
    <w:p>
      <w:pPr>
        <w:pStyle w:val="ListBullet"/>
      </w:pPr>
      <w:r>
        <w:rPr>
          <w:rFonts w:ascii="Malgun Gothic" w:hAnsi="Malgun Gothic" w:eastAsia="맑은 고딕"/>
          <w:color w:val="0563C1"/>
          <w:u w:val="single"/>
        </w:rPr>
        <w:t>Clearstream - Settlement Process China</w:t>
      </w:r>
    </w:p>
    <w:p>
      <w:pPr>
        <w:pStyle w:val="ListBullet"/>
      </w:pPr>
      <w:r>
        <w:rPr>
          <w:rFonts w:ascii="Malgun Gothic" w:hAnsi="Malgun Gothic" w:eastAsia="맑은 고딕"/>
          <w:color w:val="0563C1"/>
          <w:u w:val="single"/>
        </w:rPr>
        <w:t>Xinhua Silk Road - CSDC Settlement Reserve Fund Reduction</w:t>
      </w:r>
    </w:p>
    <w:p>
      <w:pPr>
        <w:pStyle w:val="ListBullet"/>
      </w:pPr>
      <w:r>
        <w:rPr>
          <w:rFonts w:ascii="Malgun Gothic" w:hAnsi="Malgun Gothic" w:eastAsia="맑은 고딕"/>
          <w:color w:val="0563C1"/>
          <w:u w:val="single"/>
        </w:rPr>
        <w:t>Chambers - Debt Finance 2025 China</w:t>
      </w:r>
    </w:p>
    <w:p>
      <w:pPr>
        <w:pStyle w:val="ListBullet"/>
      </w:pPr>
      <w:r>
        <w:rPr>
          <w:rFonts w:ascii="Malgun Gothic" w:hAnsi="Malgun Gothic" w:eastAsia="맑은 고딕"/>
          <w:color w:val="0563C1"/>
          <w:u w:val="single"/>
        </w:rPr>
        <w:t>SFC HK - Joint Announcement on Stock Connect</w:t>
      </w:r>
    </w:p>
    <w:p>
      <w:pPr>
        <w:pStyle w:val="ListBullet"/>
      </w:pPr>
      <w:r>
        <w:rPr>
          <w:rFonts w:ascii="Malgun Gothic" w:hAnsi="Malgun Gothic" w:eastAsia="맑은 고딕"/>
          <w:color w:val="0563C1"/>
          <w:u w:val="single"/>
        </w:rPr>
        <w:t>BIS CPSS Red Book - China (2012)</w:t>
      </w:r>
    </w:p>
    <w:p>
      <w:pPr>
        <w:pStyle w:val="ListBullet"/>
      </w:pPr>
      <w:r>
        <w:rPr>
          <w:rFonts w:ascii="Malgun Gothic" w:hAnsi="Malgun Gothic" w:eastAsia="맑은 고딕"/>
        </w:rPr>
        <w:t>CSDC 2024 Statistical Yearbook (中国证券登记结算统计年鉴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