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 w:eastAsia="맑은 고딕"/>
        </w:rPr>
        <w:t>European Central Counterparty N.V. (EuroCCP) / Cboe Clear Europe (유럽중앙청산소 / Cboe 클리어 유럽)</w:t>
      </w:r>
    </w:p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**최종 업데이트:** 2026-04-07</w:t>
      </w:r>
    </w:p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**조사 수준:** Tier 2 (Standard)</w:t>
      </w:r>
    </w:p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**유형:** CCP (중앙청산소)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1. 개요 및 프로필 (Overview &amp;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항목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상세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정식 명칭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Cboe Clear Europe N.V. (구 European Central Counterparty N.V. / EuroCCP)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약칭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CCE (구 EuroCCP)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국가 / 도시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네덜란드 / 암스테르담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웹사이트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color w:val="0563C1"/>
                <w:u w:val="single"/>
              </w:rPr>
              <w:t>https://clear.cboe.com/europe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설립 연도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2007년 (EMCF 및 EuroCCP Ltd 설립); 2013년 (통합 법인); 2014년 (EMIR 인가)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소유 구조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Cboe Global Markets, Inc. (2020년 7월 이후 100% 자회사)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법인식별기호 (LEI)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[미확인]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감독 기관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De Nederlandsche Bank (DNB, 네덜란드 중앙은행) - 주요 감독기관; Autoriteit Financiele Markten (AFM, 네덜란드 금융시장감독청) - 행위감독기관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EMIR 인가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 xml:space="preserve">2014년 4월 1일 EMIR에 따른 CCP 인가 취득 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Source: [ESMA CCP List</w:t>
            </w:r>
            <w:r>
              <w:rPr>
                <w:rFonts w:ascii="Malgun Gothic" w:hAnsi="Malgun Gothic" w:eastAsia="맑은 고딕"/>
              </w:rPr>
              <w:t>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CPMI-IOSCO PFMI 준수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 xml:space="preserve">준수 -- CPMI-IOSCO 자기평가 및 PQD 공시를 분기별로 발행 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Source: [Cboe Clear Public Disclosures</w:t>
            </w:r>
            <w:r>
              <w:rPr>
                <w:rFonts w:ascii="Malgun Gothic" w:hAnsi="Malgun Gothic" w:eastAsia="맑은 고딕"/>
              </w:rPr>
              <w:t>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청산참가자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 xml:space="preserve">50개 활성 청산참가자; 144개 매매회사 서비스 제공 (2024년 12월 기준) 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Source: [Cboe Clear Europe Annual Report 2024</w:t>
            </w:r>
            <w:r>
              <w:rPr>
                <w:rFonts w:ascii="Malgun Gothic" w:hAnsi="Malgun Gothic" w:eastAsia="맑은 고딕"/>
              </w:rPr>
              <w:t>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연결 거래소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52개 거래소 및 시장 세그먼트 (유럽 내 가장 많은 거래소와 연결된 CCP)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연결 CSD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15개 이상의 국가별 중앙예탁기관 (CSD) (SFT 청산용 19개 CSD)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주요 연혁 (Key Historical Milestones)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연도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사건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2007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European Multilateral Clearing Facility N.V. (EMCF) 네덜란드에서 설립; European Central Counterparty Limited (EuroCCP Ltd) DTCC 자회사로 영국에서 설립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2008 (8월)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EuroCCP Ltd 운영 개시, 초기에 Turquoise 범유럽 거래 플랫폼의 청산 서비스 제공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2013 (12월)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 xml:space="preserve">EMCF와 EuroCCP Ltd가 합병하여 European Central Counterparty N.V. (EuroCCP) 설립, 암스테르담 소재. 합병은 손실을 기록하던 두 사업체를 하나의 존속 가능한 법인으로 통합하기 위해 추진됨 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Source: [MarketsWiki - Cboe Clear Europe</w:t>
            </w:r>
            <w:r>
              <w:rPr>
                <w:rFonts w:ascii="Malgun Gothic" w:hAnsi="Malgun Gothic" w:eastAsia="맑은 고딕"/>
              </w:rPr>
              <w:t>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2014 (4월)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EuroCCP, EMIR에 따른 CCP 인가 취득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2019 이전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 xml:space="preserve">복수 주주 공동 소유: Cboe Global Markets (20%), Nasdaq (나스닥, 20%), Euronext (유로넥스트, 20%), ABN Amro 및 DTCC (합산 40%) 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Source: [MarketsWiki</w:t>
            </w:r>
            <w:r>
              <w:rPr>
                <w:rFonts w:ascii="Malgun Gothic" w:hAnsi="Malgun Gothic" w:eastAsia="맑은 고딕"/>
              </w:rPr>
              <w:t>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2019 (12월)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Cboe Global Markets, EuroCCP 지분 100% 인수 계약 발표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2020 (7월 7일)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 xml:space="preserve">Cboe, EuroCCP 인수 완료. 청산 경쟁과 상호운용성을 추구하는 두 회사를 통합 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Source: [Cboe IR</w:t>
            </w:r>
            <w:r>
              <w:rPr>
                <w:rFonts w:ascii="Malgun Gothic" w:hAnsi="Malgun Gothic" w:eastAsia="맑은 고딕"/>
              </w:rPr>
              <w:t>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2021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EuroCCP, Cboe Europe Derivatives (CEDX) 출시를 지원하기 위해 주식 파생상품 청산으로 사업 다각화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2022 (11월 14일)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 xml:space="preserve">European Central Counterparty N.V.에서 Cboe Clear Europe N.V.로 사명 변경 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Source: [Markets Media</w:t>
            </w:r>
            <w:r>
              <w:rPr>
                <w:rFonts w:ascii="Malgun Gothic" w:hAnsi="Malgun Gothic" w:eastAsia="맑은 고딕"/>
              </w:rPr>
              <w:t>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2023 (6월)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 xml:space="preserve">Cboe Clear Europe, 증권금융거래(SFT) CCP 청산 서비스 도입 계획 발표 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Source: [PR Newswire</w:t>
            </w:r>
            <w:r>
              <w:rPr>
                <w:rFonts w:ascii="Malgun Gothic" w:hAnsi="Malgun Gothic" w:eastAsia="맑은 고딕"/>
              </w:rPr>
              <w:t>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2024 (11월)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 xml:space="preserve">DNB/AFM으로부터 유럽 SFT 청산 규제 승인 취득 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Source: [Cboe IR</w:t>
            </w:r>
            <w:r>
              <w:rPr>
                <w:rFonts w:ascii="Malgun Gothic" w:hAnsi="Malgun Gothic" w:eastAsia="맑은 고딕"/>
              </w:rPr>
              <w:t>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2025 (3월 31일)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 xml:space="preserve">Cboe Clear Europe, 유럽 증권금융거래(SFT) 청산 개시 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Source: [PR Newswire</w:t>
            </w:r>
            <w:r>
              <w:rPr>
                <w:rFonts w:ascii="Malgun Gothic" w:hAnsi="Malgun Gothic" w:eastAsia="맑은 고딕"/>
              </w:rPr>
              <w:t>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2025 (Q4)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현물주식 시장점유율 Q4 2025 39.6% 달성 (Q4 2024 38.5% 대비 상승)</w:t>
            </w:r>
          </w:p>
        </w:tc>
      </w:tr>
    </w:tbl>
    <w:p/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**DTCC 연혁:** EuroCCP는 원래 DTCC (Depository Trust &amp; Clearing Corporation, 미국예탁신탁청산회사)의 유럽 자회사로 출발하였으며, 미국식 중앙집중청산의 효율성을 유럽 주식시장에 도입하기 위해 설립되었다. DTCC와의 관계는 소유 구조의 점진적 다각화를 거쳐 2020년 Cboe의 완전 인수로 종료되었다. [Source: [Cboe Insights - Our Origins](https://www.cboe.com/insights/posts/our-origins-delivering-efficiencies-with-euro-ccp/)]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2. 청산 모델 (Clearing Model)</w:t>
      </w:r>
    </w:p>
    <w:p>
      <w:pPr>
        <w:pStyle w:val="Heading3"/>
      </w:pPr>
      <w:r>
        <w:rPr>
          <w:rFonts w:ascii="Malgun Gothic" w:hAnsi="Malgun Gothic" w:eastAsia="맑은 고딕"/>
        </w:rPr>
        <w:t>2.1 CCP 서비스 (CCP Services)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서비스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상품 분류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설명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주요 통계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현물주식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주식, ETF, 예탁증서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52개 거래소 및 시장 세그먼트에 걸친 범유럽 청산, 전체 유럽 주식 거래의 약 95% 커버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 xml:space="preserve">2024년 12억 건의 고객 거래 청산(전년 대비 +5%); 일평균 CCP 보호 가치 EUR 493억 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Source: [Cboe Clear Europe Annual Report 2024</w:t>
            </w:r>
            <w:r>
              <w:rPr>
                <w:rFonts w:ascii="Malgun Gothic" w:hAnsi="Malgun Gothic" w:eastAsia="맑은 고딕"/>
              </w:rPr>
              <w:t>]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주식 파생상품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유럽 주식 옵션 및 선물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Cboe Europe Derivatives (CEDX) 범유럽 주식 파생상품 거래소(2021년 출시) 청산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 xml:space="preserve">2024년 210,000 lot 청산 (2023년 94,000 lot 대비 증가) 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Source: [Cboe Clear Europe Annual Report 2024</w:t>
            </w:r>
            <w:r>
              <w:rPr>
                <w:rFonts w:ascii="Malgun Gothic" w:hAnsi="Malgun Gothic" w:eastAsia="맑은 고딕"/>
              </w:rPr>
              <w:t>]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증권금융거래 (SFT)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증권대차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>유럽 현물주식 및 ETF 대상 SFT의 매칭, CCP 청산, 결제 및 사후거래 생애주기 관리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Malgun Gothic" w:hAnsi="Malgun Gothic" w:eastAsia="맑은 고딕"/>
              </w:rPr>
              <w:t xml:space="preserve">2025년 3월 출시; Bank of America, State Street 등 9개 초기 참가자; 19개 유럽 CSD를 통한 결제 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Source: [PR Newswire</w:t>
            </w:r>
            <w:r>
              <w:rPr>
                <w:rFonts w:ascii="Malgun Gothic" w:hAnsi="Malgun Gothic" w:eastAsia="맑은 고딕"/>
              </w:rPr>
              <w:t>]</w:t>
            </w:r>
          </w:p>
        </w:tc>
      </w:tr>
    </w:tbl>
    <w:p/>
    <w:p>
      <w:r>
        <w:rPr>
          <w:rFonts w:ascii="Malgun Gothic" w:hAnsi="Malgun Gothic" w:eastAsia="맑은 고딕"/>
          <w:b/>
        </w:rPr>
        <w:t>대상 시장 (20개 이상 유럽 시장의 증권):</w:t>
      </w:r>
      <w:r>
        <w:rPr>
          <w:rFonts w:ascii="Malgun Gothic" w:hAnsi="Malgun Gothic" w:eastAsia="맑은 고딕"/>
        </w:rPr>
        <w:t xml:space="preserve"> 오스트리아, 벨기에, 덴마크, 핀란드, 프랑스, 독일, 아일랜드, 이탈리아, 네덜란드, 노르웨이, 포르투갈, 스페인, 스웨덴, 스위스, 영국, 폴란드 등. </w:t>
      </w:r>
      <w:r>
        <w:rPr>
          <w:rFonts w:ascii="Malgun Gothic" w:hAnsi="Malgun Gothic" w:eastAsia="맑은 고딕"/>
          <w:color w:val="0563C1"/>
          <w:u w:val="single"/>
        </w:rPr>
        <w:t>Source: [Cboe Clear - Markets</w:t>
      </w:r>
      <w:r>
        <w:rPr>
          <w:rFonts w:ascii="Malgun Gothic" w:hAnsi="Malgun Gothic" w:eastAsia="맑은 고딕"/>
        </w:rPr>
        <w:t>]</w:t>
      </w:r>
    </w:p>
    <w:p>
      <w:pPr>
        <w:pStyle w:val="Heading3"/>
      </w:pPr>
      <w:r>
        <w:rPr>
          <w:rFonts w:ascii="Malgun Gothic" w:hAnsi="Malgun Gothic" w:eastAsia="맑은 고딕"/>
        </w:rPr>
        <w:t>2.2 채무인수 절차 (Novation Process)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오픈 오퍼 모델 (Open Offer Model):</w:t>
      </w:r>
      <w:r>
        <w:rPr>
          <w:rFonts w:ascii="Malgun Gothic" w:hAnsi="Malgun Gothic" w:eastAsia="맑은 고딕"/>
        </w:rPr>
        <w:t xml:space="preserve"> Cboe Clear Europe는 거래 등록 시점에서 채무인수(경개)를 통해 중앙거래상대방으로 개입한다. 매수자와 매도자 간의 원래 쌍무적 의무가 CCP와 각 거래상대방 간의 두 개의 새로운 의무로 대체된다.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실시간 처리:</w:t>
      </w:r>
      <w:r>
        <w:rPr>
          <w:rFonts w:ascii="Malgun Gothic" w:hAnsi="Malgun Gothic" w:eastAsia="맑은 고딕"/>
        </w:rPr>
        <w:t xml:space="preserve"> 거래는 거래 플랫폼으로부터 수신되는 즉시 리스크 관리 시스템에 전달된다. 증거금 및 손익은 실시간으로 재산정된다.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거래 등록:</w:t>
      </w:r>
      <w:r>
        <w:rPr>
          <w:rFonts w:ascii="Malgun Gothic" w:hAnsi="Malgun Gothic" w:eastAsia="맑은 고딕"/>
        </w:rPr>
        <w:t xml:space="preserve"> 연결된 거래소로부터 수신된 거래는 리스크 검증을 거쳐 수용 및 채무인수된다.</w:t>
      </w:r>
    </w:p>
    <w:p>
      <w:r>
        <w:rPr>
          <w:rFonts w:ascii="Malgun Gothic" w:hAnsi="Malgun Gothic" w:eastAsia="맑은 고딕"/>
          <w:color w:val="0563C1"/>
          <w:u w:val="single"/>
        </w:rPr>
        <w:t>Source: [CPMI-IOSCO Disclosure Framework - EuroCCP Sept 2020</w:t>
      </w:r>
      <w:r>
        <w:rPr>
          <w:rFonts w:ascii="Malgun Gothic" w:hAnsi="Malgun Gothic" w:eastAsia="맑은 고딕"/>
        </w:rPr>
        <w:t>]</w:t>
      </w:r>
    </w:p>
    <w:p>
      <w:pPr>
        <w:pStyle w:val="Heading3"/>
      </w:pPr>
      <w:r>
        <w:rPr>
          <w:rFonts w:ascii="Malgun Gothic" w:hAnsi="Malgun Gothic" w:eastAsia="맑은 고딕"/>
        </w:rPr>
        <w:t>2.3 차감 (Netting)</w:t>
      </w:r>
    </w:p>
    <w:p>
      <w:r>
        <w:rPr>
          <w:rFonts w:ascii="Malgun Gothic" w:hAnsi="Malgun Gothic" w:eastAsia="맑은 고딕"/>
          <w:b/>
        </w:rPr>
        <w:t>다자간차감 (Multilateral Netting):</w:t>
      </w:r>
    </w:p>
    <w:p>
      <w:pPr>
        <w:pStyle w:val="ListBullet"/>
      </w:pPr>
      <w:r>
        <w:rPr>
          <w:rFonts w:ascii="Malgun Gothic" w:hAnsi="Malgun Gothic" w:eastAsia="맑은 고딕"/>
        </w:rPr>
        <w:t>Cboe Clear Europe는 청산참가자별로 모든 청산 포지션에 대해 다자간차감을 수행하며, 총결제 의무를 ISIN별, CSD별 순결제 금액으로 축소한다.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차감 효율성:</w:t>
      </w:r>
      <w:r>
        <w:rPr>
          <w:rFonts w:ascii="Malgun Gothic" w:hAnsi="Malgun Gothic" w:eastAsia="맑은 고딕"/>
        </w:rPr>
        <w:t xml:space="preserve"> 2024년 기준, 차감을 통해 결제가 필요했을 일평균 가치의 70.29% (EUR 346억)를 제거하였다. 즉, 일평균 CCP 보호 가치 EUR 493억 중 실제 결제가 필요한 금액은 약 EUR 147억에 불과하였다.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교차 거래소 차감:</w:t>
      </w:r>
      <w:r>
        <w:rPr>
          <w:rFonts w:ascii="Malgun Gothic" w:hAnsi="Malgun Gothic" w:eastAsia="맑은 고딕"/>
        </w:rPr>
        <w:t xml:space="preserve"> Cboe Clear Europe의 핵심 이점은 복수 거래소의 포지션을 ISIN별 단일 결제 의무로 차감할 수 있어, 결제 건수와 비용을 크게 절감한다는 점이다.</w:t>
      </w:r>
    </w:p>
    <w:p>
      <w:r>
        <w:rPr>
          <w:rFonts w:ascii="Malgun Gothic" w:hAnsi="Malgun Gothic" w:eastAsia="맑은 고딕"/>
          <w:color w:val="0563C1"/>
          <w:u w:val="single"/>
        </w:rPr>
        <w:t>Source: [Cboe Clear Europe Annual Report 2024</w:t>
      </w:r>
      <w:r>
        <w:rPr>
          <w:rFonts w:ascii="Malgun Gothic" w:hAnsi="Malgun Gothic" w:eastAsia="맑은 고딕"/>
        </w:rPr>
        <w:t>]</w:t>
      </w:r>
    </w:p>
    <w:p>
      <w:pPr>
        <w:pStyle w:val="Heading3"/>
      </w:pPr>
      <w:r>
        <w:rPr>
          <w:rFonts w:ascii="Malgun Gothic" w:hAnsi="Malgun Gothic" w:eastAsia="맑은 고딕"/>
        </w:rPr>
        <w:t>2.4 청산회원 (Clearing Membership)</w:t>
      </w:r>
    </w:p>
    <w:p>
      <w:r>
        <w:rPr>
          <w:rFonts w:ascii="Malgun Gothic" w:hAnsi="Malgun Gothic" w:eastAsia="맑은 고딕"/>
          <w:b/>
        </w:rPr>
        <w:t>회원 유형: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유형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General Clearing Participant (GCP, 총괄청산참가자)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자기 거래 및 비청산참가자(NCP)의 거래를 청산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Direct Clearing Participant (DCP, 직접청산참가자)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자기 거래만 청산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Special Participant (SFT, 특별참가자)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SFT 청산용 -- 증거금 납부 및 공동기금 출연 없이 참여 가능한 수익자(UCITS 및 비UCITS) [미확인 -- 구체적 조건은 다를 수 있음]</w:t>
            </w:r>
          </w:p>
        </w:tc>
      </w:tr>
    </w:tbl>
    <w:p/>
    <w:p>
      <w:r>
        <w:rPr>
          <w:rFonts w:ascii="Malgun Gothic" w:hAnsi="Malgun Gothic" w:eastAsia="맑은 고딕"/>
          <w:b/>
        </w:rPr>
        <w:t>회원 요건 (일반):</w:t>
      </w:r>
    </w:p>
    <w:p>
      <w:pPr>
        <w:pStyle w:val="ListBullet"/>
      </w:pPr>
      <w:r>
        <w:rPr>
          <w:rFonts w:ascii="Malgun Gothic" w:hAnsi="Malgun Gothic" w:eastAsia="맑은 고딕"/>
        </w:rPr>
        <w:t>Cboe Clear Europe 청산규정집에 정의된 충분한 재무 자원 및 최소 자본 요건</w:t>
      </w:r>
    </w:p>
    <w:p>
      <w:pPr>
        <w:pStyle w:val="ListBullet"/>
      </w:pPr>
      <w:r>
        <w:rPr>
          <w:rFonts w:ascii="Malgun Gothic" w:hAnsi="Malgun Gothic" w:eastAsia="맑은 고딕"/>
        </w:rPr>
        <w:t>적절한 은행 거래 관계</w:t>
      </w:r>
    </w:p>
    <w:p>
      <w:pPr>
        <w:pStyle w:val="ListBullet"/>
      </w:pPr>
      <w:r>
        <w:rPr>
          <w:rFonts w:ascii="Malgun Gothic" w:hAnsi="Malgun Gothic" w:eastAsia="맑은 고딕"/>
        </w:rPr>
        <w:t>경험 있는 인력 및 적절한 운영 시스템</w:t>
      </w:r>
    </w:p>
    <w:p>
      <w:pPr>
        <w:pStyle w:val="ListBullet"/>
      </w:pPr>
      <w:r>
        <w:rPr>
          <w:rFonts w:ascii="Malgun Gothic" w:hAnsi="Malgun Gothic" w:eastAsia="맑은 고딕"/>
        </w:rPr>
        <w:t>KYC/AML 규정 준수</w:t>
      </w:r>
    </w:p>
    <w:p>
      <w:pPr>
        <w:pStyle w:val="ListBullet"/>
      </w:pPr>
      <w:r>
        <w:rPr>
          <w:rFonts w:ascii="Malgun Gothic" w:hAnsi="Malgun Gothic" w:eastAsia="맑은 고딕"/>
        </w:rPr>
        <w:t>청산참가자 계약 체결</w:t>
      </w:r>
    </w:p>
    <w:p>
      <w:pPr>
        <w:pStyle w:val="ListBullet"/>
      </w:pPr>
      <w:r>
        <w:rPr>
          <w:rFonts w:ascii="Malgun Gothic" w:hAnsi="Malgun Gothic" w:eastAsia="맑은 고딕"/>
        </w:rPr>
        <w:t>관련 CSD에서의 결제대리인 약정</w:t>
      </w:r>
    </w:p>
    <w:p>
      <w:r>
        <w:rPr>
          <w:rFonts w:ascii="Malgun Gothic" w:hAnsi="Malgun Gothic" w:eastAsia="맑은 고딕"/>
          <w:color w:val="0563C1"/>
          <w:u w:val="single"/>
        </w:rPr>
        <w:t>Source: [Cboe Clear - Membership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Clearing Participant Agreement</w:t>
      </w:r>
      <w:r>
        <w:rPr>
          <w:rFonts w:ascii="Malgun Gothic" w:hAnsi="Malgun Gothic" w:eastAsia="맑은 고딕"/>
        </w:rPr>
        <w:t>]</w:t>
      </w:r>
    </w:p>
    <w:p>
      <w:r>
        <w:rPr>
          <w:rFonts w:ascii="Malgun Gothic" w:hAnsi="Malgun Gothic" w:eastAsia="맑은 고딕"/>
          <w:b/>
        </w:rPr>
        <w:t>활성 참가자 (2024년):</w:t>
      </w:r>
      <w:r>
        <w:rPr>
          <w:rFonts w:ascii="Malgun Gothic" w:hAnsi="Malgun Gothic" w:eastAsia="맑은 고딕"/>
        </w:rPr>
        <w:t xml:space="preserve"> 청산참가자 50개; 매매회사 144개 </w:t>
      </w:r>
      <w:r>
        <w:rPr>
          <w:rFonts w:ascii="Malgun Gothic" w:hAnsi="Malgun Gothic" w:eastAsia="맑은 고딕"/>
          <w:color w:val="0563C1"/>
          <w:u w:val="single"/>
        </w:rPr>
        <w:t>Source: [Cboe Clear Europe Annual Report 2024</w:t>
      </w:r>
      <w:r>
        <w:rPr>
          <w:rFonts w:ascii="Malgun Gothic" w:hAnsi="Malgun Gothic" w:eastAsia="맑은 고딕"/>
        </w:rPr>
        <w:t>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3. 리스크 관리 (Risk Management)</w:t>
      </w:r>
    </w:p>
    <w:p>
      <w:pPr>
        <w:pStyle w:val="Heading3"/>
      </w:pPr>
      <w:r>
        <w:rPr>
          <w:rFonts w:ascii="Malgun Gothic" w:hAnsi="Malgun Gothic" w:eastAsia="맑은 고딕"/>
        </w:rPr>
        <w:t>3.1 증거금 체계 (Margin Framework)</w:t>
      </w:r>
    </w:p>
    <w:p>
      <w:r>
        <w:rPr>
          <w:rFonts w:ascii="Malgun Gothic" w:hAnsi="Malgun Gothic" w:eastAsia="맑은 고딕"/>
        </w:rPr>
        <w:t xml:space="preserve">Cboe Clear Europe는 EMIR에서 요구하는 바와 같이 </w:t>
      </w:r>
      <w:r>
        <w:rPr>
          <w:rFonts w:ascii="Malgun Gothic" w:hAnsi="Malgun Gothic" w:eastAsia="맑은 고딕"/>
          <w:b/>
        </w:rPr>
        <w:t>조건부 위험가치(CVaR, Conditional Value-at-Risk)</w:t>
      </w:r>
      <w:r>
        <w:rPr>
          <w:rFonts w:ascii="Malgun Gothic" w:hAnsi="Malgun Gothic" w:eastAsia="맑은 고딕"/>
        </w:rPr>
        <w:t xml:space="preserve"> 기반 증거금 모델을 사용한다.</w:t>
      </w:r>
    </w:p>
    <w:p>
      <w:r>
        <w:rPr>
          <w:rFonts w:ascii="Malgun Gothic" w:hAnsi="Malgun Gothic" w:eastAsia="맑은 고딕"/>
          <w:b/>
        </w:rPr>
        <w:t>증권 증거금 모델 파라미터: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파라미터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값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모델 유형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역사적 시뮬레이션 CVaR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신뢰수준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99% (CVaR로 99번째 백분위수 이상의 꼬리 리스크 포착)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증거금 리스크 기간 (MPOR)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2영업일 (현물주식); 3영업일 (특정 상품) [미확인 -- MPOR는 서비스별로 다를 수 있음]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관찰 기간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700개 역사적 시나리오 (약 2.8년 데이터)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최소 데이터 요건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최소 12개월, 스트레스 기간을 포함한 전체 시장 상황 반영 (EMIR 요건)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경기순응성 완화 조치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Stressed Historical Simulation (StressHS) 증거금, EMIR RTS 제28조(1)(b)항 준거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재산정 주기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실시간으로 최소 5분마다</w:t>
            </w:r>
          </w:p>
        </w:tc>
      </w:tr>
    </w:tbl>
    <w:p/>
    <w:p>
      <w:r>
        <w:rPr>
          <w:rFonts w:ascii="Malgun Gothic" w:hAnsi="Malgun Gothic" w:eastAsia="맑은 고딕"/>
          <w:color w:val="0563C1"/>
          <w:u w:val="single"/>
        </w:rPr>
        <w:t>Source: [Cboe Clear Europe Margin Model Description - Securities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ECB Occasional Paper on CCP IM Models</w:t>
      </w:r>
      <w:r>
        <w:rPr>
          <w:rFonts w:ascii="Malgun Gothic" w:hAnsi="Malgun Gothic" w:eastAsia="맑은 고딕"/>
        </w:rPr>
        <w:t>]</w:t>
      </w:r>
    </w:p>
    <w:p>
      <w:r>
        <w:rPr>
          <w:rFonts w:ascii="Malgun Gothic" w:hAnsi="Malgun Gothic" w:eastAsia="맑은 고딕"/>
          <w:b/>
        </w:rPr>
        <w:t>증거금 구성요소: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구성요소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개시증거금 (Initial Margin, IM)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CVaR 모델 기반 잠재적 미래 익스포저; 99% 신뢰수준에서 MPOR 기간 최악의 손실 커버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변동증거금 (Variation Margin, VM)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시가평가(Mark-to-Market) / 미실현 손익을 반영한 현재 익스포저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총 증거금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Max [0; (개시증거금 - 변동증거금)]; VM 이익이 IM을 초과하면 추가 증거금 불요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추가 증거금 (Add-ons)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핵심 IM 모델이 포착하지 못하는 리스크 커버 (예: 집중리스크, 유동성리스크, 역방향리스크)</w:t>
            </w:r>
          </w:p>
        </w:tc>
      </w:tr>
    </w:tbl>
    <w:p/>
    <w:p>
      <w:r>
        <w:rPr>
          <w:rFonts w:ascii="Malgun Gothic" w:hAnsi="Malgun Gothic" w:eastAsia="맑은 고딕"/>
          <w:b/>
        </w:rPr>
        <w:t>교차상품 증거금 (Cross-Product Margining):</w:t>
      </w:r>
    </w:p>
    <w:p>
      <w:pPr>
        <w:pStyle w:val="ListBullet"/>
      </w:pPr>
      <w:r>
        <w:rPr>
          <w:rFonts w:ascii="Malgun Gothic" w:hAnsi="Malgun Gothic" w:eastAsia="맑은 고딕"/>
        </w:rPr>
        <w:t>Cboe Clear Europe는 현물주식, 파생상품, SFT 포지션 간 교차상품 증거금을 제공하며, 상관관계가 정당화되는 경우 증거금 상계를 인정한다.</w:t>
      </w:r>
    </w:p>
    <w:p>
      <w:r>
        <w:rPr>
          <w:rFonts w:ascii="Malgun Gothic" w:hAnsi="Malgun Gothic" w:eastAsia="맑은 고딕"/>
          <w:color w:val="0563C1"/>
          <w:u w:val="single"/>
        </w:rPr>
        <w:t>Source: [CPMI-IOSCO Disclosure Framework - EuroCCP Sept 2020</w:t>
      </w:r>
      <w:r>
        <w:rPr>
          <w:rFonts w:ascii="Malgun Gothic" w:hAnsi="Malgun Gothic" w:eastAsia="맑은 고딕"/>
        </w:rPr>
        <w:t>]</w:t>
      </w:r>
    </w:p>
    <w:p>
      <w:r>
        <w:rPr>
          <w:rFonts w:ascii="Malgun Gothic" w:hAnsi="Malgun Gothic" w:eastAsia="맑은 고딕"/>
          <w:b/>
        </w:rPr>
        <w:t>실시간 리스크 관리 (Real-Time Risk Management, RTRM):</w:t>
      </w:r>
    </w:p>
    <w:p>
      <w:pPr>
        <w:pStyle w:val="ListBullet"/>
      </w:pPr>
      <w:r>
        <w:rPr>
          <w:rFonts w:ascii="Malgun Gothic" w:hAnsi="Malgun Gothic" w:eastAsia="맑은 고딕"/>
        </w:rPr>
        <w:t>리스크 관리 시스템(COH/RTRM -- Collateral Haircut / Real Time Risk Management)은 청산참가자 및 상호운용 CCP에 대한 증거금 요건을 산정한다.</w:t>
      </w:r>
    </w:p>
    <w:p>
      <w:pPr>
        <w:pStyle w:val="ListBullet"/>
      </w:pPr>
      <w:r>
        <w:rPr>
          <w:rFonts w:ascii="Malgun Gothic" w:hAnsi="Malgun Gothic" w:eastAsia="맑은 고딕"/>
        </w:rPr>
        <w:t>가격은 데이터 제공업체(Refinitiv)로부터 수신되는 즉시 업데이트된다.</w:t>
      </w:r>
    </w:p>
    <w:p>
      <w:pPr>
        <w:pStyle w:val="ListBullet"/>
      </w:pPr>
      <w:r>
        <w:rPr>
          <w:rFonts w:ascii="Malgun Gothic" w:hAnsi="Malgun Gothic" w:eastAsia="맑은 고딕"/>
        </w:rPr>
        <w:t>포트폴리오 손익은 실시간으로 재산정된다.</w:t>
      </w:r>
    </w:p>
    <w:p>
      <w:pPr>
        <w:pStyle w:val="Heading3"/>
      </w:pPr>
      <w:r>
        <w:rPr>
          <w:rFonts w:ascii="Malgun Gothic" w:hAnsi="Malgun Gothic" w:eastAsia="맑은 고딕"/>
        </w:rPr>
        <w:t>3.2 증거금 징수 일정 (Margin Call Schedule)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증거금 징수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시기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장마감 증거금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장 마감 후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종가 기준 전체 재산정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장중 증거금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거래 시간 중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실시간 모니터링에서 증거금 부족 감지 시 발동; 최소 5분마다 재산정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상호운용기금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CET 09:00 이전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상호운용기금 예탁 요건 일일 산정; 추가 예탁 필요 시 CET 09:00 전 이메일 통지, CET 09:30 전 자동이체로 계좌 인출</w:t>
            </w:r>
          </w:p>
        </w:tc>
      </w:tr>
    </w:tbl>
    <w:p/>
    <w:p>
      <w:r>
        <w:rPr>
          <w:rFonts w:ascii="Malgun Gothic" w:hAnsi="Malgun Gothic" w:eastAsia="맑은 고딕"/>
          <w:color w:val="0563C1"/>
          <w:u w:val="single"/>
        </w:rPr>
        <w:t>Source: [Cboe Clear Europe - Risk Management</w:t>
      </w:r>
      <w:r>
        <w:rPr>
          <w:rFonts w:ascii="Malgun Gothic" w:hAnsi="Malgun Gothic" w:eastAsia="맑은 고딕"/>
        </w:rPr>
        <w:t>]</w:t>
      </w:r>
    </w:p>
    <w:p>
      <w:pPr>
        <w:pStyle w:val="Heading3"/>
      </w:pPr>
      <w:r>
        <w:rPr>
          <w:rFonts w:ascii="Malgun Gothic" w:hAnsi="Malgun Gothic" w:eastAsia="맑은 고딕"/>
        </w:rPr>
        <w:t>3.3 손실부담순서 (Default Waterfall)</w:t>
      </w:r>
    </w:p>
    <w:p>
      <w:r>
        <w:rPr>
          <w:rFonts w:ascii="Malgun Gothic" w:hAnsi="Malgun Gothic" w:eastAsia="맑은 고딕"/>
        </w:rPr>
        <w:t>청산참가자 부도 시 재무 자원이 적용되는 순서를 정의하는 손실부담순서는 다음과 같다: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순서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자원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1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부도회원의 증거금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부도 참가자의 개시증거금 및 변동증거금이 우선 적용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2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부도회원의 공동기금 출연분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부도 참가자의 Clearing Fund 분담분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3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CCP 자기자본 출연분 (1차, Skin-in-the-Game)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 xml:space="preserve">Cboe Clear Europe 자체 전용 재무 자원, 최소 필요자본의 25% 상당. 2021년 중반 기준 약 EUR 680만 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Source: [Cboe Insights - Dedicated Own Resources July 2021</w:t>
            </w:r>
            <w:r>
              <w:rPr>
                <w:rFonts w:ascii="Malgun Gothic" w:hAnsi="Malgun Gothic" w:eastAsia="맑은 고딕"/>
              </w:rPr>
              <w:t>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4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비부도회원의 공동기금 출연분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생존(비부도) 청산참가자의 Clearing Fund 출연분을 상호 부담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5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CCP 추가 전용 자원 (2차)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EU 회복 및 정리 규정(R&amp;R Regulation) 제9조(14)항에 따라 도입된 Cboe Clear Europe의 추가 자체 재무 자원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6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회복 수단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손실부담순서 이후의 추가 징수 -- 비부도회원에 대한 손실배분, 추가분담금 부과 권한 및 기타 회복 조치 포함</w:t>
            </w:r>
          </w:p>
        </w:tc>
      </w:tr>
    </w:tbl>
    <w:p/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**규모 관련 참고:** Clearing Fund 및 CCP 전용 자원의 정확한 현재 규모는 변동한다. 2021년 공시 기준 CCP 자기자본 출연분(Skin-in-the-Game)은 EUR 680만(최소 자본의 25%)이었다. Clearing Fund 총 규모는 스트레스 테스트 결과 및 참가자 구성에 따라 변동한다. 최신 수치는 최근 PQD 공시를 참조. [Source: [Cboe Clear Public Disclosures](https://clear.cboe.com/europe/resources/documentation/public_disclosures)]</w:t>
      </w:r>
    </w:p>
    <w:p>
      <w:r>
        <w:rPr>
          <w:rFonts w:ascii="Malgun Gothic" w:hAnsi="Malgun Gothic" w:eastAsia="맑은 고딕"/>
          <w:color w:val="0563C1"/>
          <w:u w:val="single"/>
        </w:rPr>
        <w:t>Source: [Cboe Clear Europe Clearing Rule Book</w:t>
      </w:r>
      <w:r>
        <w:rPr>
          <w:rFonts w:ascii="Malgun Gothic" w:hAnsi="Malgun Gothic" w:eastAsia="맑은 고딕"/>
        </w:rPr>
        <w:t>, Article 9.1.2]</w:t>
      </w:r>
    </w:p>
    <w:p>
      <w:pPr>
        <w:pStyle w:val="Heading3"/>
      </w:pPr>
      <w:r>
        <w:rPr>
          <w:rFonts w:ascii="Malgun Gothic" w:hAnsi="Malgun Gothic" w:eastAsia="맑은 고딕"/>
        </w:rPr>
        <w:t>3.4 공동기금 (Default Fund / Guarantee Fund)</w:t>
      </w:r>
    </w:p>
    <w:p>
      <w:r>
        <w:rPr>
          <w:rFonts w:ascii="Malgun Gothic" w:hAnsi="Malgun Gothic" w:eastAsia="맑은 고딕"/>
          <w:b/>
        </w:rPr>
        <w:t>Clearing Fund (공동기금):</w:t>
      </w:r>
    </w:p>
    <w:p>
      <w:pPr>
        <w:pStyle w:val="ListBullet"/>
      </w:pPr>
      <w:r>
        <w:rPr>
          <w:rFonts w:ascii="Malgun Gothic" w:hAnsi="Malgun Gothic" w:eastAsia="맑은 고딕"/>
        </w:rPr>
        <w:t>모든 청산참가자는 리스크 프로필 및 스트레스 테스트 결과에 기반하여 Clearing Fund에 출연한다.</w:t>
      </w:r>
    </w:p>
    <w:p>
      <w:pPr>
        <w:pStyle w:val="ListBullet"/>
      </w:pPr>
      <w:r>
        <w:rPr>
          <w:rFonts w:ascii="Malgun Gothic" w:hAnsi="Malgun Gothic" w:eastAsia="맑은 고딕"/>
        </w:rPr>
        <w:t>기금 규모는 EMIR 요건에 따라 극단적이나 현실적인 스트레스 시나리오 하에서 최대 회원 1개사(Cover 1) 또는 2개사(Cover 2) 동시 부도를 커버하도록 산정된다.</w:t>
      </w:r>
    </w:p>
    <w:p>
      <w:pPr>
        <w:pStyle w:val="ListBullet"/>
      </w:pPr>
      <w:r>
        <w:rPr>
          <w:rFonts w:ascii="Malgun Gothic" w:hAnsi="Malgun Gothic" w:eastAsia="맑은 고딕"/>
        </w:rPr>
        <w:t>출연금은 주기적으로 재산정되며, 부도 발생 후 보충 징수가 가능하다.</w:t>
      </w:r>
    </w:p>
    <w:p>
      <w:pPr>
        <w:pStyle w:val="ListBullet"/>
      </w:pPr>
      <w:r>
        <w:rPr>
          <w:rFonts w:ascii="Malgun Gothic" w:hAnsi="Malgun Gothic" w:eastAsia="맑은 고딕"/>
        </w:rPr>
        <w:t>상호운용기금(Interoperability Fund)은 별도의 기금 체계로 운영된다.</w:t>
      </w:r>
    </w:p>
    <w:p>
      <w:r>
        <w:rPr>
          <w:rFonts w:ascii="Malgun Gothic" w:hAnsi="Malgun Gothic" w:eastAsia="맑은 고딕"/>
          <w:b/>
        </w:rPr>
        <w:t>상호운용기금 (Interoperability Fund):</w:t>
      </w:r>
    </w:p>
    <w:p>
      <w:pPr>
        <w:pStyle w:val="ListBullet"/>
      </w:pPr>
      <w:r>
        <w:rPr>
          <w:rFonts w:ascii="Malgun Gothic" w:hAnsi="Malgun Gothic" w:eastAsia="맑은 고딕"/>
        </w:rPr>
        <w:t>상호운용 CCP 간 익스포저(LCH Ltd 및 SIX x-clear AG와의 관계)를 커버하기 위한 전용 기금.</w:t>
      </w:r>
    </w:p>
    <w:p>
      <w:pPr>
        <w:pStyle w:val="ListBullet"/>
      </w:pPr>
      <w:r>
        <w:rPr>
          <w:rFonts w:ascii="Malgun Gothic" w:hAnsi="Malgun Gothic" w:eastAsia="맑은 고딕"/>
        </w:rPr>
        <w:t>필요 예탁금을 일일 재산정.</w:t>
      </w:r>
    </w:p>
    <w:p>
      <w:r>
        <w:rPr>
          <w:rFonts w:ascii="Malgun Gothic" w:hAnsi="Malgun Gothic" w:eastAsia="맑은 고딕"/>
          <w:color w:val="0563C1"/>
          <w:u w:val="single"/>
        </w:rPr>
        <w:t>Source: [CPMI-IOSCO Disclosure Framework - EuroCCP Sept 2020</w:t>
      </w:r>
      <w:r>
        <w:rPr>
          <w:rFonts w:ascii="Malgun Gothic" w:hAnsi="Malgun Gothic" w:eastAsia="맑은 고딕"/>
        </w:rPr>
        <w:t>]</w:t>
      </w:r>
    </w:p>
    <w:p>
      <w:pPr>
        <w:pStyle w:val="Heading3"/>
      </w:pPr>
      <w:r>
        <w:rPr>
          <w:rFonts w:ascii="Malgun Gothic" w:hAnsi="Malgun Gothic" w:eastAsia="맑은 고딕"/>
        </w:rPr>
        <w:t>3.5 스트레스 테스트 및 사후검증 (Stress Testing &amp; Back-Testing)</w:t>
      </w:r>
    </w:p>
    <w:p>
      <w:r>
        <w:rPr>
          <w:rFonts w:ascii="Malgun Gothic" w:hAnsi="Malgun Gothic" w:eastAsia="맑은 고딕"/>
          <w:b/>
        </w:rPr>
        <w:t>스트레스 테스트:</w:t>
      </w:r>
    </w:p>
    <w:p>
      <w:pPr>
        <w:pStyle w:val="ListBullet"/>
      </w:pPr>
      <w:r>
        <w:rPr>
          <w:rFonts w:ascii="Malgun Gothic" w:hAnsi="Malgun Gothic" w:eastAsia="맑은 고딕"/>
        </w:rPr>
        <w:t>Cboe Clear Europe는 EMIR 제49조에서 요구하는 바와 같이, 극단적이나 현실적인 시장 상황에서 재무 자원의 적정성을 평가하기 위해 정기적인 스트레스 테스트를 실시한다.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ESMA의 EU 전역 CCP 스트레스 테스트에 참여한다. ESMA의 제5차 CCP 스트레스 테스트(2024년)에서 유럽 청산 시스템은 전반적으로 복원력이 있는 것으로 평가되었다. </w:t>
      </w:r>
      <w:r>
        <w:rPr>
          <w:rFonts w:ascii="Malgun Gothic" w:hAnsi="Malgun Gothic" w:eastAsia="맑은 고딕"/>
          <w:color w:val="0563C1"/>
          <w:u w:val="single"/>
        </w:rPr>
        <w:t>Source: [ESMA 5th CCP Stress Test Report</w:t>
      </w:r>
      <w:r>
        <w:rPr>
          <w:rFonts w:ascii="Malgun Gothic" w:hAnsi="Malgun Gothic" w:eastAsia="맑은 고딕"/>
        </w:rPr>
        <w:t>]</w:t>
      </w:r>
    </w:p>
    <w:p>
      <w:pPr>
        <w:pStyle w:val="ListBullet"/>
      </w:pPr>
      <w:r>
        <w:rPr>
          <w:rFonts w:ascii="Malgun Gothic" w:hAnsi="Malgun Gothic" w:eastAsia="맑은 고딕"/>
        </w:rPr>
        <w:t>스트레스 시나리오에는 역사적 시나리오(예: 2008년 금융위기, 2020년 3월 코로나19)와 가설적 극단 시나리오가 포함된다.</w:t>
      </w:r>
    </w:p>
    <w:p>
      <w:r>
        <w:rPr>
          <w:rFonts w:ascii="Malgun Gothic" w:hAnsi="Malgun Gothic" w:eastAsia="맑은 고딕"/>
          <w:b/>
        </w:rPr>
        <w:t>사후검증 (Back-Testing):</w:t>
      </w:r>
    </w:p>
    <w:p>
      <w:pPr>
        <w:pStyle w:val="ListBullet"/>
      </w:pPr>
      <w:r>
        <w:rPr>
          <w:rFonts w:ascii="Malgun Gothic" w:hAnsi="Malgun Gothic" w:eastAsia="맑은 고딕"/>
        </w:rPr>
        <w:t>징수된 증거금이 실제 관찰된 손실을 충당할 수 있었는지 검증하기 위한 증거금 모델 적정성 일일 사후검증을 실시한다.</w:t>
      </w:r>
    </w:p>
    <w:p>
      <w:pPr>
        <w:pStyle w:val="ListBullet"/>
      </w:pPr>
      <w:r>
        <w:rPr>
          <w:rFonts w:ascii="Malgun Gothic" w:hAnsi="Malgun Gothic" w:eastAsia="맑은 고딕"/>
        </w:rPr>
        <w:t>EMIR은 CCP가 특정 역사적 일자에 청산회원이 부도했을 경우 개시증거금이 잠재적 손실을 충당할 수 있었는지를 평가하도록 요구한다.</w:t>
      </w:r>
    </w:p>
    <w:p>
      <w:pPr>
        <w:pStyle w:val="ListBullet"/>
      </w:pPr>
      <w:r>
        <w:rPr>
          <w:rFonts w:ascii="Malgun Gothic" w:hAnsi="Malgun Gothic" w:eastAsia="맑은 고딕"/>
        </w:rPr>
        <w:t>결과는 DNB/AFM에 보고되며 CPMI-IOSCO PQD 보고서를 통해 공시된다.</w:t>
      </w:r>
    </w:p>
    <w:p>
      <w:r>
        <w:rPr>
          <w:rFonts w:ascii="Malgun Gothic" w:hAnsi="Malgun Gothic" w:eastAsia="맑은 고딕"/>
          <w:b/>
        </w:rPr>
        <w:t>경기순응성 완화 (Anti-Procyclicality):</w:t>
      </w:r>
    </w:p>
    <w:p>
      <w:pPr>
        <w:pStyle w:val="ListBullet"/>
      </w:pPr>
      <w:r>
        <w:rPr>
          <w:rFonts w:ascii="Malgun Gothic" w:hAnsi="Malgun Gothic" w:eastAsia="맑은 고딕"/>
        </w:rPr>
        <w:t>Stressed Historical Simulation (StressHS) 증거금 추가분은 안정적 시장 기간 동안 증거금 수준이 과도하게 하락하지 않도록 보장하여, 스트레스 시 급격한 증거금 상승을 완화하는 완충 역할을 한다.</w:t>
      </w:r>
    </w:p>
    <w:p>
      <w:r>
        <w:rPr>
          <w:rFonts w:ascii="Malgun Gothic" w:hAnsi="Malgun Gothic" w:eastAsia="맑은 고딕"/>
          <w:color w:val="0563C1"/>
          <w:u w:val="single"/>
        </w:rPr>
        <w:t>Source: [Cboe Clear Europe Margin Model Description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ESMA Opinion on CCP Backtesting</w:t>
      </w:r>
      <w:r>
        <w:rPr>
          <w:rFonts w:ascii="Malgun Gothic" w:hAnsi="Malgun Gothic" w:eastAsia="맑은 고딕"/>
        </w:rPr>
        <w:t>]</w:t>
      </w:r>
    </w:p>
    <w:p>
      <w:pPr>
        <w:pStyle w:val="Heading3"/>
      </w:pPr>
      <w:r>
        <w:rPr>
          <w:rFonts w:ascii="Malgun Gothic" w:hAnsi="Malgun Gothic" w:eastAsia="맑은 고딕"/>
        </w:rPr>
        <w:t>3.6 회복 및 정리 (Recovery &amp; Resolution)</w:t>
      </w:r>
    </w:p>
    <w:p>
      <w:r>
        <w:rPr>
          <w:rFonts w:ascii="Malgun Gothic" w:hAnsi="Malgun Gothic" w:eastAsia="맑은 고딕"/>
          <w:b/>
        </w:rPr>
        <w:t>회복 계획:</w:t>
      </w:r>
    </w:p>
    <w:p>
      <w:pPr>
        <w:pStyle w:val="ListBullet"/>
      </w:pPr>
      <w:r>
        <w:rPr>
          <w:rFonts w:ascii="Malgun Gothic" w:hAnsi="Malgun Gothic" w:eastAsia="맑은 고딕"/>
        </w:rPr>
        <w:t>Cboe Clear Europe는 EU CCP 회복 및 정리 규정(CCP R&amp;R)에 따라 회복 계획과 질서 있는 청산종결 계획을 유지한다.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회복 수단:</w:t>
      </w:r>
    </w:p>
    <w:p>
      <w:pPr>
        <w:pStyle w:val="ListBullet"/>
      </w:pPr>
      <w:r>
        <w:rPr>
          <w:rFonts w:ascii="Malgun Gothic" w:hAnsi="Malgun Gothic" w:eastAsia="맑은 고딕"/>
        </w:rPr>
        <w:t>손실부담순서 이후의 추가 징수(비부도회원에 대한 추가분담금 부과 권한)</w:t>
      </w:r>
    </w:p>
    <w:p>
      <w:pPr>
        <w:pStyle w:val="ListBullet"/>
      </w:pPr>
      <w:r>
        <w:rPr>
          <w:rFonts w:ascii="Malgun Gothic" w:hAnsi="Malgun Gothic" w:eastAsia="맑은 고딕"/>
        </w:rPr>
        <w:t>추가 유동성 자원 징수</w:t>
      </w:r>
    </w:p>
    <w:p>
      <w:pPr>
        <w:pStyle w:val="ListBullet"/>
      </w:pPr>
      <w:r>
        <w:rPr>
          <w:rFonts w:ascii="Malgun Gothic" w:hAnsi="Malgun Gothic" w:eastAsia="맑은 고딕"/>
        </w:rPr>
        <w:t>Clearing Fund 보충 징수</w:t>
      </w:r>
    </w:p>
    <w:p>
      <w:pPr>
        <w:pStyle w:val="ListBullet"/>
      </w:pPr>
      <w:r>
        <w:rPr>
          <w:rFonts w:ascii="Malgun Gothic" w:hAnsi="Malgun Gothic" w:eastAsia="맑은 고딕"/>
        </w:rPr>
        <w:t>변동증거금 이익 차감(Variation Margin Gains Haircutting, VMGH) -- 최후 수단</w:t>
      </w:r>
    </w:p>
    <w:p>
      <w:pPr>
        <w:pStyle w:val="ListBullet"/>
      </w:pPr>
      <w:r>
        <w:rPr>
          <w:rFonts w:ascii="Malgun Gothic" w:hAnsi="Malgun Gothic" w:eastAsia="맑은 고딕"/>
        </w:rPr>
        <w:t>계약의 부분 또는 전체 해제(tear-up)</w:t>
      </w:r>
    </w:p>
    <w:p>
      <w:r>
        <w:rPr>
          <w:rFonts w:ascii="Malgun Gothic" w:hAnsi="Malgun Gothic" w:eastAsia="맑은 고딕"/>
          <w:b/>
        </w:rPr>
        <w:t>정리 (Resolution):</w:t>
      </w:r>
    </w:p>
    <w:p>
      <w:pPr>
        <w:pStyle w:val="ListBullet"/>
      </w:pPr>
      <w:r>
        <w:rPr>
          <w:rFonts w:ascii="Malgun Gothic" w:hAnsi="Malgun Gothic" w:eastAsia="맑은 고딕"/>
        </w:rPr>
        <w:t>Cboe Clear Europe의 정리 기관은 Single Resolution Board (SRB) 또는 DNB이다 [미확인 -- EU CCP R&amp;R 체계 시행에 따라 구체적 정리 기관 지정이 달라질 수 있음].</w:t>
      </w:r>
    </w:p>
    <w:p>
      <w:pPr>
        <w:pStyle w:val="ListBullet"/>
      </w:pPr>
      <w:r>
        <w:rPr>
          <w:rFonts w:ascii="Malgun Gothic" w:hAnsi="Malgun Gothic" w:eastAsia="맑은 고딕"/>
        </w:rPr>
        <w:t>정리 수단은 EU CCP R&amp;R 규정에 따른 것으로, 자기자본 감액, 포지션 이전, 가교 CCP(Bridge CCP), 질서 있는 청산종결 등이 포함된다.</w:t>
      </w:r>
    </w:p>
    <w:p>
      <w:r>
        <w:rPr>
          <w:rFonts w:ascii="Malgun Gothic" w:hAnsi="Malgun Gothic" w:eastAsia="맑은 고딕"/>
          <w:color w:val="0563C1"/>
          <w:u w:val="single"/>
        </w:rPr>
        <w:t>Source: [CPMI-IOSCO Disclosure Framework - EuroCCP Sept 2020</w:t>
      </w:r>
      <w:r>
        <w:rPr>
          <w:rFonts w:ascii="Malgun Gothic" w:hAnsi="Malgun Gothic" w:eastAsia="맑은 고딕"/>
        </w:rPr>
        <w:t>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4. 결제 (Settlement)</w:t>
      </w:r>
    </w:p>
    <w:p>
      <w:pPr>
        <w:pStyle w:val="Heading3"/>
      </w:pPr>
      <w:r>
        <w:rPr>
          <w:rFonts w:ascii="Malgun Gothic" w:hAnsi="Malgun Gothic" w:eastAsia="맑은 고딕"/>
        </w:rPr>
        <w:t>4.1 결제주기 (Settlement Cycle)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시장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현행 주기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대부분의 유럽 시장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T+2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EU CSDR에 따른 표준 결제주기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영국 시장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T+1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영국은 2027년 10월 T+1 이행 [미확인 -- 영국 T+1 최종 일자 확인 필요]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EU T+1 전환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T+1 (2027년 10월 11일 예정)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 xml:space="preserve">EU 입법기관이 T+1 전환을 채택, 2025년 10월 14일 EU 관보 게재 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Source: [BNP Paribas - T+1 in Europe</w:t>
            </w:r>
            <w:r>
              <w:rPr>
                <w:rFonts w:ascii="Malgun Gothic" w:hAnsi="Malgun Gothic" w:eastAsia="맑은 고딕"/>
              </w:rPr>
              <w:t>]</w:t>
            </w:r>
          </w:p>
        </w:tc>
      </w:tr>
    </w:tbl>
    <w:p/>
    <w:p>
      <w:r>
        <w:rPr>
          <w:rFonts w:ascii="Malgun Gothic" w:hAnsi="Malgun Gothic" w:eastAsia="맑은 고딕"/>
          <w:b/>
        </w:rPr>
        <w:t>T+1 전환 단계 (EU):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기획 단계 (2025년):</w:t>
      </w:r>
      <w:r>
        <w:rPr>
          <w:rFonts w:ascii="Malgun Gothic" w:hAnsi="Malgun Gothic" w:eastAsia="맑은 고딕"/>
        </w:rPr>
        <w:t xml:space="preserve"> 기술 솔루션 확정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개발 단계 (2026년):</w:t>
      </w:r>
      <w:r>
        <w:rPr>
          <w:rFonts w:ascii="Malgun Gothic" w:hAnsi="Malgun Gothic" w:eastAsia="맑은 고딕"/>
        </w:rPr>
        <w:t xml:space="preserve"> 업계 구현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테스트 단계 (2027년):</w:t>
      </w:r>
      <w:r>
        <w:rPr>
          <w:rFonts w:ascii="Malgun Gothic" w:hAnsi="Malgun Gothic" w:eastAsia="맑은 고딕"/>
        </w:rPr>
        <w:t xml:space="preserve"> 2027년 10월 11일 전환일까지</w:t>
      </w:r>
    </w:p>
    <w:p>
      <w:r>
        <w:rPr>
          <w:rFonts w:ascii="Malgun Gothic" w:hAnsi="Malgun Gothic" w:eastAsia="맑은 고딕"/>
          <w:color w:val="0563C1"/>
          <w:u w:val="single"/>
        </w:rPr>
        <w:t>Source: [BNP Paribas - T+1 in Europe</w:t>
      </w:r>
      <w:r>
        <w:rPr>
          <w:rFonts w:ascii="Malgun Gothic" w:hAnsi="Malgun Gothic" w:eastAsia="맑은 고딕"/>
        </w:rPr>
        <w:t>]</w:t>
      </w:r>
    </w:p>
    <w:p>
      <w:pPr>
        <w:pStyle w:val="Heading3"/>
      </w:pPr>
      <w:r>
        <w:rPr>
          <w:rFonts w:ascii="Malgun Gothic" w:hAnsi="Malgun Gothic" w:eastAsia="맑은 고딕"/>
        </w:rPr>
        <w:t>4.2 DVP 모델 (DVP Model)</w:t>
      </w:r>
    </w:p>
    <w:p>
      <w:pPr>
        <w:pStyle w:val="ListBullet"/>
      </w:pPr>
      <w:r>
        <w:rPr>
          <w:rFonts w:ascii="Malgun Gothic" w:hAnsi="Malgun Gothic" w:eastAsia="맑은 고딕"/>
        </w:rPr>
        <w:t>Cboe Clear Europe는 증권과대금의 동시결제(DVP, Delivery-versus-Payment)를 사용하여, 증권 이전과 자금 이전이 동시에 이루어지도록 함으로써 원본리스크를 제거한다.</w:t>
      </w:r>
    </w:p>
    <w:p>
      <w:pPr>
        <w:pStyle w:val="ListBullet"/>
      </w:pPr>
      <w:r>
        <w:rPr>
          <w:rFonts w:ascii="Malgun Gothic" w:hAnsi="Malgun Gothic" w:eastAsia="맑은 고딕"/>
        </w:rPr>
        <w:t>결제 지시는 Cboe Clear Europe가 청산참가자를 대신하여 관련 CSD에 제출한다(CSD 위임장(Power of Attorney) 모델을 통해).</w:t>
      </w:r>
    </w:p>
    <w:p>
      <w:pPr>
        <w:pStyle w:val="Heading3"/>
      </w:pPr>
      <w:r>
        <w:rPr>
          <w:rFonts w:ascii="Malgun Gothic" w:hAnsi="Malgun Gothic" w:eastAsia="맑은 고딕"/>
        </w:rPr>
        <w:t>4.3 결제완결성 (Settlement Finality)</w:t>
      </w:r>
    </w:p>
    <w:p>
      <w:pPr>
        <w:pStyle w:val="ListBullet"/>
      </w:pPr>
      <w:r>
        <w:rPr>
          <w:rFonts w:ascii="Malgun Gothic" w:hAnsi="Malgun Gothic" w:eastAsia="맑은 고딕"/>
        </w:rPr>
        <w:t>결제완결성은 EU 결제완결성 지침(SFD, Settlement Finality Directive)에 의해 규율되며, 네덜란드 법률 및 각 CSD 관할 법률에 따라 이행된다.</w:t>
      </w:r>
    </w:p>
    <w:p>
      <w:pPr>
        <w:pStyle w:val="ListBullet"/>
      </w:pPr>
      <w:r>
        <w:rPr>
          <w:rFonts w:ascii="Malgun Gothic" w:hAnsi="Malgun Gothic" w:eastAsia="맑은 고딕"/>
        </w:rPr>
        <w:t>결제 지시가 관련 CSD 결제 시스템에 입력되어 취소 불가능 상태가 되면, 참가자의 도산 발생 시에도 해당 결제를 번복할 수 없다.</w:t>
      </w:r>
    </w:p>
    <w:p>
      <w:pPr>
        <w:pStyle w:val="ListBullet"/>
      </w:pPr>
      <w:r>
        <w:rPr>
          <w:rFonts w:ascii="Malgun Gothic" w:hAnsi="Malgun Gothic" w:eastAsia="맑은 고딕"/>
        </w:rPr>
        <w:t>Cboe Clear Europe는 네덜란드에서 SFD에 따른 시스템으로 지정되어 있다.</w:t>
      </w:r>
    </w:p>
    <w:p>
      <w:r>
        <w:rPr>
          <w:rFonts w:ascii="Malgun Gothic" w:hAnsi="Malgun Gothic" w:eastAsia="맑은 고딕"/>
          <w:color w:val="0563C1"/>
          <w:u w:val="single"/>
        </w:rPr>
        <w:t>Source: [Cboe Clear - Regulation Settlement</w:t>
      </w:r>
      <w:r>
        <w:rPr>
          <w:rFonts w:ascii="Malgun Gothic" w:hAnsi="Malgun Gothic" w:eastAsia="맑은 고딕"/>
        </w:rPr>
        <w:t>]</w:t>
      </w:r>
    </w:p>
    <w:p>
      <w:pPr>
        <w:pStyle w:val="Heading3"/>
      </w:pPr>
      <w:r>
        <w:rPr>
          <w:rFonts w:ascii="Malgun Gothic" w:hAnsi="Malgun Gothic" w:eastAsia="맑은 고딕"/>
        </w:rPr>
        <w:t>4.4 CSD / 결제 인프라 (CSD / Settlement Infrastructure)</w:t>
      </w:r>
    </w:p>
    <w:p>
      <w:pPr>
        <w:pStyle w:val="ListBullet"/>
      </w:pPr>
      <w:r>
        <w:rPr>
          <w:rFonts w:ascii="Malgun Gothic" w:hAnsi="Malgun Gothic" w:eastAsia="맑은 고딕"/>
        </w:rPr>
        <w:t>Cboe Clear Europe는 자체 CSD를 운영하지 않으며, 증권 결제를 위해 각국의 CSD에 의존한다.</w:t>
      </w:r>
    </w:p>
    <w:p>
      <w:pPr>
        <w:pStyle w:val="ListBullet"/>
      </w:pPr>
      <w:r>
        <w:rPr>
          <w:rFonts w:ascii="Malgun Gothic" w:hAnsi="Malgun Gothic" w:eastAsia="맑은 고딕"/>
        </w:rPr>
        <w:t>결제는 해당 시장의 국내 CSD를 통해 이루어지며, 증권이 해당 시장의 결제 인프라 내에 유지되도록 보장한다.</w:t>
      </w:r>
    </w:p>
    <w:p>
      <w:pPr>
        <w:pStyle w:val="ListBullet"/>
      </w:pPr>
      <w:r>
        <w:rPr>
          <w:rFonts w:ascii="Malgun Gothic" w:hAnsi="Malgun Gothic" w:eastAsia="맑은 고딕"/>
        </w:rPr>
        <w:t>CSD 참가자(청산참가자 또는 결제대리인)는 Cboe Clear Europe에 CSD 위임장(PoA)을 부여하여 결제 지시를 대리 제출할 수 있도록 한다.</w:t>
      </w:r>
    </w:p>
    <w:p>
      <w:pPr>
        <w:pStyle w:val="Heading3"/>
      </w:pPr>
      <w:r>
        <w:rPr>
          <w:rFonts w:ascii="Malgun Gothic" w:hAnsi="Malgun Gothic" w:eastAsia="맑은 고딕"/>
        </w:rPr>
        <w:t>4.5 CSD 연계 (CSD Linkages)</w:t>
      </w:r>
    </w:p>
    <w:p>
      <w:r>
        <w:rPr>
          <w:rFonts w:ascii="Malgun Gothic" w:hAnsi="Malgun Gothic" w:eastAsia="맑은 고딕"/>
        </w:rPr>
        <w:t xml:space="preserve">Cboe Clear Europe는 </w:t>
      </w:r>
      <w:r>
        <w:rPr>
          <w:rFonts w:ascii="Malgun Gothic" w:hAnsi="Malgun Gothic" w:eastAsia="맑은 고딕"/>
          <w:b/>
        </w:rPr>
        <w:t>15개 이상의 국가별 CSD</w:t>
      </w:r>
      <w:r>
        <w:rPr>
          <w:rFonts w:ascii="Malgun Gothic" w:hAnsi="Malgun Gothic" w:eastAsia="맑은 고딕"/>
        </w:rPr>
        <w:t>와 직접 연결을 구축하였다(SFT 청산용 19개 CSD로 확대):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CSD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국가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Euroclear Belgium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벨기에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Euroclear Finland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핀란드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Euroclear France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프랑스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Euroclear Nederland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네덜란드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Euroclear Sweden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스웨덴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Euroclear UK &amp; International (EUI)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영국 / 아일랜드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Clearstream Banking Frankfurt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독일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Monte Titoli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이탈리아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Iberclear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스페인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VP Securities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덴마크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VPS (Euronext Securities Oslo)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노르웨이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SIX SIS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스위스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Interbolsa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포르투갈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KDPW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폴란드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OeKB CSD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오스트리아</w:t>
            </w:r>
          </w:p>
        </w:tc>
      </w:tr>
    </w:tbl>
    <w:p/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**참고:** 위 목록은 예시적이다. CSD 연결의 정확한 수와 구성은 변동한다. Cboe Clear Europe는 현물주식용 15개 CSD, SFT 청산용 19개 CSD와의 연결을 명시하고 있다. [Source: [Cboe Clear - Markets](https://clear.cboe.com/europe/services/equities/markets)]</w:t>
      </w:r>
    </w:p>
    <w:p>
      <w:pPr>
        <w:pStyle w:val="Heading3"/>
      </w:pPr>
      <w:r>
        <w:rPr>
          <w:rFonts w:ascii="Malgun Gothic" w:hAnsi="Malgun Gothic" w:eastAsia="맑은 고딕"/>
        </w:rPr>
        <w:t>4.6 증권대차 (Securities Lending &amp; Borrowing)</w:t>
      </w:r>
    </w:p>
    <w:p>
      <w:r>
        <w:rPr>
          <w:rFonts w:ascii="Malgun Gothic" w:hAnsi="Malgun Gothic" w:eastAsia="맑은 고딕"/>
          <w:b/>
        </w:rPr>
        <w:t>SFT 청산 서비스 (2025년 3월 출시):</w:t>
      </w:r>
    </w:p>
    <w:p>
      <w:pPr>
        <w:pStyle w:val="ListBullet"/>
      </w:pPr>
      <w:r>
        <w:rPr>
          <w:rFonts w:ascii="Malgun Gothic" w:hAnsi="Malgun Gothic" w:eastAsia="맑은 고딕"/>
        </w:rPr>
        <w:t>Cboe Clear Europe는 범유럽 주식 SFT 최초의 중앙청산 서비스인 증권금융거래 CCP 청산을 도입하였다.</w:t>
      </w:r>
    </w:p>
    <w:p>
      <w:pPr>
        <w:pStyle w:val="ListBullet"/>
      </w:pPr>
      <w:r>
        <w:rPr>
          <w:rFonts w:ascii="Malgun Gothic" w:hAnsi="Malgun Gothic" w:eastAsia="맑은 고딕"/>
        </w:rPr>
        <w:t>이 서비스는 유럽 현물주식 및 ETF의 증권대차에 대한 매칭, CCP 청산, 결제, 사후거래 생애주기 관리를 포괄한다.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참가자 유형:</w:t>
      </w:r>
      <w:r>
        <w:rPr>
          <w:rFonts w:ascii="Malgun Gothic" w:hAnsi="Malgun Gothic" w:eastAsia="맑은 고딕"/>
        </w:rPr>
        <w:t xml:space="preserve"> 원본 대여자(Principal Lender), 특별참가자 대여자(UCITS 및 비UCITS), 차입자.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특별참가자 모델:</w:t>
      </w:r>
      <w:r>
        <w:rPr>
          <w:rFonts w:ascii="Malgun Gothic" w:hAnsi="Malgun Gothic" w:eastAsia="맑은 고딕"/>
        </w:rPr>
        <w:t xml:space="preserve"> 수익자(예: UCITS 펀드)는 증거금 납부 및 공동기금 출연 없이 참여할 수 있으며, Required Value (RQV) 모델은 개별적으로 개발된다 [미확인 -- 구체적 조건은 다를 수 있음].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교차상품 증거금:</w:t>
      </w:r>
      <w:r>
        <w:rPr>
          <w:rFonts w:ascii="Malgun Gothic" w:hAnsi="Malgun Gothic" w:eastAsia="맑은 고딕"/>
        </w:rPr>
        <w:t xml:space="preserve"> SFT 포지션은 현물주식 및 파생상품 포지션과 함께 증거금 산정이 가능하다.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초기 참가자:</w:t>
      </w:r>
      <w:r>
        <w:rPr>
          <w:rFonts w:ascii="Malgun Gothic" w:hAnsi="Malgun Gothic" w:eastAsia="맑은 고딕"/>
        </w:rPr>
        <w:t xml:space="preserve"> Bank of America, State Street 등 9개사.</w:t>
      </w:r>
    </w:p>
    <w:p>
      <w:r>
        <w:rPr>
          <w:rFonts w:ascii="Malgun Gothic" w:hAnsi="Malgun Gothic" w:eastAsia="맑은 고딕"/>
          <w:color w:val="0563C1"/>
          <w:u w:val="single"/>
        </w:rPr>
        <w:t>Source: [Cboe Clear Europe SFT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PR Newswire</w:t>
      </w:r>
      <w:r>
        <w:rPr>
          <w:rFonts w:ascii="Malgun Gothic" w:hAnsi="Malgun Gothic" w:eastAsia="맑은 고딕"/>
        </w:rPr>
        <w:t>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5. 기술 및 인프라 (Technology &amp; Infrastructure)</w:t>
      </w:r>
    </w:p>
    <w:p>
      <w:pPr>
        <w:pStyle w:val="Heading3"/>
      </w:pPr>
      <w:r>
        <w:rPr>
          <w:rFonts w:ascii="Malgun Gothic" w:hAnsi="Malgun Gothic" w:eastAsia="맑은 고딕"/>
        </w:rPr>
        <w:t>5.1 인터페이스 프로토콜 (Interface Protocols)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인터페이스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FIX 프로토콜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 xml:space="preserve">Cboe Clear Europe는 거래 제출 및 보고를 위한 FIX (Financial Information eXchange) 프로토콜 연결을 지원 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Source: [Cboe Titanium Europe FIX Specification</w:t>
            </w:r>
            <w:r>
              <w:rPr>
                <w:rFonts w:ascii="Malgun Gothic" w:hAnsi="Malgun Gothic" w:eastAsia="맑은 고딕"/>
              </w:rPr>
              <w:t>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자동일괄처리 (STP)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최소한의 수작업 개입으로 최대한의 자동일괄처리(STP)를 구현; 연결된 거래소로부터의 자동 거래 수집, 차감 및 결제 지시 생성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CSD PoA 연결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15개 이상 CSD에 직접 자동 결제 지시 제출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실시간 리스크 엔진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COH/RTRM (Collateral Haircut / Real Time Risk Management) 시스템, Refinitiv 실시간 가격 피드 활용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5.2 복원력 (Resilience)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업무연속성:</w:t>
      </w:r>
      <w:r>
        <w:rPr>
          <w:rFonts w:ascii="Malgun Gothic" w:hAnsi="Malgun Gothic" w:eastAsia="맑은 고딕"/>
        </w:rPr>
        <w:t xml:space="preserve"> Cboe Clear Europe는 EMIR이 요구하는 바와 같이 견고한 업무연속성(BCP) 및 재해복구(DR) 체계를 유지한다.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기술적 신뢰성:</w:t>
      </w:r>
      <w:r>
        <w:rPr>
          <w:rFonts w:ascii="Malgun Gothic" w:hAnsi="Malgun Gothic" w:eastAsia="맑은 고딕"/>
        </w:rPr>
        <w:t xml:space="preserve"> 플랫폼은 지연과 다운타임을 최소화하도록 설계된 신뢰성 높은 기술 인프라를 갖추고 있다.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RTO / RPO:</w:t>
      </w:r>
      <w:r>
        <w:rPr>
          <w:rFonts w:ascii="Malgun Gothic" w:hAnsi="Malgun Gothic" w:eastAsia="맑은 고딕"/>
        </w:rPr>
        <w:t xml:space="preserve"> 구체적인 복구시간목표(RTO) 및 복구시점목표(RPO) 수치는 공개되지 않으나, EMIR 제34조는 CCP의 시스템이 높은 수준의 보안, 운영 신뢰성 및 적절한 용량을 제공하고, 핵심 업무의 적시 완료를 가능하게 하는 복구 체계를 갖출 것을 요구한다. [미확인 -- 구체적 RTO/RPO 목표는 규제 보고서에 공시될 수 있음]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Cboe 그룹 인프라:</w:t>
      </w:r>
      <w:r>
        <w:rPr>
          <w:rFonts w:ascii="Malgun Gothic" w:hAnsi="Malgun Gothic" w:eastAsia="맑은 고딕"/>
        </w:rPr>
        <w:t xml:space="preserve"> Cboe 인수 이후, Cboe Clear Europe는 Cboe의 글로벌 기술 인프라 및 전문성의 혜택을 받고 있다.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6. 규제 체계 (Regulatory Framework)</w:t>
      </w:r>
    </w:p>
    <w:p>
      <w:pPr>
        <w:pStyle w:val="Heading3"/>
      </w:pPr>
      <w:r>
        <w:rPr>
          <w:rFonts w:ascii="Malgun Gothic" w:hAnsi="Malgun Gothic" w:eastAsia="맑은 고딕"/>
        </w:rPr>
        <w:t>감독 및 감시 (Supervision and Oversight)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기관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역할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De Nederlandsche Bank (DNB)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주요 건전성 감독기관; EMIR에 따른 인가 및 지속적 감독 담당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Autoriteit Financiele Markten (AFM)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행위감독기관; 시장 건전성 및 투자자 보호 감시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ESMA (유럽증권시장감독청)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 차원의 감독 조정; CCP 스트레스 테스트; 인가된 CCP 등록부 유지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감독 위원회 (College of Supervisors)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국경 간 중요성을 가진 CCP를 감시하는 관련 EU 기관으로 구성된 감독 위원회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주요 규제 체계 (Key Regulatory Framework)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규정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적용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EMIR (Regulation 648/2012, 유럽시장인프라규정)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CCP 인가, 리스크 관리, 자본 요건 및 거버넌스에 대한 EU 핵심 규정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EMIR Refit / EMIR 3.0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CCP 거버넌스, 활성 계좌 요건 및 국경 간 감독에 대한 강화 요건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EU CCP 회복 및 정리 규정 (CCP R&amp;R)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CCP 회복 계획 및 정리를 위한 체계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CSDR (중앙예탁기관규정)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 xml:space="preserve">결제 규율 체계, 의무적 매수(mandatory buy-in) 규칙 및 현금 과징금 포함 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Source: [Cboe Clear CSDR Framework</w:t>
            </w:r>
            <w:r>
              <w:rPr>
                <w:rFonts w:ascii="Malgun Gothic" w:hAnsi="Malgun Gothic" w:eastAsia="맑은 고딕"/>
              </w:rPr>
              <w:t>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결제완결성 지침 (SFD)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네덜란드 SFD 이행법에 따른 지정 시스템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QCCP 지위 (QCCP Status)</w:t>
      </w:r>
    </w:p>
    <w:p>
      <w:r>
        <w:rPr>
          <w:rFonts w:ascii="Malgun Gothic" w:hAnsi="Malgun Gothic" w:eastAsia="맑은 고딕"/>
        </w:rPr>
        <w:t>Cboe Clear Europe는 EMIR에 따라 인가되어 있으므로, EU 은행 자본 요건(CRR) 목적상 적격중앙청산소(QCCP)로 인정되며, 청산회원은 CCP에 대한 익스포저에 낮은 자본부과(capital charge)를 적용받을 수 있다. [미확인 -- 비EU 관할권에서의 구체적 QCCP 인정 여부는 확인 필요]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7. 상호운용성 (Interoperability)</w:t>
      </w:r>
    </w:p>
    <w:p>
      <w:pPr>
        <w:pStyle w:val="Heading3"/>
      </w:pPr>
      <w:r>
        <w:rPr>
          <w:rFonts w:ascii="Malgun Gothic" w:hAnsi="Malgun Gothic" w:eastAsia="맑은 고딕"/>
        </w:rPr>
        <w:t>개요 (Overview)</w:t>
      </w:r>
    </w:p>
    <w:p>
      <w:r>
        <w:rPr>
          <w:rFonts w:ascii="Malgun Gothic" w:hAnsi="Malgun Gothic" w:eastAsia="맑은 고딕"/>
        </w:rPr>
        <w:t>CCP 상호운용성은 Cboe Clear Europe의 핵심 특성이자 경쟁 전략의 근본 요소이다. 상호운용성 하에서 매매회사는 거래소가 아닌 자신이 어느 CCP에서 거래를 청산할지 선택한다. 이 "사용자 선택(user choice)" 모델은 경쟁을 촉진하고, 사후거래 비용을 낮추며, 참가자가 복수 거래소의 청산을 단일 CCP에 집중할 수 있도록 한다.</w:t>
      </w:r>
    </w:p>
    <w:p>
      <w:pPr>
        <w:pStyle w:val="Heading3"/>
      </w:pPr>
      <w:r>
        <w:rPr>
          <w:rFonts w:ascii="Malgun Gothic" w:hAnsi="Malgun Gothic" w:eastAsia="맑은 고딕"/>
        </w:rPr>
        <w:t>상호운용 CCP 파트너 (Interoperable CCP Partners)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상호운용 CCP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범위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시장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LCH Ltd (EquityClear)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완전 상호운용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Cboe Europe (CXE/BXE), Aquis Exchange, Turquoise, SIX Swiss Exchange 등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  <w:b/>
              </w:rPr>
              <w:t>SIX x-clear AG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완전 상호운용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Malgun Gothic" w:hAnsi="Malgun Gothic" w:eastAsia="맑은 고딕"/>
              </w:rPr>
              <w:t>Cboe Europe, SIX Swiss Exchange, Aquis Exchange 등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상호운용성 작동 원리 (How Interoperability Works)</w:t>
      </w:r>
    </w:p>
    <w:p>
      <w:pPr>
        <w:pStyle w:val="ListBullet"/>
      </w:pPr>
      <w:r>
        <w:rPr>
          <w:rFonts w:ascii="Malgun Gothic" w:hAnsi="Malgun Gothic" w:eastAsia="맑은 고딕"/>
        </w:rPr>
        <w:t>상호운용 거래소(예: Cboe Europe)에서 거래가 체결된다.</w:t>
      </w:r>
    </w:p>
    <w:p>
      <w:pPr>
        <w:pStyle w:val="ListBullet"/>
      </w:pPr>
      <w:r>
        <w:rPr>
          <w:rFonts w:ascii="Malgun Gothic" w:hAnsi="Malgun Gothic" w:eastAsia="맑은 고딕"/>
        </w:rPr>
        <w:t>매수자와 매도자는 각각 다른 CCP를 선택할 수 있다(예: 매수자는 Cboe Clear Europe, 매도자는 LCH Ltd 선택).</w:t>
      </w:r>
    </w:p>
    <w:p>
      <w:pPr>
        <w:pStyle w:val="ListBullet"/>
      </w:pPr>
      <w:r>
        <w:rPr>
          <w:rFonts w:ascii="Malgun Gothic" w:hAnsi="Malgun Gothic" w:eastAsia="맑은 고딕"/>
        </w:rPr>
        <w:t>각 CCP는 자사 청산참가자가 직면하는 구간에 대해 채무인수한다.</w:t>
      </w:r>
    </w:p>
    <w:p>
      <w:pPr>
        <w:pStyle w:val="ListBullet"/>
      </w:pPr>
      <w:r>
        <w:rPr>
          <w:rFonts w:ascii="Malgun Gothic" w:hAnsi="Malgun Gothic" w:eastAsia="맑은 고딕"/>
        </w:rPr>
        <w:t>두 CCP는 상호간 구간(inter-CCP leg)에 대해 서로 거래상대방이 되며, 상호운용기금 및 CCP 간 증거금 약정을 통해 익스포저를 관리한다.</w:t>
      </w:r>
    </w:p>
    <w:p>
      <w:pPr>
        <w:pStyle w:val="ListBullet"/>
      </w:pPr>
      <w:r>
        <w:rPr>
          <w:rFonts w:ascii="Malgun Gothic" w:hAnsi="Malgun Gothic" w:eastAsia="맑은 고딕"/>
        </w:rPr>
        <w:t>결제는 일반 CSD 경로를 통해 이루어진다.</w:t>
      </w:r>
    </w:p>
    <w:p>
      <w:pPr>
        <w:pStyle w:val="Heading3"/>
      </w:pPr>
      <w:r>
        <w:rPr>
          <w:rFonts w:ascii="Malgun Gothic" w:hAnsi="Malgun Gothic" w:eastAsia="맑은 고딕"/>
        </w:rPr>
        <w:t>선호 청산 (Preferred Clearing)</w:t>
      </w:r>
    </w:p>
    <w:p>
      <w:r>
        <w:rPr>
          <w:rFonts w:ascii="Malgun Gothic" w:hAnsi="Malgun Gothic" w:eastAsia="맑은 고딕"/>
        </w:rPr>
        <w:t xml:space="preserve">완전 상호운용 외에, Cboe Clear Europe는 완전 상호운용이 제공되지 않는 특정 거래소(예: Euronext 암스테르담, 브뤼셀, 더블린, 리스본, 밀라노, 파리)를 위한 </w:t>
      </w:r>
      <w:r>
        <w:rPr>
          <w:rFonts w:ascii="Malgun Gothic" w:hAnsi="Malgun Gothic" w:eastAsia="맑은 고딕"/>
          <w:b/>
        </w:rPr>
        <w:t>선호 청산(Preferred Clearing)</w:t>
      </w:r>
      <w:r>
        <w:rPr>
          <w:rFonts w:ascii="Malgun Gothic" w:hAnsi="Malgun Gothic" w:eastAsia="맑은 고딕"/>
        </w:rPr>
        <w:t xml:space="preserve"> 모델을 제공한다. 이 모델에서 Cboe Clear Europe는 거래소의 주 CCP에 대한 대안 CCP로 역할한다.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Euronext Oslo:</w:t>
      </w:r>
      <w:r>
        <w:rPr>
          <w:rFonts w:ascii="Malgun Gothic" w:hAnsi="Malgun Gothic" w:eastAsia="맑은 고딕"/>
        </w:rPr>
        <w:t xml:space="preserve"> 완전 상호운용 모델을 통해 청산.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Euronext (기타 시장):</w:t>
      </w:r>
      <w:r>
        <w:rPr>
          <w:rFonts w:ascii="Malgun Gothic" w:hAnsi="Malgun Gothic" w:eastAsia="맑은 고딕"/>
        </w:rPr>
        <w:t xml:space="preserve"> 선호 청산 약정을 통해 청산.</w:t>
      </w:r>
    </w:p>
    <w:p>
      <w:r>
        <w:rPr>
          <w:rFonts w:ascii="Malgun Gothic" w:hAnsi="Malgun Gothic" w:eastAsia="맑은 고딕"/>
          <w:color w:val="0563C1"/>
          <w:u w:val="single"/>
        </w:rPr>
        <w:t>Source: [Cboe - Preferred Clearing</w:t>
      </w:r>
      <w:r>
        <w:rPr>
          <w:rFonts w:ascii="Malgun Gothic" w:hAnsi="Malgun Gothic" w:eastAsia="맑은 고딕"/>
        </w:rPr>
        <w:t xml:space="preserve">; </w:t>
      </w:r>
      <w:r>
        <w:rPr>
          <w:rFonts w:ascii="Malgun Gothic" w:hAnsi="Malgun Gothic" w:eastAsia="맑은 고딕"/>
          <w:color w:val="0563C1"/>
          <w:u w:val="single"/>
        </w:rPr>
        <w:t>Cboe - Interoperability</w:t>
      </w:r>
      <w:r>
        <w:rPr>
          <w:rFonts w:ascii="Malgun Gothic" w:hAnsi="Malgun Gothic" w:eastAsia="맑은 고딕"/>
        </w:rPr>
        <w:t>]</w:t>
      </w:r>
    </w:p>
    <w:p>
      <w:pPr>
        <w:pStyle w:val="Heading3"/>
      </w:pPr>
      <w:r>
        <w:rPr>
          <w:rFonts w:ascii="Malgun Gothic" w:hAnsi="Malgun Gothic" w:eastAsia="맑은 고딕"/>
        </w:rPr>
        <w:t>상호운용성 규제 체계 (Regulatory Framework for Interoperability)</w:t>
      </w:r>
    </w:p>
    <w:p>
      <w:pPr>
        <w:pStyle w:val="ListBullet"/>
      </w:pPr>
      <w:r>
        <w:rPr>
          <w:rFonts w:ascii="Malgun Gothic" w:hAnsi="Malgun Gothic" w:eastAsia="맑은 고딕"/>
        </w:rPr>
        <w:t>EMIR 제5편(Title V)은 CCP 상호운용 약정에 대한 규제 체계를 수립한다.</w:t>
      </w:r>
    </w:p>
    <w:p>
      <w:pPr>
        <w:pStyle w:val="ListBullet"/>
      </w:pPr>
      <w:r>
        <w:rPr>
          <w:rFonts w:ascii="Malgun Gothic" w:hAnsi="Malgun Gothic" w:eastAsia="맑은 고딕"/>
        </w:rPr>
        <w:t>상호운용 링크는 규제 승인을 요구하며 특정 리스크 관리 기준을 충족하여야 한다.</w:t>
      </w:r>
    </w:p>
    <w:p>
      <w:pPr>
        <w:pStyle w:val="ListBullet"/>
      </w:pPr>
      <w:r>
        <w:rPr>
          <w:rFonts w:ascii="Malgun Gothic" w:hAnsi="Malgun Gothic" w:eastAsia="맑은 고딕"/>
        </w:rPr>
        <w:t xml:space="preserve">유럽시스템리스크위원회(ESRB)는 2019년 1월 유럽 내 CCP 상호운용 약정의 리스크와 편익을 분석한 보고서를 발행하였다. </w:t>
      </w:r>
      <w:r>
        <w:rPr>
          <w:rFonts w:ascii="Malgun Gothic" w:hAnsi="Malgun Gothic" w:eastAsia="맑은 고딕"/>
          <w:color w:val="0563C1"/>
          <w:u w:val="single"/>
        </w:rPr>
        <w:t>Source: [ESRB Report on CCP Interoperability</w:t>
      </w:r>
      <w:r>
        <w:rPr>
          <w:rFonts w:ascii="Malgun Gothic" w:hAnsi="Malgun Gothic" w:eastAsia="맑은 고딕"/>
        </w:rPr>
        <w:t>]</w:t>
      </w:r>
    </w:p>
    <w:p>
      <w:pPr>
        <w:pStyle w:val="Heading3"/>
      </w:pPr>
      <w:r>
        <w:rPr>
          <w:rFonts w:ascii="Malgun Gothic" w:hAnsi="Malgun Gothic" w:eastAsia="맑은 고딕"/>
        </w:rPr>
        <w:t>상호운용성에 대한 Cboe의 주장 (Cboe's Advocacy for Interoperability)</w:t>
      </w:r>
    </w:p>
    <w:p>
      <w:r>
        <w:rPr>
          <w:rFonts w:ascii="Malgun Gothic" w:hAnsi="Malgun Gothic" w:eastAsia="맑은 고딕"/>
        </w:rPr>
        <w:t xml:space="preserve">Cboe는 유럽에서의 청산 경쟁과 상호운용성을 적극적으로 옹호해왔으며, 단일 독점 CCP보다 복수의 경쟁하는 CCP가 유럽에 이익이 된다고 주장한다. Cboe는 상호운용성이 유럽 현물주식시장의 사후거래 비용을 실질적으로 절감시켰다고 강조한다. </w:t>
      </w:r>
      <w:r>
        <w:rPr>
          <w:rFonts w:ascii="Malgun Gothic" w:hAnsi="Malgun Gothic" w:eastAsia="맑은 고딕"/>
          <w:color w:val="0563C1"/>
          <w:u w:val="single"/>
        </w:rPr>
        <w:t>Source: [Cboe Insights - Europe Needs Clearing Competition</w:t>
      </w:r>
      <w:r>
        <w:rPr>
          <w:rFonts w:ascii="Malgun Gothic" w:hAnsi="Malgun Gothic" w:eastAsia="맑은 고딕"/>
        </w:rPr>
        <w:t>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8. 수수료 (Fees)</w:t>
      </w:r>
    </w:p>
    <w:p>
      <w:pPr>
        <w:pStyle w:val="Heading3"/>
      </w:pPr>
      <w:r>
        <w:rPr>
          <w:rFonts w:ascii="Malgun Gothic" w:hAnsi="Malgun Gothic" w:eastAsia="맑은 고딕"/>
        </w:rPr>
        <w:t>수수료 구조 (Fee Structure)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수수료 유형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상세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청산 수수료 (현물주식)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청산참가자에게 부과되는 거래건별 청산 수수료; 모든 수수료는 EUR 표시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NAV 기반 수수료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NAV 가격 거래 구간의 명목금액 대비 0.04bp, EUR 1,000만 초과 명목금액 거래 시 상한 적용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참가자 수수료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청산참가자 연간 수수료 (2024년 면제; 2025년부터 새 구조 적용)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선호 청산 할인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 xml:space="preserve">Cboe Clear Europe는 선호 청산 수수료가 주 CCP의 전체 회원 평균 수수료 대비 75% 이상 저렴하다고 밝히고 있음 </w:t>
            </w:r>
            <w:r>
              <w:rPr>
                <w:rFonts w:ascii="Malgun Gothic" w:hAnsi="Malgun Gothic" w:eastAsia="맑은 고딕"/>
                <w:color w:val="0563C1"/>
                <w:u w:val="single"/>
              </w:rPr>
              <w:t>Source: [Cboe - Preferred Clearing</w:t>
            </w:r>
            <w:r>
              <w:rPr>
                <w:rFonts w:ascii="Malgun Gothic" w:hAnsi="Malgun Gothic" w:eastAsia="맑은 고딕"/>
              </w:rPr>
              <w:t>]</w:t>
            </w:r>
          </w:p>
        </w:tc>
      </w:tr>
    </w:tbl>
    <w:p/>
    <w:p>
      <w:pPr>
        <w:ind w:left="720"/>
        <w:shd w:fill="F0F0F0" w:val="clear"/>
      </w:pPr>
      <w:r>
        <w:rPr>
          <w:rFonts w:ascii="Malgun Gothic" w:hAnsi="Malgun Gothic" w:eastAsia="맑은 고딕"/>
          <w:i/>
        </w:rPr>
        <w:t>**참고:** 거래건별 구체적 청산 수수료는 웹 검색을 통해서는 상세히 공개되어 있지 않다. 전체 수수료표는 "Regulation Fees and Penalties" 문서에 기재되어 있다. [Source: [Cboe Clear Regulation Fees and Penalties](https://cdn-clear.cboe.com/europe/resources/clearing-rules/Cboe_Clear_Regulation_Fees_and_Penalties.pdf)]</w:t>
      </w:r>
    </w:p>
    <w:p>
      <w:pPr>
        <w:pStyle w:val="Heading3"/>
      </w:pPr>
      <w:r>
        <w:rPr>
          <w:rFonts w:ascii="Malgun Gothic" w:hAnsi="Malgun Gothic" w:eastAsia="맑은 고딕"/>
        </w:rPr>
        <w:t>경쟁 포지셔닝 (Competitive Positioning)</w:t>
      </w:r>
    </w:p>
    <w:p>
      <w:r>
        <w:rPr>
          <w:rFonts w:ascii="Malgun Gothic" w:hAnsi="Malgun Gothic" w:eastAsia="맑은 고딕"/>
        </w:rPr>
        <w:t>Cboe Clear Europe는 다음을 활용하여 기존 CCP 대비 저비용 대안으로 일관되게 포지셔닝해왔다:</w:t>
      </w:r>
    </w:p>
    <w:p>
      <w:pPr>
        <w:pStyle w:val="ListBullet"/>
      </w:pPr>
      <w:r>
        <w:rPr>
          <w:rFonts w:ascii="Malgun Gothic" w:hAnsi="Malgun Gothic" w:eastAsia="맑은 고딕"/>
        </w:rPr>
        <w:t>범유럽 커버리지(52개 거래소)를 통한 규모의 경제</w:t>
      </w:r>
    </w:p>
    <w:p>
      <w:pPr>
        <w:pStyle w:val="ListBullet"/>
      </w:pPr>
      <w:r>
        <w:rPr>
          <w:rFonts w:ascii="Malgun Gothic" w:hAnsi="Malgun Gothic" w:eastAsia="맑은 고딕"/>
        </w:rPr>
        <w:t>결제비용을 절감하는 차감 효율성</w:t>
      </w:r>
    </w:p>
    <w:p>
      <w:pPr>
        <w:pStyle w:val="ListBullet"/>
      </w:pPr>
      <w:r>
        <w:rPr>
          <w:rFonts w:ascii="Malgun Gothic" w:hAnsi="Malgun Gothic" w:eastAsia="맑은 고딕"/>
        </w:rPr>
        <w:t>참가자가 단일 CCP에 집중할 수 있게 하는 상호운용성</w:t>
      </w:r>
    </w:p>
    <w:p>
      <w:pPr>
        <w:pStyle w:val="ListBullet"/>
      </w:pPr>
      <w:r>
        <w:rPr>
          <w:rFonts w:ascii="Malgun Gothic" w:hAnsi="Malgun Gothic" w:eastAsia="맑은 고딕"/>
        </w:rPr>
        <w:t>Cboe 소유 하에서 연결 거래소 수가 37개에서 52개로 확대되어, 전체 유럽 주식 거래의 약 95%에 대한 접근 제공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9. 최근 동향 (Recent Developments)</w:t>
      </w:r>
    </w:p>
    <w:p>
      <w:pPr>
        <w:pStyle w:val="Heading3"/>
      </w:pPr>
      <w:r>
        <w:rPr>
          <w:rFonts w:ascii="Malgun Gothic" w:hAnsi="Malgun Gothic" w:eastAsia="맑은 고딕"/>
        </w:rPr>
        <w:t>2024-2026 주요 사항 (2024-2026 Highlights)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일자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Malgun Gothic" w:hAnsi="Malgun Gothic" w:eastAsia="맑은 고딕"/>
                <w:b/>
                <w:color w:val="FFFFFF"/>
              </w:rPr>
              <w:t>동향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2024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현물주식 12억 건의 고객 거래 청산(전년 대비 +5%), 파생상품 사상 최대 210,000 lot 청산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2024 (11월)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DNB/AFM으로부터 SFT 청산 승인 취득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2025 (3월)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9개 초기 참가자와 함께 유럽 SFT 청산 개시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2025 (Q4)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현물주식 시장점유율 39.6% 달성 (전년 대비 38.5%에서 상승)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2025-2027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Malgun Gothic" w:hAnsi="Malgun Gothic" w:eastAsia="맑은 고딕"/>
              </w:rPr>
              <w:t>EU T+1 결제 전환 준비 (2027년 10월 11일)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맑은 고딕"/>
        </w:rPr>
        <w:t>전략적 우선순위 (Strategic Priorities)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SFT 청산 확대:</w:t>
      </w:r>
      <w:r>
        <w:rPr>
          <w:rFonts w:ascii="Malgun Gothic" w:hAnsi="Malgun Gothic" w:eastAsia="맑은 고딕"/>
        </w:rPr>
        <w:t xml:space="preserve"> SFT 청산 서비스를 추가 시장 및 참가자로 확대; Cboe Clear Europe는 유럽 최고의 다자산 청산소를 목표로 한다. </w:t>
      </w:r>
      <w:r>
        <w:rPr>
          <w:rFonts w:ascii="Malgun Gothic" w:hAnsi="Malgun Gothic" w:eastAsia="맑은 고딕"/>
          <w:color w:val="0563C1"/>
          <w:u w:val="single"/>
        </w:rPr>
        <w:t>Source: [Markets Media</w:t>
      </w:r>
      <w:r>
        <w:rPr>
          <w:rFonts w:ascii="Malgun Gothic" w:hAnsi="Malgun Gothic" w:eastAsia="맑은 고딕"/>
        </w:rPr>
        <w:t>]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파생상품 성장:</w:t>
      </w:r>
      <w:r>
        <w:rPr>
          <w:rFonts w:ascii="Malgun Gothic" w:hAnsi="Malgun Gothic" w:eastAsia="맑은 고딕"/>
        </w:rPr>
        <w:t xml:space="preserve"> CEDX 주식 파생상품 청산의 지속적 성장.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T+1 준비:</w:t>
      </w:r>
      <w:r>
        <w:rPr>
          <w:rFonts w:ascii="Malgun Gothic" w:hAnsi="Malgun Gothic" w:eastAsia="맑은 고딕"/>
        </w:rPr>
        <w:t xml:space="preserve"> 2027년 10월 11일 예정된 EU 전역 T+1 결제 전환을 위한 시스템 및 프로세스 준비.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거래소 확대:</w:t>
      </w:r>
      <w:r>
        <w:rPr>
          <w:rFonts w:ascii="Malgun Gothic" w:hAnsi="Malgun Gothic" w:eastAsia="맑은 고딕"/>
        </w:rPr>
        <w:t xml:space="preserve"> 연결 거래소 및 시장 세그먼트 지속 추가.</w:t>
      </w:r>
    </w:p>
    <w:p>
      <w:pPr>
        <w:pStyle w:val="ListBullet"/>
      </w:pPr>
      <w:r>
        <w:rPr>
          <w:rFonts w:ascii="Malgun Gothic" w:hAnsi="Malgun Gothic" w:eastAsia="맑은 고딕"/>
          <w:b/>
        </w:rPr>
        <w:t>교차상품 증거금:</w:t>
      </w:r>
      <w:r>
        <w:rPr>
          <w:rFonts w:ascii="Malgun Gothic" w:hAnsi="Malgun Gothic" w:eastAsia="맑은 고딕"/>
        </w:rPr>
        <w:t xml:space="preserve"> 현물주식, 파생상품 및 SFT 간 교차상품 증거금 역량 강화.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Malgun Gothic" w:hAnsi="Malgun Gothic" w:eastAsia="맑은 고딕"/>
        </w:rPr>
        <w:t>출처 (Sources)</w:t>
      </w:r>
    </w:p>
    <w:p>
      <w:pPr>
        <w:pStyle w:val="Heading3"/>
      </w:pPr>
      <w:r>
        <w:rPr>
          <w:rFonts w:ascii="Malgun Gothic" w:hAnsi="Malgun Gothic" w:eastAsia="맑은 고딕"/>
        </w:rPr>
        <w:t>공식 출처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Cboe Clear Europe - Official Website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Cboe Clear Europe - Public Disclosures (PQD, PFMI Self-Assessment)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Cboe Clear Europe Annual Report 2024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Cboe Clear Europe Margin Model Description - Securities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CPMI-IOSCO Disclosure Framework - EuroCCP (Sept 2020)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Cboe Clear Europe Clearing Rule Book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Cboe Clear Regulation Fees and Penalties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Cboe Clear Regulation Settlement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Cboe Clear CSDR Settlement Discipline Framework</w:t>
      </w:r>
    </w:p>
    <w:p>
      <w:pPr>
        <w:pStyle w:val="Heading3"/>
      </w:pPr>
      <w:r>
        <w:rPr>
          <w:rFonts w:ascii="Malgun Gothic" w:hAnsi="Malgun Gothic" w:eastAsia="맑은 고딕"/>
        </w:rPr>
        <w:t>Cboe 기업 및 보도자료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Cboe Insights - Our Origins: Delivering Efficiencies with EuroCCP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Cboe Insights - Dedicated Own Resources July 2021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Cboe Insights - Europe Needs Clearing Competition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Cboe Insights - 2024 Recap and Look Ahead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EuroCCP Rebranded to Cboe Clear Europe (PR Newswire)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Cboe Clear Europe SFT Launch (PR Newswire)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Cboe Clear Europe SFT Regulatory Approval (Cboe IR)</w:t>
      </w:r>
    </w:p>
    <w:p>
      <w:pPr>
        <w:pStyle w:val="Heading3"/>
      </w:pPr>
      <w:r>
        <w:rPr>
          <w:rFonts w:ascii="Malgun Gothic" w:hAnsi="Malgun Gothic" w:eastAsia="맑은 고딕"/>
        </w:rPr>
        <w:t>규제 및 업계 출처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ESMA - List of CCPs Authorised Under EMIR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ESMA 5th EU-wide CCP Stress Test Report (2024)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ESRB Report on CCP Interoperability Arrangements (Jan 2019)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ECB Occasional Paper - CCP Initial Margin Models in Europe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BNP Paribas - T+1 in Europe</w:t>
      </w:r>
    </w:p>
    <w:p>
      <w:pPr>
        <w:pStyle w:val="Heading3"/>
      </w:pPr>
      <w:r>
        <w:rPr>
          <w:rFonts w:ascii="Malgun Gothic" w:hAnsi="Malgun Gothic" w:eastAsia="맑은 고딕"/>
        </w:rPr>
        <w:t>참고자료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MarketsWiki - Cboe Clear Europe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Markets Media - Cboe Agrees to Acquire EuroCCP</w:t>
      </w:r>
    </w:p>
    <w:p>
      <w:pPr>
        <w:pStyle w:val="ListBullet"/>
      </w:pPr>
      <w:r>
        <w:rPr>
          <w:rFonts w:ascii="Malgun Gothic" w:hAnsi="Malgun Gothic" w:eastAsia="맑은 고딕"/>
          <w:color w:val="0563C1"/>
          <w:u w:val="single"/>
        </w:rPr>
        <w:t>Markets Media - Cboe Clear Europe Aims to Expand SFT Clearing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