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맑은 고딕"/>
        </w:rPr>
        <w:t>LCH (LCH Limited &amp; LCH SA, 런던청산소)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**최종 갱신일:** 2026-04-07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**조사 단계:** Tier 1 (심층 분석)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**유형:** 중앙청산소 (CCP, Central Counterparty)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1. 개요 및 프로필 (Overview &amp; Profile)</w:t>
      </w:r>
    </w:p>
    <w:p>
      <w:pPr>
        <w:pStyle w:val="Heading3"/>
      </w:pPr>
      <w:r>
        <w:rPr>
          <w:rFonts w:ascii="Malgun Gothic" w:hAnsi="Malgun Gothic" w:eastAsia="맑은 고딕"/>
        </w:rPr>
        <w:t>1.1 LCH 그룹 (LCH Group)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정식 명칭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LCH Group Holdings Limited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운영 법인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LCH Limited (런던); LCH SA (파리)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웹사이트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color w:val="0563C1"/>
                <w:u w:val="single"/>
              </w:rPr>
              <w:t>https://www.lch.com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설립 연도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1888년 (London Produce Clearing House로 설립); 2003년 (합병에 따라 LCH.Clearnet으로 출범)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소유구조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LSEG (London Stock Exchange Group, 런던증권거래소그룹)가 LCH Group Holdings Limited의 82.61%를 보유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Wikipedia</w:t>
            </w:r>
            <w:r>
              <w:rPr>
                <w:rFonts w:ascii="Malgun Gothic" w:hAnsi="Malgun Gothic" w:eastAsia="맑은 고딕"/>
              </w:rPr>
              <w:t>))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기타 운영 법인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SwapAgent Ltd (영국)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CPMI-IOSCO 금융시장인프라에 관한 원칙 (PFMI) 준수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예 -- LCH Ltd와 LCH SA 모두 CPMI-IOSCO 자체 평가 및 공적정량공시(PQD)를 발표한다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LSEG CCP Disclosures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1.2 LCH Limited (LCH Ltd)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정식 명칭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LCH Limited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LCH Ltd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소재지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영국 / 런던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감독기관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Bank of England (잉글랜드은행, 주요 감독기관); 미국 CFTC (상품선물거래위원회)에 DCO로 등록; 유럽증권시장감독청(ESMA)에 의해 EU EMIR에 따른 제3국 CCP (Tier 2)로 인정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적격중앙청산소 (QCCP) 지위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예 -- EU, 미국, 스위스(FINMA), 홍콩, 싱가포르, 일본, 캐나다, 호주 등 다수 관할권에서 QCCP로 인정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LSEG Company Structure</w:t>
            </w:r>
            <w:r>
              <w:rPr>
                <w:rFonts w:ascii="Malgun Gothic" w:hAnsi="Malgun Gothic" w:eastAsia="맑은 고딕"/>
              </w:rPr>
              <w:t xml:space="preserve">;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LSEG QCCP Document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청산 서비스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SwapClear, ForexClear, RepoClear (Ltd), EquityClear (Ltd), Listed Rates (상장 금리 파생상품)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1.3 LCH SA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정식 명칭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Banque Centrale de Compensation SA, LCH SA로 운영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LCH SA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소재지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프랑스 / 파리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감독기관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ACPR (건전성감독정리청); Banque de France (프랑스은행); AMF (금융시장청); 유럽중앙은행(ECB)에 의한 간접 감독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LCH SA CPMI-IOSCO Self-Assessment 2024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적격중앙청산소 (QCCP) 지위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예 -- EU EMIR에 따라 CCP로 인가됨; 미국 CFTC에 DCO로 등록 (CDSClear용) 및 미국 SEC에 청산기관으로 등록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청산 서비스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CDSClear, RepoClear SA, DigitalAssetClear (2024년 출시, 기존 EquityClear SA 및 CommodityClear SA 대체)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1.4 주요 연혁 (Key Historical Milestones)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연도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사건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1888년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London Produce Clearing House (LPCH) 설립. 상품선물 청산 목적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LCH History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1969년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파리에서 상품시장 청산을 위한 Banque Centrale de Compensation SA 설립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1971년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LPCH가 ICCH (International Commodities Clearing House)로 개칭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1988년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6개 은행 컨소시엄이 사업 인수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1992년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London Clearing House Ltd로 개칭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1996년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다수 지분이 청산회원으로 이전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1998년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RepoClear 출시 -- 레포 및 채권 청산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1999년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SwapClear 출시 -- 세계 최초의 OTC 금리스왑 CCP; 파리에서 Clearnet SA 브랜드 채택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2001년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Clearnet이 Euronext 청산소들과 합병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2003년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London Clearing House와 Clearnet SA의 합병으로 LCH.Clearnet Group 설립 (지분 구조: 회원 45.1%, 거래소 45.1%, Euroclear 9.8%)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2008년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Lehman Brothers 부도를 성공적으로 관리 -- 66,390건, 9조 USD 규모의 OTC IRS 포트폴리오를 Lehman의 개시증거금(Initial Margin)의 35%만 사용하여 처리. 비부도 회원이나 공동기금에 대한 손실 부과 없음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LCH SwapClear Risk Management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2009년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CDSClear 출시; 미국 사업 개시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2012년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LSE (런던증권거래소)가 8.13억 EUR에 60% 지분 인수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2013년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LSEG가 과반 지배권(54%) 확보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2016년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"Clearnet" 브랜드 삭제; 단순히 "LCH"로 변경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2023년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LCH Group이 Euronext의 LCH SA 지분 11.1%를 1.11억 EUR에 인수, 완전 소유 달성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LSEG Press Release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2023년 (11월)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Euronext 현물시장 청산이 LCH SA에서 Euronext Clearing으로 이관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2024년 (7월)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Euronext 상품 파생상품이 LCH SA에서 이관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2024년 (9월)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Euronext 금융 파생상품이 LCH SA에서 Euronext Clearing으로 이관 완료; LCH SA의 EquityClear 및 CommodityClear 서비스 종료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Euronext Press Release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2024년 (9월)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FMX Futures Exchange 출범, LCH Ltd가 SOFR 선물 청산 담당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2024년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LCH SA가 DigitalAssetClear 서비스 출시 (GFO-X와 파트너십으로 디지털 자산 파생상품)</w:t>
            </w:r>
          </w:p>
        </w:tc>
      </w:tr>
    </w:tbl>
    <w:p/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2. 청산 모델 (Clearing Model)</w:t>
      </w:r>
    </w:p>
    <w:p>
      <w:pPr>
        <w:pStyle w:val="Heading3"/>
      </w:pPr>
      <w:r>
        <w:rPr>
          <w:rFonts w:ascii="Malgun Gothic" w:hAnsi="Malgun Gothic" w:eastAsia="맑은 고딕"/>
        </w:rPr>
        <w:t>2.1 CCP 서비스 (CCP Services)</w:t>
      </w:r>
    </w:p>
    <w:p>
      <w:pPr>
        <w:pStyle w:val="Heading3"/>
      </w:pPr>
      <w:r>
        <w:rPr>
          <w:rFonts w:ascii="Malgun Gothic" w:hAnsi="Malgun Gothic" w:eastAsia="맑은 고딕"/>
        </w:rPr>
        <w:t>LCH Ltd 서비스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서비스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상품군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주요 통계 (2024년)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SwapClear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OTC 금리 파생상품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세계 최대 OTC IRS 청산 서비스; 28개 통화, USD/GBP/EUR 기준 최대 51년 만기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2024년 상반기 779조 USD 명목원금 청산 (전년 대비 15%↑); 약 2,400억 USD 개시증거금 보유 (2024년 Q4); EMEA IRS 시장 점유율 99.4%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Clarus FT</w:t>
            </w:r>
            <w:r>
              <w:rPr>
                <w:rFonts w:ascii="Malgun Gothic" w:hAnsi="Malgun Gothic" w:eastAsia="맑은 고딕"/>
              </w:rPr>
              <w:t xml:space="preserve">;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Clarus Q4 2024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ForexClear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OTC FX 파생상품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NDF, FX 옵션, FX 선도 청산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2024년 Q2 말 개시증거금 107억 USD (32%↑); 25개 이상 NDF 통화; 92개 고객사; 약 30개 청산회원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LCH ForexClear Factsheet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RepoClear (Ltd)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채권 / 레포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영국 길트(gilts) 및 기타 시장의 현물채권·레포 청산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다수의 유럽 국채 시장 커버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EquityClear (Ltd)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현물 주식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LSE, SIX Swiss Exchange, Cboe Europe, Aquis의 주식 청산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SIX x-clear 및 Cboe Clear Europe와 상호운용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Listed Rates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상장 금리 파생상품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금리 선물 및 옵션 (FMX SOFR 선물 포함)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2024년 말 청산회원 6개, 고객 8개; 총미결제명목원금 36억 USD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Clarus Q4 2024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LCH SA 서비스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서비스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상품군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주요 통계 (2024년)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CDSClear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OTC 신용 파생상품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CDS 지수 및 개별 종목 청산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28개 회원 (2024년); 총 청산 명목원금 5,437억 EUR (전년 대비 9%↑); 2024년 상반기 고객 명목원금 426억 EUR (88%↑); 개시증거금 102억 USD (2024년 Q4)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Risk.net</w:t>
            </w:r>
            <w:r>
              <w:rPr>
                <w:rFonts w:ascii="Malgun Gothic" w:hAnsi="Malgun Gothic" w:eastAsia="맑은 고딕"/>
              </w:rPr>
              <w:t xml:space="preserve">;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Clarus Q4 2024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RepoClear SA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채권 / 레포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프랑스, 독일, 벨기에, 네덜란드 및 기타 유로존 국채 레포의 유로화 청산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2024년 Q4 미결제 현물채권 총명목원금 19억 EUR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DigitalAssetClear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디지털 자산 파생상품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비트코인 지수 선물 및 옵션 (GFO-X와 파트너십); 기존 EquityClear SA/CommodityClear SA를 대체하여 2024년 출시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신규 서비스 -- 초기 단계</w:t>
            </w:r>
          </w:p>
        </w:tc>
      </w:tr>
    </w:tbl>
    <w:p/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**참고:** LCH SA의 EquityClear 및 CommodityClear 서비스는 Euronext 청산의 Euronext Clearing (CC&amp;G 기반)으로의 전면 이관에 따라 2024년에 종료되었다. Euronext는 LCH SA에 약 3,600만 EUR의 계약 해지 수수료를 지급하였다. ([Euronext](https://www.euronext.com/en/about/media/euronext-press-releases/successful-expansion-euronext-clearing-all-euronext-financial); [Finadium](https://finadium.com/euronext-completes-lch-sa-migration-and-borsa-italiana-integration/))</w:t>
      </w:r>
    </w:p>
    <w:p>
      <w:pPr>
        <w:pStyle w:val="Heading3"/>
      </w:pPr>
      <w:r>
        <w:rPr>
          <w:rFonts w:ascii="Malgun Gothic" w:hAnsi="Malgun Gothic" w:eastAsia="맑은 고딕"/>
        </w:rPr>
        <w:t>2.2 채무인수 절차 (Novation Process)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공개 청약에 의한 채무인수 (Novation by Open Offer):</w:t>
      </w:r>
      <w:r>
        <w:rPr>
          <w:rFonts w:ascii="Malgun Gothic" w:hAnsi="Malgun Gothic" w:eastAsia="맑은 고딕"/>
        </w:rPr>
        <w:t xml:space="preserve"> 거래소 상장 상품 및 상호운용 청산의 경우, 거래 등록 시점에 LCH가 모든 매도자의 매수자이자 모든 매수자의 매도자가 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OTC 파생상품의 채무인수:</w:t>
      </w:r>
      <w:r>
        <w:rPr>
          <w:rFonts w:ascii="Malgun Gothic" w:hAnsi="Malgun Gothic" w:eastAsia="맑은 고딕"/>
        </w:rPr>
        <w:t xml:space="preserve"> 거래 등록·수용 시, 원래의 상대거래 계약이 소멸되고 CCP와 각 원거래 상대방 사이에 두 개의 새로운 계약으로 대체된다.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SwapClear 실시간 거래 등록:</w:t>
      </w:r>
      <w:r>
        <w:rPr>
          <w:rFonts w:ascii="Malgun Gothic" w:hAnsi="Malgun Gothic" w:eastAsia="맑은 고딕"/>
        </w:rPr>
        <w:t xml:space="preserve"> 거래는 제출 후 약 10초 이내에 채무인수된다. 이를 위해 전용 6억 GBP 규모의 RTTR (Real-Time Trade Registration) 공동기금이 운용된다. (</w:t>
      </w:r>
      <w:r>
        <w:rPr>
          <w:rFonts w:ascii="Malgun Gothic" w:hAnsi="Malgun Gothic" w:eastAsia="맑은 고딕"/>
          <w:color w:val="0563C1"/>
          <w:u w:val="single"/>
        </w:rPr>
        <w:t>RBA Assessment 2020</w:t>
      </w:r>
      <w:r>
        <w:rPr>
          <w:rFonts w:ascii="Malgun Gothic" w:hAnsi="Malgun Gothic" w:eastAsia="맑은 고딕"/>
        </w:rPr>
        <w:t>)</w:t>
      </w:r>
    </w:p>
    <w:p>
      <w:pPr>
        <w:pStyle w:val="Heading3"/>
      </w:pPr>
      <w:r>
        <w:rPr>
          <w:rFonts w:ascii="Malgun Gothic" w:hAnsi="Malgun Gothic" w:eastAsia="맑은 고딕"/>
        </w:rPr>
        <w:t>2.3 차감 및 압축 (Netting &amp; Compression)</w:t>
      </w:r>
    </w:p>
    <w:p>
      <w:r>
        <w:rPr>
          <w:rFonts w:ascii="Malgun Gothic" w:hAnsi="Malgun Gothic" w:eastAsia="맑은 고딕"/>
          <w:b/>
        </w:rPr>
        <w:t>다자간차감 (Multilateral Netting):</w:t>
      </w:r>
    </w:p>
    <w:p>
      <w:pPr>
        <w:pStyle w:val="ListBullet"/>
      </w:pPr>
      <w:r>
        <w:rPr>
          <w:rFonts w:ascii="Malgun Gothic" w:hAnsi="Malgun Gothic" w:eastAsia="맑은 고딕"/>
        </w:rPr>
        <w:t>LCH는 모든 청산 포지션에 대해 다자간차감을 수행하여, 총쌍무적 익스포저를 청산회원당 CCP에 대한 단일 순익스포저로 축소한다.</w:t>
      </w:r>
    </w:p>
    <w:p>
      <w:pPr>
        <w:pStyle w:val="ListBullet"/>
      </w:pPr>
      <w:r>
        <w:rPr>
          <w:rFonts w:ascii="Malgun Gothic" w:hAnsi="Malgun Gothic" w:eastAsia="맑은 고딕"/>
        </w:rPr>
        <w:t>RepoClear는 현물채권 및 레포 거래에 대한 차감을 제공하여 결제 의무를 대폭 줄인다.</w:t>
      </w:r>
    </w:p>
    <w:p>
      <w:r>
        <w:rPr>
          <w:rFonts w:ascii="Malgun Gothic" w:hAnsi="Malgun Gothic" w:eastAsia="맑은 고딕"/>
          <w:b/>
        </w:rPr>
        <w:t>포트폴리오 압축 (SwapClear):</w:t>
      </w:r>
    </w:p>
    <w:p>
      <w:pPr>
        <w:pStyle w:val="ListBullet"/>
      </w:pPr>
      <w:r>
        <w:rPr>
          <w:rFonts w:ascii="Malgun Gothic" w:hAnsi="Malgun Gothic" w:eastAsia="맑은 고딕"/>
        </w:rPr>
        <w:t>압축은 호환 가능한 경제적 조건의 거래를 결합하거나 상계하여 항목 수와 총명목원금을 줄인다.</w:t>
      </w:r>
    </w:p>
    <w:p>
      <w:pPr>
        <w:pStyle w:val="ListBullet"/>
      </w:pPr>
      <w:r>
        <w:rPr>
          <w:rFonts w:ascii="Malgun Gothic" w:hAnsi="Malgun Gothic" w:eastAsia="맑은 고딕"/>
        </w:rPr>
        <w:t>압축 대상 상품: IRS, OIS, FRA, 베이시스 스왑, 제로쿠폰 인플레이션 스왑.</w:t>
      </w:r>
    </w:p>
    <w:p>
      <w:pPr>
        <w:pStyle w:val="ListBullet"/>
      </w:pPr>
      <w:r>
        <w:rPr>
          <w:rFonts w:ascii="Malgun Gothic" w:hAnsi="Malgun Gothic" w:eastAsia="맑은 고딕"/>
        </w:rPr>
        <w:t>기법: 혼합금리 압축(blended rate compression), 미래현금흐름 차감(future cash flow netting) 등.</w:t>
      </w:r>
    </w:p>
    <w:p>
      <w:pPr>
        <w:pStyle w:val="ListBullet"/>
      </w:pPr>
      <w:r>
        <w:rPr>
          <w:rFonts w:ascii="Malgun Gothic" w:hAnsi="Malgun Gothic" w:eastAsia="맑은 고딕"/>
        </w:rPr>
        <w:t>2015년에만 SwapClear가 323조 USD의 거래를 압축, 순명목원금 107조 USD 감소. (</w:t>
      </w:r>
      <w:r>
        <w:rPr>
          <w:rFonts w:ascii="Malgun Gothic" w:hAnsi="Malgun Gothic" w:eastAsia="맑은 고딕"/>
          <w:color w:val="0563C1"/>
          <w:u w:val="single"/>
        </w:rPr>
        <w:t>LCH Compression</w:t>
      </w:r>
      <w:r>
        <w:rPr>
          <w:rFonts w:ascii="Malgun Gothic" w:hAnsi="Malgun Gothic" w:eastAsia="맑은 고딕"/>
        </w:rPr>
        <w:t>)</w:t>
      </w:r>
    </w:p>
    <w:p>
      <w:pPr>
        <w:pStyle w:val="ListBullet"/>
      </w:pPr>
      <w:r>
        <w:rPr>
          <w:rFonts w:ascii="Malgun Gothic" w:hAnsi="Malgun Gothic" w:eastAsia="맑은 고딕"/>
        </w:rPr>
        <w:t>LCH SwapClear의 누적 압축 명목원금은 1경(quadrillion) USD를 초과한다. (</w:t>
      </w:r>
      <w:r>
        <w:rPr>
          <w:rFonts w:ascii="Malgun Gothic" w:hAnsi="Malgun Gothic" w:eastAsia="맑은 고딕"/>
          <w:color w:val="0563C1"/>
          <w:u w:val="single"/>
        </w:rPr>
        <w:t>LeapRate</w:t>
      </w:r>
      <w:r>
        <w:rPr>
          <w:rFonts w:ascii="Malgun Gothic" w:hAnsi="Malgun Gothic" w:eastAsia="맑은 고딕"/>
        </w:rPr>
        <w:t>)</w:t>
      </w:r>
    </w:p>
    <w:p>
      <w:pPr>
        <w:pStyle w:val="ListBullet"/>
      </w:pPr>
      <w:r>
        <w:rPr>
          <w:rFonts w:ascii="Malgun Gothic" w:hAnsi="Malgun Gothic" w:eastAsia="맑은 고딕"/>
        </w:rPr>
        <w:t>다자간 압축(OSTTRA triReduce 활용)은 2022년 9월 한 달 동안 약 1조 USD의 추가 총명목원금 감소를 달성하였다. (</w:t>
      </w:r>
      <w:r>
        <w:rPr>
          <w:rFonts w:ascii="Malgun Gothic" w:hAnsi="Malgun Gothic" w:eastAsia="맑은 고딕"/>
          <w:color w:val="0563C1"/>
          <w:u w:val="single"/>
        </w:rPr>
        <w:t>OSTTRA</w:t>
      </w:r>
      <w:r>
        <w:rPr>
          <w:rFonts w:ascii="Malgun Gothic" w:hAnsi="Malgun Gothic" w:eastAsia="맑은 고딕"/>
        </w:rPr>
        <w:t>)</w:t>
      </w:r>
    </w:p>
    <w:p>
      <w:pPr>
        <w:pStyle w:val="Heading3"/>
      </w:pPr>
      <w:r>
        <w:rPr>
          <w:rFonts w:ascii="Malgun Gothic" w:hAnsi="Malgun Gothic" w:eastAsia="맑은 고딕"/>
        </w:rPr>
        <w:t>2.4 청산회원 제도 (Clearing Membership)</w:t>
      </w:r>
    </w:p>
    <w:p>
      <w:pPr>
        <w:pStyle w:val="Heading3"/>
      </w:pPr>
      <w:r>
        <w:rPr>
          <w:rFonts w:ascii="Malgun Gothic" w:hAnsi="Malgun Gothic" w:eastAsia="맑은 고딕"/>
        </w:rPr>
        <w:t>LCH Ltd 회원 제도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구분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요건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가입 수수료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청산회원 (Clearing Member)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규정집 Procedures Section 1에 따른 최소 순자본; 적절한 은행 거래 관계; 경험 있는 인력; 적절한 시스템 및 인프라; KYC/AML 준수; 청산회원 계약 서명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GBP 10,000 (영국 신청자는 VAT 별도)</w:t>
            </w:r>
          </w:p>
        </w:tc>
      </w:tr>
    </w:tbl>
    <w:p/>
    <w:p>
      <w:r>
        <w:rPr>
          <w:rFonts w:ascii="Malgun Gothic" w:hAnsi="Malgun Gothic" w:eastAsia="맑은 고딕"/>
          <w:b/>
        </w:rPr>
        <w:t>서비스별 공동기금 최소 출연액 (LCH Ltd):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서비스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최소 출연액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SwapClear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GBP 1,000만 + GBP 400만 허용 출연분(tolerance contribution)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RepoClear (Ltd)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GBP 200만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ForexClear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USD 500만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EquityClear (Ltd)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GBP 50만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Listed Interest Rates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스트레스 손실 계산액과 회원당 GBP 200만 중 큰 금액; 전체 기금 최소 GBP 1,000만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출처: </w:t>
      </w:r>
      <w:r>
        <w:rPr>
          <w:rFonts w:ascii="Malgun Gothic" w:hAnsi="Malgun Gothic" w:eastAsia="맑은 고딕"/>
          <w:color w:val="0563C1"/>
          <w:u w:val="single"/>
        </w:rPr>
        <w:t>LCH Ltd Membership</w:t>
      </w:r>
    </w:p>
    <w:p>
      <w:r>
        <w:rPr>
          <w:rFonts w:ascii="Malgun Gothic" w:hAnsi="Malgun Gothic" w:eastAsia="맑은 고딕"/>
          <w:b/>
        </w:rPr>
        <w:t>운영 요건:</w:t>
      </w:r>
    </w:p>
    <w:p>
      <w:pPr>
        <w:pStyle w:val="ListBullet"/>
      </w:pPr>
      <w:r>
        <w:rPr>
          <w:rFonts w:ascii="Malgun Gothic" w:hAnsi="Malgun Gothic" w:eastAsia="맑은 고딕"/>
        </w:rPr>
        <w:t>청산 절차에 정통한 최소 2명의 인력 배치</w:t>
      </w:r>
    </w:p>
    <w:p>
      <w:pPr>
        <w:pStyle w:val="ListBullet"/>
      </w:pPr>
      <w:r>
        <w:rPr>
          <w:rFonts w:ascii="Malgun Gothic" w:hAnsi="Malgun Gothic" w:eastAsia="맑은 고딕"/>
        </w:rPr>
        <w:t>영국 및 미국 PPS (Protected Payments System) 위임 및 비상 대책</w:t>
      </w:r>
    </w:p>
    <w:p>
      <w:pPr>
        <w:pStyle w:val="ListBullet"/>
      </w:pPr>
      <w:r>
        <w:rPr>
          <w:rFonts w:ascii="Malgun Gothic" w:hAnsi="Malgun Gothic" w:eastAsia="맑은 고딕"/>
        </w:rPr>
        <w:t>연간 KYC/AML 갱신</w:t>
      </w:r>
    </w:p>
    <w:p>
      <w:pPr>
        <w:pStyle w:val="ListBullet"/>
      </w:pPr>
      <w:r>
        <w:rPr>
          <w:rFonts w:ascii="Malgun Gothic" w:hAnsi="Malgun Gothic" w:eastAsia="맑은 고딕"/>
        </w:rPr>
        <w:t>승인 소요 기간: 완전한 서류 제출 후 약 8주</w:t>
      </w:r>
    </w:p>
    <w:p>
      <w:pPr>
        <w:pStyle w:val="Heading3"/>
      </w:pPr>
      <w:r>
        <w:rPr>
          <w:rFonts w:ascii="Malgun Gothic" w:hAnsi="Malgun Gothic" w:eastAsia="맑은 고딕"/>
        </w:rPr>
        <w:t>LCH SA 회원 제도 (CDSClear)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구분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주요 요건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CDSClear 총괄청산회원 (General Clearing Member)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최소 공동기금 출연액 EUR 1,000만 (현금만); 연회비 EUR 400,000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CDSClear 선택형 회원 (Select Member)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변동 요율; 첫해 수수료 면제 가능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출처: </w:t>
      </w:r>
      <w:r>
        <w:rPr>
          <w:rFonts w:ascii="Malgun Gothic" w:hAnsi="Malgun Gothic" w:eastAsia="맑은 고딕"/>
          <w:color w:val="0563C1"/>
          <w:u w:val="single"/>
        </w:rPr>
        <w:t>LCH SA Fees</w:t>
      </w:r>
    </w:p>
    <w:p>
      <w:r>
        <w:rPr>
          <w:rFonts w:ascii="Malgun Gothic" w:hAnsi="Malgun Gothic" w:eastAsia="맑은 고딕"/>
          <w:b/>
        </w:rPr>
        <w:t>청산회원 수 (대략, 2024년):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서비스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회원 수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SwapClear (Ltd)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 120 [미확인 -- 과거 데이터 기준]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ForexClear (Ltd)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직접 회원 약 30개; 고객 92개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RepoClear (Ltd)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 20 [미확인]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EquityClear (Ltd)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 15 [미확인]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Listed Rates (Ltd)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회원 6개, 고객 8개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CDSClear (SA)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28개 회원 (GCM 20개, 2023년 25개에서 증가)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RepoClear SA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 20 [미확인]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SwapAgent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36개 회원 (2023년 29개에서 증가)</w:t>
            </w:r>
          </w:p>
        </w:tc>
      </w:tr>
    </w:tbl>
    <w:p/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3. 리스크 관리 (Risk Management)</w:t>
      </w:r>
    </w:p>
    <w:p>
      <w:pPr>
        <w:pStyle w:val="Heading3"/>
      </w:pPr>
      <w:r>
        <w:rPr>
          <w:rFonts w:ascii="Malgun Gothic" w:hAnsi="Malgun Gothic" w:eastAsia="맑은 고딕"/>
        </w:rPr>
        <w:t>3.1 증거금 체계 (Margin Framework)</w:t>
      </w:r>
    </w:p>
    <w:p>
      <w:pPr>
        <w:pStyle w:val="Heading3"/>
      </w:pPr>
      <w:r>
        <w:rPr>
          <w:rFonts w:ascii="Malgun Gothic" w:hAnsi="Malgun Gothic" w:eastAsia="맑은 고딕"/>
        </w:rPr>
        <w:t>PAIRS 방법론 (Portfolio Approach to Interest Rate Scenarios)</w:t>
      </w:r>
    </w:p>
    <w:p>
      <w:r>
        <w:rPr>
          <w:rFonts w:ascii="Malgun Gothic" w:hAnsi="Malgun Gothic" w:eastAsia="맑은 고딕"/>
        </w:rPr>
        <w:t>PAIRS는 LCH의 독자적 증거금 방법론으로, SwapClear, ForexClear, Listed Rates 서비스에 적용된다. (</w:t>
      </w:r>
      <w:r>
        <w:rPr>
          <w:rFonts w:ascii="Malgun Gothic" w:hAnsi="Malgun Gothic" w:eastAsia="맑은 고딕"/>
          <w:color w:val="0563C1"/>
          <w:u w:val="single"/>
        </w:rPr>
        <w:t>LCH Ltd Margin Methodology</w:t>
      </w:r>
      <w:r>
        <w:rPr>
          <w:rFonts w:ascii="Malgun Gothic" w:hAnsi="Malgun Gothic" w:eastAsia="맑은 고딕"/>
        </w:rP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파라미터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사양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모델 유형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변동성 조정을 포함한 필터드 역사적 시뮬레이션 기반 기대손실(Expected Shortfall, ES) 모델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신뢰수준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99.7% (약 2.75 표준편차에 해당)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보유기간 (회원)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5일 청산기간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보유기간 (고객)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7일 청산기간 (5일 + 포트폴리오 이전을 위한 추가 2일)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회고기간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수익률곡선 및 환율의 변동성 조정 변동분을 포함한 10년 역사적 시장 데이터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하한 보정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비조정(unscaled) 10년 역사적 회고 + 글로벌 금융위기(2007~2009년) 포함 추가 2.5년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출처: </w:t>
      </w:r>
      <w:r>
        <w:rPr>
          <w:rFonts w:ascii="Malgun Gothic" w:hAnsi="Malgun Gothic" w:eastAsia="맑은 고딕"/>
          <w:color w:val="0563C1"/>
          <w:u w:val="single"/>
        </w:rPr>
        <w:t>RBA Assessment 2020 Appendix B</w:t>
      </w:r>
    </w:p>
    <w:p>
      <w:r>
        <w:rPr>
          <w:rFonts w:ascii="Malgun Gothic" w:hAnsi="Malgun Gothic" w:eastAsia="맑은 고딕"/>
          <w:b/>
        </w:rPr>
        <w:t>PAIRS 프로세스:</w:t>
      </w:r>
    </w:p>
    <w:p>
      <w:pPr>
        <w:pStyle w:val="ListBullet"/>
      </w:pPr>
      <w:r>
        <w:rPr>
          <w:rFonts w:ascii="Malgun Gothic" w:hAnsi="Malgun Gothic" w:eastAsia="맑은 고딕"/>
        </w:rPr>
        <w:t>10년간 일일 시장 데이터(수익률곡선, 환율, 서비스에 따라 신용스프레드) 수집</w:t>
      </w:r>
    </w:p>
    <w:p>
      <w:pPr>
        <w:pStyle w:val="ListBullet"/>
      </w:pPr>
      <w:r>
        <w:rPr>
          <w:rFonts w:ascii="Malgun Gothic" w:hAnsi="Malgun Gothic" w:eastAsia="맑은 고딕"/>
        </w:rPr>
        <w:t>EWMA 기반 변동성 조정을 역사적 수익률에 적용하여 현재 시장 상황 반영</w:t>
      </w:r>
    </w:p>
    <w:p>
      <w:pPr>
        <w:pStyle w:val="ListBullet"/>
      </w:pPr>
      <w:r>
        <w:rPr>
          <w:rFonts w:ascii="Malgun Gothic" w:hAnsi="Malgun Gothic" w:eastAsia="맑은 고딕"/>
        </w:rPr>
        <w:t>시뮬레이션된 포트폴리오 손익(P&amp;L) 변화의 분포 생성</w:t>
      </w:r>
    </w:p>
    <w:p>
      <w:pPr>
        <w:pStyle w:val="ListBullet"/>
      </w:pPr>
      <w:r>
        <w:rPr>
          <w:rFonts w:ascii="Malgun Gothic" w:hAnsi="Malgun Gothic" w:eastAsia="맑은 고딕"/>
        </w:rPr>
        <w:t>보유기간에 걸쳐 99.7% 신뢰수준의 기대손실(ES) 산출</w:t>
      </w:r>
    </w:p>
    <w:p>
      <w:pPr>
        <w:pStyle w:val="ListBullet"/>
      </w:pPr>
      <w:r>
        <w:rPr>
          <w:rFonts w:ascii="Malgun Gothic" w:hAnsi="Malgun Gothic" w:eastAsia="맑은 고딕"/>
        </w:rPr>
        <w:t>개시증거금(Initial Margin)을 99.7% VaR 임계치를 초과하는 손실의 조건부 기대손실로 결정</w:t>
      </w:r>
    </w:p>
    <w:p>
      <w:r>
        <w:rPr>
          <w:rFonts w:ascii="Malgun Gothic" w:hAnsi="Malgun Gothic" w:eastAsia="맑은 고딕"/>
          <w:b/>
        </w:rPr>
        <w:t>증거금 부가금(Add-ons):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신용리스크 부가금:</w:t>
      </w:r>
      <w:r>
        <w:rPr>
          <w:rFonts w:ascii="Malgun Gothic" w:hAnsi="Malgun Gothic" w:eastAsia="맑은 고딕"/>
        </w:rPr>
        <w:t xml:space="preserve"> 기본 PAIRS 모델에서 회원의 신용 익스포저가 완전히 포착되지 않는 경우 적용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유동성리스크 부가금:</w:t>
      </w:r>
      <w:r>
        <w:rPr>
          <w:rFonts w:ascii="Malgun Gothic" w:hAnsi="Malgun Gothic" w:eastAsia="맑은 고딕"/>
        </w:rPr>
        <w:t xml:space="preserve"> 대규모 또는 집중 포지션의 청산 비용 반영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집중리스크 부가금:</w:t>
      </w:r>
      <w:r>
        <w:rPr>
          <w:rFonts w:ascii="Malgun Gothic" w:hAnsi="Malgun Gothic" w:eastAsia="맑은 고딕"/>
        </w:rPr>
        <w:t xml:space="preserve"> 특정 만기 또는 통화에 비례적으로 큰 포지션을 가진 포트폴리오용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스트레스 증거금 부가금:</w:t>
      </w:r>
      <w:r>
        <w:rPr>
          <w:rFonts w:ascii="Malgun Gothic" w:hAnsi="Malgun Gothic" w:eastAsia="맑은 고딕"/>
        </w:rPr>
        <w:t xml:space="preserve"> 시장 스트레스 고조기에 적용될 수 있음</w:t>
      </w:r>
    </w:p>
    <w:p>
      <w:pPr>
        <w:pStyle w:val="Heading3"/>
      </w:pPr>
      <w:r>
        <w:rPr>
          <w:rFonts w:ascii="Malgun Gothic" w:hAnsi="Malgun Gothic" w:eastAsia="맑은 고딕"/>
        </w:rPr>
        <w:t>CDSClear 증거금 (LCH SA)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파라미터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사양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모델 유형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조정 수익률을 포함한 역사적 시뮬레이션; 기대손실(ES) 방법론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신뢰수준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99.7%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보유기간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5일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회고기간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2007년 4월부터 (글로벌 금융위기 기간 포함)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출처: </w:t>
      </w:r>
      <w:r>
        <w:rPr>
          <w:rFonts w:ascii="Malgun Gothic" w:hAnsi="Malgun Gothic" w:eastAsia="맑은 고딕"/>
          <w:color w:val="0563C1"/>
          <w:u w:val="single"/>
        </w:rPr>
        <w:t>LCH CDSClear Risk Management</w:t>
      </w:r>
    </w:p>
    <w:p>
      <w:pPr>
        <w:pStyle w:val="Heading3"/>
      </w:pPr>
      <w:r>
        <w:rPr>
          <w:rFonts w:ascii="Malgun Gothic" w:hAnsi="Malgun Gothic" w:eastAsia="맑은 고딕"/>
        </w:rPr>
        <w:t>보유 개시증거금 (2024년 Q4 CPMI-IOSCO PQD 데이터)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서비스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개시증거금 보유액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SwapClear (Ltd)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 2,400억 USD (1,920억 GBP)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CDSClear (SA)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 102억 USD (98억 EUR)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ForexClear (Ltd)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 107억 USD (2024년 Q2 최대치)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Listed Rates (Ltd)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 300만 USD (신규 출시)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출처: </w:t>
      </w:r>
      <w:r>
        <w:rPr>
          <w:rFonts w:ascii="Malgun Gothic" w:hAnsi="Malgun Gothic" w:eastAsia="맑은 고딕"/>
          <w:color w:val="0563C1"/>
          <w:u w:val="single"/>
        </w:rPr>
        <w:t>Clarus FT Q4 2024</w:t>
      </w:r>
    </w:p>
    <w:p>
      <w:pPr>
        <w:pStyle w:val="Heading3"/>
      </w:pPr>
      <w:r>
        <w:rPr>
          <w:rFonts w:ascii="Malgun Gothic" w:hAnsi="Malgun Gothic" w:eastAsia="맑은 고딕"/>
        </w:rPr>
        <w:t>3.2 증거금 징수 일정 (Margin Call Schedule)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징수 유형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시점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장 마감(EOD)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매 영업일 마감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모든 포지션에 대한 개시증거금 및 변동증거금(Variation Margin)의 전면 재산출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장중 증거금 징수 (Intraday Margin Call)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영업시간 중 수시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회원의 총합 증거금 부채가 참가자별 사전 설정 신용 임계치를 초과할 때 발동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임시 / 특별 (Ad-hoc / Extraordinary)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필요시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LCH는 극심한 시장 스트레스 또는 대규모 포지션 변동 시 추가 증거금을 징수할 수 있다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출처: </w:t>
      </w:r>
      <w:r>
        <w:rPr>
          <w:rFonts w:ascii="Malgun Gothic" w:hAnsi="Malgun Gothic" w:eastAsia="맑은 고딕"/>
          <w:color w:val="0563C1"/>
          <w:u w:val="single"/>
        </w:rPr>
        <w:t>RBA Assessment 2020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변동증거금:</w:t>
      </w:r>
      <w:r>
        <w:rPr>
          <w:rFonts w:ascii="Malgun Gothic" w:hAnsi="Malgun Gothic" w:eastAsia="맑은 고딕"/>
        </w:rPr>
        <w:t xml:space="preserve"> 포지션의 시가평가 변동을 반영하여 일일 및 장중 현금으로 징수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SwapClear:</w:t>
      </w:r>
      <w:r>
        <w:rPr>
          <w:rFonts w:ascii="Malgun Gothic" w:hAnsi="Malgun Gothic" w:eastAsia="맑은 고딕"/>
        </w:rPr>
        <w:t xml:space="preserve"> 변동증거금은 일일 교환; 자동 징수를 통한 장중 모니터링</w:t>
      </w:r>
    </w:p>
    <w:p>
      <w:pPr>
        <w:pStyle w:val="Heading3"/>
      </w:pPr>
      <w:r>
        <w:rPr>
          <w:rFonts w:ascii="Malgun Gothic" w:hAnsi="Malgun Gothic" w:eastAsia="맑은 고딕"/>
        </w:rPr>
        <w:t>3.3 손실부담순서 (Default Waterfall)</w:t>
      </w:r>
    </w:p>
    <w:p>
      <w:pPr>
        <w:pStyle w:val="Heading3"/>
      </w:pPr>
      <w:r>
        <w:rPr>
          <w:rFonts w:ascii="Malgun Gothic" w:hAnsi="Malgun Gothic" w:eastAsia="맑은 고딕"/>
        </w:rPr>
        <w:t>LCH Ltd 손실부담순서</w:t>
      </w:r>
    </w:p>
    <w:p>
      <w:r>
        <w:rPr>
          <w:rFonts w:ascii="Malgun Gothic" w:hAnsi="Malgun Gothic" w:eastAsia="맑은 고딕"/>
        </w:rPr>
        <w:t>손실부담순서는 서비스별로 운영된다. 각 청산 서비스는 별도의 분리된 공동기금(Default Fund)을 보유한다. 계층은 순차적으로 소진된다: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계층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대략적 규모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부도회원의 개시증거금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회원에 따라 상이 (SwapClear 전체: 약 1,920억 GBP)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부도회원의 공동기금 출연분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회원에 따라 상이 (SwapClear 최소 GBP 1,000만)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3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LCH CCP 자기자본 출연분 (SITG)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 최소 규제자본 요건의 25%; 약 GBP 3,500만 [미확인 -- Clarus FT 추정 기준]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4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비부도회원의 공동기금 출연분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SwapClear: 최대 GBP 54억 (핵심 구성요소, Cover 2 기준으로 산정); RepoClear Ltd 및 ForexClear: 별도 기금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5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RTTR 공동기금 구성요소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GBP 6억 (실시간 거래 등록 리스크용)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6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추가분담금 부과 권한 (미적립)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비부도회원의 최종 공동기금 출연액에 상응하는 금액까지 (부도당); 6개월 내 최대 3건 부도 적용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7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LCH 추가 자본 / 회복 수단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추가 CCP 자원; 최종 수단으로 VMGH 및 tear-up</w:t>
            </w:r>
          </w:p>
        </w:tc>
      </w:tr>
    </w:tbl>
    <w:p/>
    <w:p>
      <w:r>
        <w:rPr>
          <w:rFonts w:ascii="Malgun Gothic" w:hAnsi="Malgun Gothic" w:eastAsia="맑은 고딕"/>
          <w:b/>
        </w:rPr>
        <w:t>SwapClear 공동기금 규모 산정:</w:t>
      </w:r>
    </w:p>
    <w:p>
      <w:pPr>
        <w:pStyle w:val="ListBullet"/>
      </w:pPr>
      <w:r>
        <w:rPr>
          <w:rFonts w:ascii="Malgun Gothic" w:hAnsi="Malgun Gothic" w:eastAsia="맑은 고딕"/>
        </w:rPr>
        <w:t>핵심 구성요소 상한: GBP 54억 (2020년 평가 기준; 2019년 9월 GBP 50억에서 인상)</w:t>
      </w:r>
    </w:p>
    <w:p>
      <w:pPr>
        <w:pStyle w:val="ListBullet"/>
      </w:pPr>
      <w:r>
        <w:rPr>
          <w:rFonts w:ascii="Malgun Gothic" w:hAnsi="Malgun Gothic" w:eastAsia="맑은 고딕"/>
        </w:rPr>
        <w:t>RTTR 구성요소: GBP 6억</w:t>
      </w:r>
    </w:p>
    <w:p>
      <w:pPr>
        <w:pStyle w:val="ListBullet"/>
      </w:pPr>
      <w:r>
        <w:rPr>
          <w:rFonts w:ascii="Malgun Gothic" w:hAnsi="Malgun Gothic" w:eastAsia="맑은 고딕"/>
        </w:rPr>
        <w:t>Rates Service 공동기금 총 상한: 약 GBP 60억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Cover 2 기준</w:t>
      </w:r>
      <w:r>
        <w:rPr>
          <w:rFonts w:ascii="Malgun Gothic" w:hAnsi="Malgun Gothic" w:eastAsia="맑은 고딕"/>
        </w:rPr>
        <w:t xml:space="preserve"> 산정: 극단적이지만 현실적인 스트레스 시나리오에서 최대 익스포저를 발생시키는 두 청산참가자(계열사 및 고객 포함)의 동시 부도를 견딜 수 있도록 함</w:t>
      </w:r>
    </w:p>
    <w:p>
      <w:pPr>
        <w:pStyle w:val="ListBullet"/>
      </w:pPr>
      <w:r>
        <w:rPr>
          <w:rFonts w:ascii="Malgun Gothic" w:hAnsi="Malgun Gothic" w:eastAsia="맑은 고딕"/>
        </w:rPr>
        <w:t>매월 첫 영업일에 재조정. 60일 회고기간 동안 개시증거금 초과 스트레스 테스트 손실(STLOIM)이 가장 큰 두 참가자를 기준으로, 완충분을 더하여 산정</w:t>
      </w:r>
    </w:p>
    <w:p>
      <w:r>
        <w:rPr>
          <w:rFonts w:ascii="Malgun Gothic" w:hAnsi="Malgun Gothic" w:eastAsia="맑은 고딕"/>
        </w:rPr>
        <w:t xml:space="preserve">출처: </w:t>
      </w:r>
      <w:r>
        <w:rPr>
          <w:rFonts w:ascii="Malgun Gothic" w:hAnsi="Malgun Gothic" w:eastAsia="맑은 고딕"/>
          <w:color w:val="0563C1"/>
          <w:u w:val="single"/>
        </w:rPr>
        <w:t>RBA Assessment 2020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Clarus FT</w:t>
      </w:r>
    </w:p>
    <w:p>
      <w:r>
        <w:rPr>
          <w:rFonts w:ascii="Malgun Gothic" w:hAnsi="Malgun Gothic" w:eastAsia="맑은 고딕"/>
          <w:b/>
        </w:rPr>
        <w:t>공동기금 출연 방법론 (SwapClear):</w:t>
      </w:r>
    </w:p>
    <w:p>
      <w:pPr>
        <w:pStyle w:val="ListBullet"/>
      </w:pPr>
      <w:r>
        <w:rPr>
          <w:rFonts w:ascii="Malgun Gothic" w:hAnsi="Malgun Gothic" w:eastAsia="맑은 고딕"/>
        </w:rPr>
        <w:t>약 90%는 잠재적 잔여 손실(개시증거금 초과 스트레스 테스트 손실) 기준</w:t>
      </w:r>
    </w:p>
    <w:p>
      <w:pPr>
        <w:pStyle w:val="ListBullet"/>
      </w:pPr>
      <w:r>
        <w:rPr>
          <w:rFonts w:ascii="Malgun Gothic" w:hAnsi="Malgun Gothic" w:eastAsia="맑은 고딕"/>
        </w:rPr>
        <w:t>약 10%는 총명목 스왑 포지션 기준</w:t>
      </w:r>
    </w:p>
    <w:p>
      <w:pPr>
        <w:pStyle w:val="ListBullet"/>
      </w:pPr>
      <w:r>
        <w:rPr>
          <w:rFonts w:ascii="Malgun Gothic" w:hAnsi="Malgun Gothic" w:eastAsia="맑은 고딕"/>
        </w:rPr>
        <w:t>월별 재산출</w:t>
      </w:r>
    </w:p>
    <w:p>
      <w:pPr>
        <w:pStyle w:val="Heading3"/>
      </w:pPr>
      <w:r>
        <w:rPr>
          <w:rFonts w:ascii="Malgun Gothic" w:hAnsi="Malgun Gothic" w:eastAsia="맑은 고딕"/>
        </w:rPr>
        <w:t>LCH SA 손실부담순서</w:t>
      </w:r>
    </w:p>
    <w:p>
      <w:r>
        <w:rPr>
          <w:rFonts w:ascii="Malgun Gothic" w:hAnsi="Malgun Gothic" w:eastAsia="맑은 고딕"/>
        </w:rPr>
        <w:t>LCH SA는 각 청산 서비스(CDSClear, RepoClear SA, DigitalAssetClear)에 대해 별도의 공동기금을 운영한다.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계층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대략적 규모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부도회원의 개시증거금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회원에 따라 상이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부도회원의 공동기금 출연분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CDSClear 최소 EUR 1,000만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3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LCH SA 제1차 CCP 자기자본 출연분 (SITG)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서비스당 EUR 2,000만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4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비부도회원의 공동기금 출연분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CDSClear: 약 EUR 27.7억 (2023년 Q2 최대치, 37.6%↑); EquityClear: 약 EUR 42.4억 (2023년 Q2, 종료 전)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5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LCH SA 제2차 SITG (변동 출연분)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추가 CCP 자본 계층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6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추가분담금 부과 권한 / 손실 귀속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비부도회원에 대한 비례 배분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7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회복 수단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VMGH, 부분적 tear-up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출처: </w:t>
      </w:r>
      <w:r>
        <w:rPr>
          <w:rFonts w:ascii="Malgun Gothic" w:hAnsi="Malgun Gothic" w:eastAsia="맑은 고딕"/>
          <w:color w:val="0563C1"/>
          <w:u w:val="single"/>
        </w:rPr>
        <w:t>Risk.net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LCH SA Default Waterfall PDF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**참고:** LCH SA 자체의 SITG 출연분은 세 청산 서비스 전체 공동기금 자원의 1% 미만을 차지한다. ([Risk.net](https://www.risk.net/risk-quantum/7957808/lch-sas-default-funds-hit-record-highs))</w:t>
      </w:r>
    </w:p>
    <w:p>
      <w:pPr>
        <w:pStyle w:val="Heading3"/>
      </w:pPr>
      <w:r>
        <w:rPr>
          <w:rFonts w:ascii="Malgun Gothic" w:hAnsi="Malgun Gothic" w:eastAsia="맑은 고딕"/>
        </w:rPr>
        <w:t>3.4 스트레스 테스트 및 사후검증 (Stress Testing &amp; Back-testing)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스트레스 테스트 기준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Cover 2</w:t>
            </w:r>
            <w:r>
              <w:rPr>
                <w:rFonts w:ascii="Malgun Gothic" w:hAnsi="Malgun Gothic" w:eastAsia="맑은 고딕"/>
              </w:rPr>
              <w:t xml:space="preserve"> -- 극단적이지만 현실적인 조건에서 최대 익스포저를 발생시키는 두 청산참가자(계열사 및 고객 포함)의 동시 부도를 견딜 수 있도록 공동기금 규모 산정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스트레스 시나리오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과거 시나리오 (글로벌 금융위기, 유럽 재정위기, COVID-19 등); 가상 시나리오 (금리 충격, 신용스프레드 변동, 환율 변동); 역스트레스 테스트(reverse stress test)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사후검증 주기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일일 및 월별</w:t>
            </w:r>
            <w:r>
              <w:rPr>
                <w:rFonts w:ascii="Malgun Gothic" w:hAnsi="Malgun Gothic" w:eastAsia="맑은 고딕"/>
              </w:rPr>
              <w:t xml:space="preserve"> 증거금 모델 성과 사후검증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민감도 분석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월별 민감도 분석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모델 검증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연간 독립 모델 검증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보고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결과를 리스크위원회 및 이사회에 보고; 감독기관과 공유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출처: </w:t>
      </w:r>
      <w:r>
        <w:rPr>
          <w:rFonts w:ascii="Malgun Gothic" w:hAnsi="Malgun Gothic" w:eastAsia="맑은 고딕"/>
          <w:color w:val="0563C1"/>
          <w:u w:val="single"/>
        </w:rPr>
        <w:t>RBA Assessment 2020</w:t>
      </w:r>
    </w:p>
    <w:p>
      <w:pPr>
        <w:pStyle w:val="Heading3"/>
      </w:pPr>
      <w:r>
        <w:rPr>
          <w:rFonts w:ascii="Malgun Gothic" w:hAnsi="Malgun Gothic" w:eastAsia="맑은 고딕"/>
        </w:rPr>
        <w:t>3.5 부도관리 절차 (Default Management Process)</w:t>
      </w:r>
    </w:p>
    <w:p>
      <w:r>
        <w:rPr>
          <w:rFonts w:ascii="Malgun Gothic" w:hAnsi="Malgun Gothic" w:eastAsia="맑은 고딕"/>
        </w:rPr>
        <w:t>LCH의 부도관리 절차는 세 단계로 진행된다: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리스크 중립화 및 고객 이관 (Risk Neutralization &amp; Client Porting):</w:t>
      </w:r>
      <w:r>
        <w:rPr>
          <w:rFonts w:ascii="Malgun Gothic" w:hAnsi="Malgun Gothic" w:eastAsia="맑은 고딕"/>
        </w:rPr>
        <w:t xml:space="preserve"> 부도회원 포트폴리오의 시장리스크를 억제하기 위한 즉시 헤지; 고객 포지션과 담보를 비부도 청산회원으로 이전(porting) 시도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포트폴리오 경매 (Portfolio Auction):</w:t>
      </w:r>
      <w:r>
        <w:rPr>
          <w:rFonts w:ascii="Malgun Gothic" w:hAnsi="Malgun Gothic" w:eastAsia="맑은 고딕"/>
        </w:rPr>
        <w:t xml:space="preserve"> 부도회원의 포트폴리오를 상품 및 통화별로 분할한 후, 구조화된 경매 절차를 통해 생존 청산회원에 매각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손실 귀속 (Loss Attribution):</w:t>
      </w:r>
      <w:r>
        <w:rPr>
          <w:rFonts w:ascii="Malgun Gothic" w:hAnsi="Malgun Gothic" w:eastAsia="맑은 고딕"/>
        </w:rPr>
        <w:t xml:space="preserve"> 변동증거금/헤지 비용의 손실은 비례 배분; 경매 손실은 입찰 결과에 따라 배분</w:t>
      </w:r>
    </w:p>
    <w:p>
      <w:r>
        <w:rPr>
          <w:rFonts w:ascii="Malgun Gothic" w:hAnsi="Malgun Gothic" w:eastAsia="맑은 고딕"/>
          <w:b/>
        </w:rPr>
        <w:t>검증된 실적: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Lehman Brothers (2008년):</w:t>
      </w:r>
      <w:r>
        <w:rPr>
          <w:rFonts w:ascii="Malgun Gothic" w:hAnsi="Malgun Gothic" w:eastAsia="맑은 고딕"/>
        </w:rPr>
        <w:t xml:space="preserve"> LCH는 Lehman Brothers의 66,390건, 9조 USD 규모 IRS 포트폴리오 부도를 Lehman이 예치한 개시증거금의 35%만 사용하여 관리하였다. 비부도회원이나 공동기금에 대한 손실 부과는 없었다. (</w:t>
      </w:r>
      <w:r>
        <w:rPr>
          <w:rFonts w:ascii="Malgun Gothic" w:hAnsi="Malgun Gothic" w:eastAsia="맑은 고딕"/>
          <w:color w:val="0563C1"/>
          <w:u w:val="single"/>
        </w:rPr>
        <w:t>LCH SwapClear Risk Management</w:t>
      </w:r>
      <w:r>
        <w:rPr>
          <w:rFonts w:ascii="Malgun Gothic" w:hAnsi="Malgun Gothic" w:eastAsia="맑은 고딕"/>
        </w:rPr>
        <w:t>)</w:t>
      </w:r>
    </w:p>
    <w:p>
      <w:pPr>
        <w:pStyle w:val="Heading3"/>
      </w:pPr>
      <w:r>
        <w:rPr>
          <w:rFonts w:ascii="Malgun Gothic" w:hAnsi="Malgun Gothic" w:eastAsia="맑은 고딕"/>
        </w:rPr>
        <w:t>3.6 회복 및 정리 (Recovery &amp; Resolution)</w:t>
      </w:r>
    </w:p>
    <w:p>
      <w:pPr>
        <w:pStyle w:val="Heading3"/>
      </w:pPr>
      <w:r>
        <w:rPr>
          <w:rFonts w:ascii="Malgun Gothic" w:hAnsi="Malgun Gothic" w:eastAsia="맑은 고딕"/>
        </w:rPr>
        <w:t>회복 수단 (LCH Ltd)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수단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변동증거금 이익 삭감 (VMGH, Variation Margin Gains Haircutting)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LCH는 포지션 가치가 상승한 비부도 참가자에게 지급해야 할 변동증거금에 비례적 삭감을 적용할 수 있다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추가분담금 부과 권한 (Cash Calls)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비부도회원으로부터의 미적립 출연분; 부도당 최종 공동기금 출연액까지; 6개월 내 최대 3건 부도 적용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부분적 Tear-up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매칭된 장부를 복원하기 위한 특정 계약 종료; 최종 수단으로 사용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전면 Tear-up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극단적 상황에서 해당 서비스의 모든 미결제 계약 종료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축소된 이익 배분 (RGD, Reduced Gains Distribution)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자금 유출을 줄이기 위한 이익 삭감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정리 체계 (Resolution Framework)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LCH Ltd 정리 당국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Bank of England (잉글랜드은행)</w:t>
            </w:r>
            <w:r>
              <w:rPr>
                <w:rFonts w:ascii="Malgun Gothic" w:hAnsi="Malgun Gothic" w:eastAsia="맑은 고딕"/>
              </w:rPr>
              <w:t xml:space="preserve"> -- 영국 법률에 따라 현금 징수, VMGH, tear-up, 핵심 기능 이전 등 CCP 정리를 위한 법적 권한 보유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Bank of England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LCH SA 정리 당국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ACPR</w:t>
            </w:r>
            <w:r>
              <w:rPr>
                <w:rFonts w:ascii="Malgun Gothic" w:hAnsi="Malgun Gothic" w:eastAsia="맑은 고딕"/>
              </w:rPr>
              <w:t xml:space="preserve"> (건전성감독정리청), EU CCP 회복·정리 규정(EU CCPRR)에 따름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FSB 준수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양 법인 모두 금융시장인프라 정리에 관한 FSB 핵심 특성(Key Attributes) 준수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정리 계획 현황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LCH Ltd 및 LCH SA 모두 각 정리 당국의 검토를 받는 정리 계획을 유지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출처: </w:t>
      </w:r>
      <w:r>
        <w:rPr>
          <w:rFonts w:ascii="Malgun Gothic" w:hAnsi="Malgun Gothic" w:eastAsia="맑은 고딕"/>
          <w:color w:val="0563C1"/>
          <w:u w:val="single"/>
        </w:rPr>
        <w:t>FSB 2024 Resolution Report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LCH Response to FSB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4. 결제 (Settlement)</w:t>
      </w:r>
    </w:p>
    <w:p>
      <w:pPr>
        <w:pStyle w:val="Heading3"/>
      </w:pPr>
      <w:r>
        <w:rPr>
          <w:rFonts w:ascii="Malgun Gothic" w:hAnsi="Malgun Gothic" w:eastAsia="맑은 고딕"/>
        </w:rPr>
        <w:t>4.1 상품별 결제주기 (Settlement Cycle by Product)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상품 / 서비스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결제주기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법인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SwapClear (OTC IRS)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변동증거금: 일일 현금결제(T+0); 개시증거금: T+0/T+1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 Ltd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ForexClear (OTC FX)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변동증거금: 일일; CLS/표준 FX 관례에 따른 실물결제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 Ltd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RepoClear (Ltd)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상품에 따라 T+0~T+2; CSD를 통한 표준 레포 결제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 Ltd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EquityClear (Ltd)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T+2 (영국 표준; T+1 검토 중)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 Ltd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CDSClear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변동증거금: 일일 현금; ISDA 프로토콜에 따른 이벤트 결제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 SA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RepoClear SA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T+0~T+2; 표준 레포 결제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 SA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4.2 DVP 모델 (DVP Model)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법인 / 서비스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DVP 모델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RepoClear (Ltd &amp; SA)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BIS DVP 모델 1 (건별-건별) / 모델 3 (차감-차감)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CSD 및 결제 방식에 따라 상이; 일부 구성에서는 증권의 건별 인도에 대한 자금의 차감 결제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EquityClear (Ltd)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BIS DVP 모델 3 (차감-차감)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증권과 자금 모두의 다자간 차감결제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SwapClear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해당 없음 (현금결제)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증권 인도 없음; 증거금 및 변동증거금은 현금으로 결제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CDSClear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해당 없음 (현금결제)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증거금의 현금 결제; 신용 이벤트 시 ISDA 프로토콜에 따른 실물결제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4.3 결제완결성 (Settlement Finality)</w:t>
      </w:r>
    </w:p>
    <w:p>
      <w:r>
        <w:rPr>
          <w:rFonts w:ascii="Malgun Gothic" w:hAnsi="Malgun Gothic" w:eastAsia="맑은 고딕"/>
          <w:b/>
        </w:rPr>
        <w:t>LCH Ltd: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법적 근거:</w:t>
      </w:r>
      <w:r>
        <w:rPr>
          <w:rFonts w:ascii="Malgun Gothic" w:hAnsi="Malgun Gothic" w:eastAsia="맑은 고딕"/>
        </w:rPr>
        <w:t xml:space="preserve"> 영국 금융시장 및 도산(결제완결성) 규정 1999 (SI 1999/2979), 브렉시트 이후 개정본. LCH Ltd는 Bank of England에 의해 "지정 시스템(designated system)"으로 지정되었다. (</w:t>
      </w:r>
      <w:r>
        <w:rPr>
          <w:rFonts w:ascii="Malgun Gothic" w:hAnsi="Malgun Gothic" w:eastAsia="맑은 고딕"/>
          <w:color w:val="0563C1"/>
          <w:u w:val="single"/>
        </w:rPr>
        <w:t>Settlement Finality Regulations</w:t>
      </w:r>
      <w:r>
        <w:rPr>
          <w:rFonts w:ascii="Malgun Gothic" w:hAnsi="Malgun Gothic" w:eastAsia="맑은 고딕"/>
        </w:rPr>
        <w:t>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완결 시점:</w:t>
      </w:r>
      <w:r>
        <w:rPr>
          <w:rFonts w:ascii="Malgun Gothic" w:hAnsi="Malgun Gothic" w:eastAsia="맑은 고딕"/>
        </w:rPr>
        <w:t xml:space="preserve"> 시스템에 입력된 이전 지시는 철회 불가능하며, 참가자의 도산 절차에 의해 무효화될 수 없다.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보호:</w:t>
      </w:r>
      <w:r>
        <w:rPr>
          <w:rFonts w:ascii="Malgun Gothic" w:hAnsi="Malgun Gothic" w:eastAsia="맑은 고딕"/>
        </w:rPr>
        <w:t xml:space="preserve"> 결제완결성 규정은 이전 지시 및 관련 담보를 도산 절차로부터 보호한다.</w:t>
      </w:r>
    </w:p>
    <w:p>
      <w:r>
        <w:rPr>
          <w:rFonts w:ascii="Malgun Gothic" w:hAnsi="Malgun Gothic" w:eastAsia="맑은 고딕"/>
          <w:b/>
        </w:rPr>
        <w:t>LCH SA: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법적 근거:</w:t>
      </w:r>
      <w:r>
        <w:rPr>
          <w:rFonts w:ascii="Malgun Gothic" w:hAnsi="Malgun Gothic" w:eastAsia="맑은 고딕"/>
        </w:rPr>
        <w:t xml:space="preserve"> EU 결제완결성 지침(Directive 98/26/EC)의 프랑스 국내법 이행; LCH SA는 프랑스 법에 따른 지정 시스템이다.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완결 시점:</w:t>
      </w:r>
      <w:r>
        <w:rPr>
          <w:rFonts w:ascii="Malgun Gothic" w:hAnsi="Malgun Gothic" w:eastAsia="맑은 고딕"/>
        </w:rPr>
        <w:t xml:space="preserve"> LCH SA 규칙에 정의된 바에 따라 시스템에 입력된 시점에 완결; 참가자의 도산 절차로부터 보호.</w:t>
      </w:r>
    </w:p>
    <w:p>
      <w:pPr>
        <w:pStyle w:val="Heading3"/>
      </w:pPr>
      <w:r>
        <w:rPr>
          <w:rFonts w:ascii="Malgun Gothic" w:hAnsi="Malgun Gothic" w:eastAsia="맑은 고딕"/>
        </w:rPr>
        <w:t>4.4 CSD / 결제 인프라 (CSD / Settlement Infrastructure)</w:t>
      </w:r>
    </w:p>
    <w:p>
      <w:r>
        <w:rPr>
          <w:rFonts w:ascii="Malgun Gothic" w:hAnsi="Malgun Gothic" w:eastAsia="맑은 고딕"/>
          <w:b/>
        </w:rPr>
        <w:t>자금 결제: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LCH Ltd:</w:t>
      </w:r>
      <w:r>
        <w:rPr>
          <w:rFonts w:ascii="Malgun Gothic" w:hAnsi="Malgun Gothic" w:eastAsia="맑은 고딕"/>
        </w:rPr>
        <w:t xml:space="preserve"> 주로 PPS (Protected Payments System)를 통한 결제은행 경유 상업은행 화폐; 적용 가능한 경우 Bank of England 지준 (GBP 결제)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LCH SA:</w:t>
      </w:r>
      <w:r>
        <w:rPr>
          <w:rFonts w:ascii="Malgun Gothic" w:hAnsi="Malgun Gothic" w:eastAsia="맑은 고딕"/>
        </w:rPr>
        <w:t xml:space="preserve"> 유로화 결제는 Banque de France (TARGET 시스템)를 통한 중앙은행 화폐; 적용 가능한 경우 상업은행 화폐</w:t>
      </w:r>
    </w:p>
    <w:p>
      <w:r>
        <w:rPr>
          <w:rFonts w:ascii="Malgun Gothic" w:hAnsi="Malgun Gothic" w:eastAsia="맑은 고딕"/>
          <w:b/>
        </w:rPr>
        <w:t>증권 결제:</w:t>
      </w:r>
    </w:p>
    <w:p>
      <w:pPr>
        <w:pStyle w:val="ListBullet"/>
      </w:pPr>
      <w:r>
        <w:rPr>
          <w:rFonts w:ascii="Malgun Gothic" w:hAnsi="Malgun Gothic" w:eastAsia="맑은 고딕"/>
        </w:rPr>
        <w:t>시장 및 자산군에 따라 해당 CSD를 통해 결제</w:t>
      </w:r>
    </w:p>
    <w:p>
      <w:pPr>
        <w:pStyle w:val="Heading3"/>
      </w:pPr>
      <w:r>
        <w:rPr>
          <w:rFonts w:ascii="Malgun Gothic" w:hAnsi="Malgun Gothic" w:eastAsia="맑은 고딕"/>
        </w:rPr>
        <w:t>4.5 CSD 연계 (CSD Linkages)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법인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CSD 파트너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상품 / 시장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 Ltd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CREST (Euroclear UK &amp; International)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영국 주식, 길트(gilts)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 Ltd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SIX SIS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스위스 주식 (EquityClear 상호운용 경유)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 SA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Euroclear France / ESES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프랑스 국채, 레포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 SA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Euroclear Bank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다중시장 결제, 국제채권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 SA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Clearstream Banking Luxembourg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독일 국채, 유럽 국채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RepoClear Ltd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Euroclear, Clearstream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유럽 국채 결제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RepoClear SA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Euroclear France, Clearstream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유로존 국채 레포 결제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출처: </w:t>
      </w:r>
      <w:r>
        <w:rPr>
          <w:rFonts w:ascii="Malgun Gothic" w:hAnsi="Malgun Gothic" w:eastAsia="맑은 고딕"/>
          <w:color w:val="0563C1"/>
          <w:u w:val="single"/>
        </w:rPr>
        <w:t>Euroclear RepoClear Settlement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LeapRate on Clearstream</w:t>
      </w:r>
    </w:p>
    <w:p>
      <w:pPr>
        <w:pStyle w:val="Heading3"/>
      </w:pPr>
      <w:r>
        <w:rPr>
          <w:rFonts w:ascii="Malgun Gothic" w:hAnsi="Malgun Gothic" w:eastAsia="맑은 고딕"/>
        </w:rPr>
        <w:t>4.6 대차거래 (Securities Lending &amp; Borrowing)</w:t>
      </w:r>
    </w:p>
    <w:p>
      <w:pPr>
        <w:pStyle w:val="ListBullet"/>
      </w:pPr>
      <w:r>
        <w:rPr>
          <w:rFonts w:ascii="Malgun Gothic" w:hAnsi="Malgun Gothic" w:eastAsia="맑은 고딕"/>
        </w:rPr>
        <w:t>LCH는 대차거래 시설을 직접 운영하지 않는다.</w:t>
      </w:r>
    </w:p>
    <w:p>
      <w:pPr>
        <w:pStyle w:val="ListBullet"/>
      </w:pPr>
      <w:r>
        <w:rPr>
          <w:rFonts w:ascii="Malgun Gothic" w:hAnsi="Malgun Gothic" w:eastAsia="맑은 고딕"/>
        </w:rPr>
        <w:t>회원은 외부 대차 프로그램을 이용하여 증거금 의무를 위한 담보를 조달할 수 있다.</w:t>
      </w:r>
    </w:p>
    <w:p>
      <w:pPr>
        <w:pStyle w:val="ListBullet"/>
      </w:pPr>
      <w:r>
        <w:rPr>
          <w:rFonts w:ascii="Malgun Gothic" w:hAnsi="Malgun Gothic" w:eastAsia="맑은 고딕"/>
        </w:rPr>
        <w:t>LCH는 광범위한 비현금 담보(국채, 커버드본드 등)를 수용하여 회원의 담보 최적화를 지원한다.</w:t>
      </w:r>
    </w:p>
    <w:p>
      <w:pPr>
        <w:pStyle w:val="ListBullet"/>
      </w:pPr>
      <w:r>
        <w:rPr>
          <w:rFonts w:ascii="Malgun Gothic" w:hAnsi="Malgun Gothic" w:eastAsia="맑은 고딕"/>
        </w:rPr>
        <w:t>2024년에 HSBC와 BNP Paribas가 비현금 담보 수탁은행으로 추가되었으며, 적격 담보가 덴마크 커버드본드와 중국 국채(2025년 예정)로 확대되었다. (</w:t>
      </w:r>
      <w:r>
        <w:rPr>
          <w:rFonts w:ascii="Malgun Gothic" w:hAnsi="Malgun Gothic" w:eastAsia="맑은 고딕"/>
          <w:color w:val="0563C1"/>
          <w:u w:val="single"/>
        </w:rPr>
        <w:t>Risk.net</w:t>
      </w:r>
      <w:r>
        <w:rPr>
          <w:rFonts w:ascii="Malgun Gothic" w:hAnsi="Malgun Gothic" w:eastAsia="맑은 고딕"/>
        </w:rPr>
        <w:t>)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5. 기술 및 인프라 (Technology &amp; Infrastructure)</w:t>
      </w:r>
    </w:p>
    <w:p>
      <w:pPr>
        <w:pStyle w:val="Heading3"/>
      </w:pPr>
      <w:r>
        <w:rPr>
          <w:rFonts w:ascii="Malgun Gothic" w:hAnsi="Malgun Gothic" w:eastAsia="맑은 고딕"/>
        </w:rPr>
        <w:t>5.1 핵심 시스템 (Core Systems)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핵심 청산 플랫폼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Millennium Clearing &amp; Risk (MCCP)</w:t>
            </w:r>
            <w:r>
              <w:rPr>
                <w:rFonts w:ascii="Malgun Gothic" w:hAnsi="Malgun Gothic" w:eastAsia="맑은 고딕"/>
              </w:rPr>
              <w:t xml:space="preserve"> -- LSEG Technology가 개발; EquityClear에 구현 후 다른 서비스로 점진적 확대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FinTech Futures</w:t>
            </w:r>
            <w:r>
              <w:rPr>
                <w:rFonts w:ascii="Malgun Gothic" w:hAnsi="Malgun Gothic" w:eastAsia="맑은 고딕"/>
              </w:rPr>
              <w:t xml:space="preserve">;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Finance Magnates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아키텍처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무접촉 자동일괄처리(STP); 하드웨어 가속을 활용한 병렬 실시간 처리; 실시간 증거금 계산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처리 능력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높은 처리량, 저지연 설계; SwapClear는 약 10초 이내 채무인수 처리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STP 비율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표준 상품에 대해 거의 100% [미확인 -- LCH는 완전 STP를 목표로 함]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5.2 인터페이스 프로토콜 (Interface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프로토콜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용도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SWIFT (FIN / ISO 15022)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담보 관리, 결제 지시, 결제 메시징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ISO 20022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담보 관리 (LCH는 담보 부문 ISO 20022 초기 도입자)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SWIFT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FIX 프로토콜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거래소 상장 상품의 거래 제출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독자 API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OTC 거래 제출을 위한 직접 연결 (SwapClear, CDSClear, ForexClear)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SFTP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회원에 대한 리포트 전달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웹 포털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포지션, 증거금 보고서, 리스크 분석에 대한 회원 접근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MarkitWire / 미들웨어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OTC 파생상품 거래 확인 및 라우팅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5.3 증거금 계산기 및 도구 (Margin Calculators &amp; Tools)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LCH Rates 온라인 증거금 계산기:</w:t>
      </w:r>
      <w:r>
        <w:rPr>
          <w:rFonts w:ascii="Malgun Gothic" w:hAnsi="Malgun Gothic" w:eastAsia="맑은 고딕"/>
        </w:rPr>
        <w:t xml:space="preserve"> 회원 및 고객이 SwapClear 거래 청산 전 담보 요건을 사전 계산할 수 있다. (</w:t>
      </w:r>
      <w:r>
        <w:rPr>
          <w:rFonts w:ascii="Malgun Gothic" w:hAnsi="Malgun Gothic" w:eastAsia="맑은 고딕"/>
          <w:color w:val="0563C1"/>
          <w:u w:val="single"/>
        </w:rPr>
        <w:t>LCH Margin Calculator</w:t>
      </w:r>
      <w:r>
        <w:rPr>
          <w:rFonts w:ascii="Malgun Gothic" w:hAnsi="Malgun Gothic" w:eastAsia="맑은 고딕"/>
        </w:rPr>
        <w:t>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CDSClear 증거금 시뮬레이터:</w:t>
      </w:r>
      <w:r>
        <w:rPr>
          <w:rFonts w:ascii="Malgun Gothic" w:hAnsi="Malgun Gothic" w:eastAsia="맑은 고딕"/>
        </w:rPr>
        <w:t xml:space="preserve"> CDS 회원이 증거금 요건을 사전 계산할 수 있다.</w:t>
      </w:r>
    </w:p>
    <w:p>
      <w:pPr>
        <w:pStyle w:val="Heading3"/>
      </w:pPr>
      <w:r>
        <w:rPr>
          <w:rFonts w:ascii="Malgun Gothic" w:hAnsi="Malgun Gothic" w:eastAsia="맑은 고딕"/>
        </w:rPr>
        <w:t>5.4 복원력 및 재해복구 (Resilience &amp; Disaster Recovery)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DR 사이트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LCH Ltd 및 LCH SA 모두 지리적으로 분리된 재해복구 사이트 보유 [미확인 -- 시스템적으로 중요한 CCP의 표준]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RTO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핵심 시스템 2시간 목표 (PFMI 준수 CCP의 업계 표준) [미확인]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RPO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핵심 청산·결제 데이터에 대해 제로에 가까움 [미확인]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업무연속성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팬데믹, 사이버 사고, 물리적 장애 시나리오를 포함한 포괄적 BCP; 회원과의 정기 테스트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사이버 복원력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Bank of England CBEST (영국) 및 ECB/유로시스템 사이버 복원력 프레임워크의 적용 대상</w:t>
            </w:r>
          </w:p>
        </w:tc>
      </w:tr>
    </w:tbl>
    <w:p/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6. 규제 체계 (Regulatory Framework)</w:t>
      </w:r>
    </w:p>
    <w:p>
      <w:pPr>
        <w:pStyle w:val="Heading3"/>
      </w:pPr>
      <w:r>
        <w:rPr>
          <w:rFonts w:ascii="Malgun Gothic" w:hAnsi="Malgun Gothic" w:eastAsia="맑은 고딕"/>
        </w:rPr>
        <w:t>6.1 감독 당국 (Supervising Authorities)</w:t>
      </w:r>
    </w:p>
    <w:p>
      <w:pPr>
        <w:pStyle w:val="Heading3"/>
      </w:pPr>
      <w:r>
        <w:rPr>
          <w:rFonts w:ascii="Malgun Gothic" w:hAnsi="Malgun Gothic" w:eastAsia="맑은 고딕"/>
        </w:rPr>
        <w:t>LCH Ltd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감독기관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역할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Bank of England (잉글랜드은행)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영국 금융서비스시장법(Financial Services and Markets Act)에 따른 주요 감독기관 및 정리 당국; 시스템적으로 중요한 금융시장인프라로서 감독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미국 CFTC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SwapClear 및 ForexClear에 대해 DCO (Derivatives Clearing Organization)로 등록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ESMA (유럽증권시장감독청)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 EMIR Article 25에 따른 제3국 CCP (Tier 2)로 인정; 인정 기간 2028년 6월 30일까지 연장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FINMA (스위스)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스위스 시장 청산을 위한 인정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RBA (호주)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SwapClear에 대한 해외 CS 시설 면허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기타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홍콩(SFC), 싱가포르(MAS), 일본(JFSA), 캐나다(OSC, AMF Quebec)의 감독기관에 의해 인정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출처: </w:t>
      </w:r>
      <w:r>
        <w:rPr>
          <w:rFonts w:ascii="Malgun Gothic" w:hAnsi="Malgun Gothic" w:eastAsia="맑은 고딕"/>
          <w:color w:val="0563C1"/>
          <w:u w:val="single"/>
        </w:rPr>
        <w:t>LSEG Company Structure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ESMA Recognition Extension</w:t>
      </w:r>
    </w:p>
    <w:p>
      <w:pPr>
        <w:pStyle w:val="Heading3"/>
      </w:pPr>
      <w:r>
        <w:rPr>
          <w:rFonts w:ascii="Malgun Gothic" w:hAnsi="Malgun Gothic" w:eastAsia="맑은 고딕"/>
        </w:rPr>
        <w:t>LCH SA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감독기관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역할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ACPR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프랑스 통화금융법(Monetary and Financial Code)에 따라 신용기관으로서의 주요 감독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Banque de France (프랑스은행)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결제·결제 시스템 감독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AMF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증권시장 규제 감독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ECB (유럽중앙은행)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유로시스템 감독 프레임워크를 통한 간접 감독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ESMA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 EMIR (Regulation 648/2012)에 따라 인가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미국 CFTC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CDSClear에 대해 DCO로 등록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미국 SEC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CDSClear에 대해 청산기관으로 등록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감독 칼리지 (Regulatory College)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프랑스, 네덜란드, 벨기에, 포르투갈을 포함한 다국적 감독 칼리지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출처: </w:t>
      </w:r>
      <w:r>
        <w:rPr>
          <w:rFonts w:ascii="Malgun Gothic" w:hAnsi="Malgun Gothic" w:eastAsia="맑은 고딕"/>
          <w:color w:val="0563C1"/>
          <w:u w:val="single"/>
        </w:rPr>
        <w:t>LCH SA CPMI-IOSCO Self-Assessment 2024</w:t>
      </w:r>
    </w:p>
    <w:p>
      <w:pPr>
        <w:pStyle w:val="Heading3"/>
      </w:pPr>
      <w:r>
        <w:rPr>
          <w:rFonts w:ascii="Malgun Gothic" w:hAnsi="Malgun Gothic" w:eastAsia="맑은 고딕"/>
        </w:rPr>
        <w:t>6.2 주요 규제 (Key Regulations)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규제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적용 대상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UK EMIR</w:t>
            </w:r>
            <w:r>
              <w:rPr>
                <w:rFonts w:ascii="Malgun Gothic" w:hAnsi="Malgun Gothic" w:eastAsia="맑은 고딕"/>
              </w:rPr>
              <w:t xml:space="preserve"> (EU EMIR 국내화)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 Ltd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브렉시트 이후 영국의 CCP 규제 프레임워크; 인가, 지속적 준수, 보고 의무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 EMIR</w:t>
            </w:r>
            <w:r>
              <w:rPr>
                <w:rFonts w:ascii="Malgun Gothic" w:hAnsi="Malgun Gothic" w:eastAsia="맑은 고딕"/>
              </w:rPr>
              <w:t xml:space="preserve"> (Regulation 648/2012)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 SA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 CCP 인가, 청산 의무, 증거금 요건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 CCP 회복·정리 규정 (CCPRR)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 SA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회복 계획, 정리 수단, 손실배분 체계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영국 금융서비스시장법 (Financial Services &amp; Markets Act)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 Ltd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포괄적 규제 프레임워크; Bank of England 감독 권한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도드-프랭크법 (Dodd-Frank Act)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양쪽 (미국 등록)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CFTC DCO 등록 요건; SEC 청산기관 요건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영국 결제완결성 규정 1999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 Ltd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결제완결성 보호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 결제완결성 지침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 SA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결제완결성 보호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Basel III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양쪽 (간접)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CCP 익스포저에 대한 은행 자본 요건 (KCCP 계산)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6.3 PFMI 준수 (PFMI Compliance)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법인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최근 자체 평가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주요 결과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 Ltd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2024년 Q3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CPMI-IOSCO Qualitative Assessment</w:t>
            </w:r>
            <w:r>
              <w:rPr>
                <w:rFonts w:ascii="Malgun Gothic" w:hAnsi="Malgun Gothic" w:eastAsia="맑은 고딕"/>
              </w:rPr>
              <w:t>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적용 가능한 24개 PFMI 원칙을 모두 준수(observes) 또는 대체로 준수(broadly observes)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 SA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2025년 Q1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CPMI-IOSCO Self-Assessment</w:t>
            </w:r>
            <w:r>
              <w:rPr>
                <w:rFonts w:ascii="Malgun Gothic" w:hAnsi="Malgun Gothic" w:eastAsia="맑은 고딕"/>
              </w:rPr>
              <w:t>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적용 가능한 모든 PFMI 원칙을 준수 또는 대체로 준수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6.4 보고 요건 (Reporting Requirements)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요건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거래 보고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회원은 UK EMIR / EU EMIR에 따라 인가된 거래정보저장소(Trade Repository)에 파생상품 거래를 보고해야 한다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포지션 보고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LCH는 포지션 수준 데이터를 회원에게 제공; 감독기관은 포지션 및 리스크 데이터에 직접 접근 가능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CPMI-IOSCO PQD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분기별 발행;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LCH CCP Disclosures page</w:t>
            </w:r>
            <w:r>
              <w:rPr>
                <w:rFonts w:ascii="Malgun Gothic" w:hAnsi="Malgun Gothic" w:eastAsia="맑은 고딕"/>
              </w:rPr>
              <w:t>에서 열람 가능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PQD 문의 연락처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Reg.reporting@lch.com</w:t>
            </w:r>
          </w:p>
        </w:tc>
      </w:tr>
    </w:tbl>
    <w:p/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7. 상호운용성 (Interoperability)</w:t>
      </w:r>
    </w:p>
    <w:p>
      <w:pPr>
        <w:pStyle w:val="Heading3"/>
      </w:pPr>
      <w:r>
        <w:rPr>
          <w:rFonts w:ascii="Malgun Gothic" w:hAnsi="Malgun Gothic" w:eastAsia="맑은 고딕"/>
        </w:rPr>
        <w:t>7.1 CCP 상호운용성 약정 (LCH Ltd EquityClear)</w:t>
      </w:r>
    </w:p>
    <w:p>
      <w:r>
        <w:rPr>
          <w:rFonts w:ascii="Malgun Gothic" w:hAnsi="Malgun Gothic" w:eastAsia="맑은 고딕"/>
        </w:rPr>
        <w:t>LCH Ltd EquityClear는 유럽 주식 청산에 대한 상호운용성 약정에 참여하여, 시장 참가자가 선호하는 CCP를 선택할 수 있도록 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상대 CCP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상품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거래소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상태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SIX x-clear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현물 주식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SIX Swiss Exchange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운영 중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Cboe Clear Europe (구 EuroCCP)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현물 주식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Cboe Europe, 기타 MTF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운영 중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출처: </w:t>
      </w:r>
      <w:r>
        <w:rPr>
          <w:rFonts w:ascii="Malgun Gothic" w:hAnsi="Malgun Gothic" w:eastAsia="맑은 고딕"/>
          <w:color w:val="0563C1"/>
          <w:u w:val="single"/>
        </w:rPr>
        <w:t>LCH EquityClear Interoperability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Cboe European Equities Clearing</w:t>
      </w:r>
    </w:p>
    <w:p>
      <w:r>
        <w:rPr>
          <w:rFonts w:ascii="Malgun Gothic" w:hAnsi="Malgun Gothic" w:eastAsia="맑은 고딕"/>
          <w:b/>
        </w:rPr>
        <w:t>상호운용성 체계:</w:t>
      </w:r>
    </w:p>
    <w:p>
      <w:pPr>
        <w:pStyle w:val="ListBullet"/>
      </w:pPr>
      <w:r>
        <w:rPr>
          <w:rFonts w:ascii="Malgun Gothic" w:hAnsi="Malgun Gothic" w:eastAsia="맑은 고딕"/>
        </w:rPr>
        <w:t>각 상호운용 CCP는 상호운용 연계에서 발생하는 순익스포저를 충당하기 위해 상대 CCP에 증거금(inter-CCP margin)을 예치한다.</w:t>
      </w:r>
    </w:p>
    <w:p>
      <w:pPr>
        <w:pStyle w:val="ListBullet"/>
      </w:pPr>
      <w:r>
        <w:rPr>
          <w:rFonts w:ascii="Malgun Gothic" w:hAnsi="Malgun Gothic" w:eastAsia="맑은 고딕"/>
        </w:rPr>
        <w:t>EU/UK EMIR 및 CCP 상호운용성에 관한 ESRB/ESMA 지침의 구체적 리스크 관리 요건 적용.</w:t>
      </w:r>
    </w:p>
    <w:p>
      <w:pPr>
        <w:pStyle w:val="ListBullet"/>
      </w:pPr>
      <w:r>
        <w:rPr>
          <w:rFonts w:ascii="Malgun Gothic" w:hAnsi="Malgun Gothic" w:eastAsia="맑은 고딕"/>
        </w:rPr>
        <w:t>ESRB는 CCP 상호운용성에 관한 리스크 및 안전장치 분석을 발표하였다. (</w:t>
      </w:r>
      <w:r>
        <w:rPr>
          <w:rFonts w:ascii="Malgun Gothic" w:hAnsi="Malgun Gothic" w:eastAsia="맑은 고딕"/>
          <w:color w:val="0563C1"/>
          <w:u w:val="single"/>
        </w:rPr>
        <w:t>ESRB Report 2019</w:t>
      </w:r>
      <w:r>
        <w:rPr>
          <w:rFonts w:ascii="Malgun Gothic" w:hAnsi="Malgun Gothic" w:eastAsia="맑은 고딕"/>
        </w:rPr>
        <w:t>)</w:t>
      </w:r>
    </w:p>
    <w:p>
      <w:pPr>
        <w:pStyle w:val="Heading3"/>
      </w:pPr>
      <w:r>
        <w:rPr>
          <w:rFonts w:ascii="Malgun Gothic" w:hAnsi="Malgun Gothic" w:eastAsia="맑은 고딕"/>
        </w:rPr>
        <w:t>7.2 국제 약정 (Cross-border Arrangements)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약정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ESMA-BoE MoU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 EMIR에 따른 인정 제3국 CCP로서의 LCH Ltd(및 기타 영국 CCP)에 대한 협력 및 정보 교환을 위한 개정 양해각서(MoU)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ESMA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영국 CCP에 대한 EU 동등성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유럽위원회에 의해 2028년 6월 30일까지 연장; LCH Ltd는 Tier 2 (시스템적으로 중요한) 제3국 CCP로 분류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미국 CFTC 등록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LCH Ltd (SwapClear, ForexClear, Listed Rates) 및 LCH SA (CDSClear) 모두 DCO로 등록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다국적 인정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LCH Ltd: 스위스, 홍콩, 싱가포르, 일본, 캐나다, 호주에서 인정; LCH SA: 미국 및 캐나다에서 인정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7.3 브렉시트 이후 역학 (Post-Brexit Dynamics)</w:t>
      </w:r>
    </w:p>
    <w:p>
      <w:r>
        <w:rPr>
          <w:rFonts w:ascii="Malgun Gothic" w:hAnsi="Malgun Gothic" w:eastAsia="맑은 고딕"/>
        </w:rPr>
        <w:t>LCH에 있어 가장 중요한 상호운용성 및 국제 이슈는 브렉시트 이후의 규제 역학이다: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LCH Ltd (영국)</w:t>
      </w:r>
      <w:r>
        <w:rPr>
          <w:rFonts w:ascii="Malgun Gothic" w:hAnsi="Malgun Gothic" w:eastAsia="맑은 고딕"/>
        </w:rPr>
        <w:t>는 브렉시트(2020년 1월 31일 / 전환기간 종료 2020년 12월 31일) 이후 EU 인가 CCP 지위를 상실하였다. ESMA가 EU EMIR Article 25에 따른 제3국 CCP로 임시 인정을 부여하였다.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Tier 2 분류:</w:t>
      </w:r>
      <w:r>
        <w:rPr>
          <w:rFonts w:ascii="Malgun Gothic" w:hAnsi="Malgun Gothic" w:eastAsia="맑은 고딕"/>
        </w:rPr>
        <w:t xml:space="preserve"> ESMA가 LCH Ltd를 Tier 2 (시스템적으로 중요한) 제3국 CCP로 지정하여, 강화된 ESMA 감독 및 특정 유로화 청산 활동의 이전 요구 가능성에 노출되었다.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동등성 연장:</w:t>
      </w:r>
      <w:r>
        <w:rPr>
          <w:rFonts w:ascii="Malgun Gothic" w:hAnsi="Malgun Gothic" w:eastAsia="맑은 고딕"/>
        </w:rPr>
        <w:t xml:space="preserve"> EU는 영국 CCP에 대한 동등성 결정을 반복적으로 연장하였으며, 가장 최근에는 2028년 6월 30일까지 연장. 이는 인정 철회의 갑작스러운 시스템 리스크를 인정한 것이다.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EU 활성 계좌 요건 (Active Account Requirement):</w:t>
      </w:r>
      <w:r>
        <w:rPr>
          <w:rFonts w:ascii="Malgun Gothic" w:hAnsi="Malgun Gothic" w:eastAsia="맑은 고딕"/>
        </w:rPr>
        <w:t xml:space="preserve"> EMIR 3.0 (제안)에 따라 EU 청산회원은 시스템적으로 중요한 특정 상품(특히 유로화 표시 IRS)에 대해 EU 인가 CCP에 활성 계좌를 유지해야 할 수 있으며, 이는 LCH Ltd SwapClear에서 EU 기반 대안으로 일부 거래량이 이동할 가능성이 있다.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LCH SA 재포지셔닝:</w:t>
      </w:r>
      <w:r>
        <w:rPr>
          <w:rFonts w:ascii="Malgun Gothic" w:hAnsi="Malgun Gothic" w:eastAsia="맑은 고딕"/>
        </w:rPr>
        <w:t xml:space="preserve"> Euronext 청산 상실 이후, LCH SA는 CDSClear, RepoClear SA, 신규 DigitalAssetClear 서비스에 집중하며 EU 인가 CCP 지위를 유지하는 방향으로 전환하였다.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8. 수수료 (Fees)</w:t>
      </w:r>
    </w:p>
    <w:p>
      <w:pPr>
        <w:pStyle w:val="Heading3"/>
      </w:pPr>
      <w:r>
        <w:rPr>
          <w:rFonts w:ascii="Malgun Gothic" w:hAnsi="Malgun Gothic" w:eastAsia="맑은 고딕"/>
        </w:rPr>
        <w:t>8.1 서비스별 청산 수수료 (Clearing Fees by Service)</w:t>
      </w:r>
    </w:p>
    <w:p>
      <w:pPr>
        <w:pStyle w:val="Heading3"/>
      </w:pPr>
      <w:r>
        <w:rPr>
          <w:rFonts w:ascii="Malgun Gothic" w:hAnsi="Malgun Gothic" w:eastAsia="맑은 고딕"/>
        </w:rPr>
        <w:t>SwapClear (LCH Ltd)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수수료 유형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금액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자기청산 연회비 (LCH LLC - 미국)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연 250,000 USD (12개월 분할 징수)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고객 청산 수수료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단계별 거래 등록 모델 및 단계별 유지 수수료 (2024년 7월 도입, HTO 수수료 제도의 부적절한 이용 억제 목적)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압축 수수료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서비스에 포함; 기법에 따라 구체적 요율 상이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문의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RatesClientServices@lch.com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출처: </w:t>
      </w:r>
      <w:r>
        <w:rPr>
          <w:rFonts w:ascii="Malgun Gothic" w:hAnsi="Malgun Gothic" w:eastAsia="맑은 고딕"/>
          <w:color w:val="0563C1"/>
          <w:u w:val="single"/>
        </w:rPr>
        <w:t>LCH SwapClear Fees</w:t>
      </w:r>
    </w:p>
    <w:p>
      <w:pPr>
        <w:pStyle w:val="Heading3"/>
      </w:pPr>
      <w:r>
        <w:rPr>
          <w:rFonts w:ascii="Malgun Gothic" w:hAnsi="Malgun Gothic" w:eastAsia="맑은 고딕"/>
        </w:rPr>
        <w:t>CDSClear (LCH SA)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수수료 유형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금액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연간 회원 및 청산 고정 수수료 (딜러 지위)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연 EUR 400,000 (모든 자기청산 활동 포함)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일반회원 변동 요율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신규 회원 첫해 수수료 면제 가능 (2026년까지)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문의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CDSClearSales@lch.com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출처: </w:t>
      </w:r>
      <w:r>
        <w:rPr>
          <w:rFonts w:ascii="Malgun Gothic" w:hAnsi="Malgun Gothic" w:eastAsia="맑은 고딕"/>
          <w:color w:val="0563C1"/>
          <w:u w:val="single"/>
        </w:rPr>
        <w:t>LCH CDSClear Fees</w:t>
      </w:r>
    </w:p>
    <w:p>
      <w:pPr>
        <w:pStyle w:val="Heading3"/>
      </w:pPr>
      <w:r>
        <w:rPr>
          <w:rFonts w:ascii="Malgun Gothic" w:hAnsi="Malgun Gothic" w:eastAsia="맑은 고딕"/>
        </w:rPr>
        <w:t>RepoClear SA (LCH SA)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수수료 유형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금액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최소 월간 활동 수수료 (MAC)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회원당 EUR 8,500 (현재 추가 공지 시까지 면제)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신규 회원 온보딩 수수료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 20,000 (1회)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출처: </w:t>
      </w:r>
      <w:r>
        <w:rPr>
          <w:rFonts w:ascii="Malgun Gothic" w:hAnsi="Malgun Gothic" w:eastAsia="맑은 고딕"/>
          <w:color w:val="0563C1"/>
          <w:u w:val="single"/>
        </w:rPr>
        <w:t>LCH RepoClear SA Fees</w:t>
      </w:r>
    </w:p>
    <w:p>
      <w:pPr>
        <w:pStyle w:val="Heading3"/>
      </w:pPr>
      <w:r>
        <w:rPr>
          <w:rFonts w:ascii="Malgun Gothic" w:hAnsi="Malgun Gothic" w:eastAsia="맑은 고딕"/>
        </w:rPr>
        <w:t>EquityClear (LCH Ltd)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수수료 유형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금액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결제 수수료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2025년 1월 1일 시행 공개 수수료표 기준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출처: </w:t>
      </w:r>
      <w:r>
        <w:rPr>
          <w:rFonts w:ascii="Malgun Gothic" w:hAnsi="Malgun Gothic" w:eastAsia="맑은 고딕"/>
          <w:color w:val="0563C1"/>
          <w:u w:val="single"/>
        </w:rPr>
        <w:t>LCH EquityClear Settlement Fee Schedule</w:t>
      </w:r>
    </w:p>
    <w:p>
      <w:pPr>
        <w:pStyle w:val="Heading3"/>
      </w:pPr>
      <w:r>
        <w:rPr>
          <w:rFonts w:ascii="Malgun Gothic" w:hAnsi="Malgun Gothic" w:eastAsia="맑은 고딕"/>
        </w:rPr>
        <w:t>8.2 회원 및 계좌 구조 수수료 (LCH SA)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수수료 유형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금액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LCH Ltd 가입 신청 수수료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GBP 10,000 (영국은 VAT 별도)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LCH SA 신규 회원 코드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 1,000 (1회)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추가 회원 코드 (동일 법인)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 2,000 (1회)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청산 변경 (Clearer Change)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 2,000 (1회)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ISA/OSA 계좌 수수료 (CDSClear)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6개월당 EUR 3,500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ISA/OSA 계좌 수수료 (RepoClear)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6개월당 EUR 3,500 (ISA) / EUR 1,200 (OSA Net)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DigitalAssetClear 계좌 수수료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6개월당 EUR 3,500 (ISA) / EUR 1,200 (OSA Net)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연결(CMC)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등급 및 대역폭에 따라 월 EUR 593~3,061</w:t>
            </w:r>
          </w:p>
        </w:tc>
      </w:tr>
    </w:tbl>
    <w:p/>
    <w:p>
      <w:r>
        <w:rPr>
          <w:rFonts w:ascii="Malgun Gothic" w:hAnsi="Malgun Gothic" w:eastAsia="맑은 고딕"/>
        </w:rPr>
        <w:t xml:space="preserve">출처: </w:t>
      </w:r>
      <w:r>
        <w:rPr>
          <w:rFonts w:ascii="Malgun Gothic" w:hAnsi="Malgun Gothic" w:eastAsia="맑은 고딕"/>
          <w:color w:val="0563C1"/>
          <w:u w:val="single"/>
        </w:rPr>
        <w:t>LCH SA Fees</w:t>
      </w:r>
      <w:r>
        <w:rPr>
          <w:rFonts w:ascii="Malgun Gothic" w:hAnsi="Malgun Gothic" w:eastAsia="맑은 고딕"/>
        </w:rPr>
        <w:t xml:space="preserve"> (2025년 5월 7일 시행)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9. 최근 동향 (Recent Developments)</w:t>
      </w:r>
    </w:p>
    <w:p>
      <w:pPr>
        <w:pStyle w:val="Heading3"/>
      </w:pPr>
      <w:r>
        <w:rPr>
          <w:rFonts w:ascii="Malgun Gothic" w:hAnsi="Malgun Gothic" w:eastAsia="맑은 고딕"/>
        </w:rPr>
        <w:t>9.1 시스템 업그레이드 (최근 5년) (System Upgrades)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연도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개발 사항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2020년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LCH가 LSEG Technology의 Millennium Clearing &amp; Risk (MCCP) 플랫폼을 청산·결제 운영에 구현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FinTech Futures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2022년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MCCP 플랫폼을 EquityClear (Ltd)에 배포 -- 무접촉 STP, 하드웨어 가속 활용 실시간 병렬 처리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Finance Magnates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2024년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FMX SOFR 선물에 대한 Listed Rates 청산 신규 플랫폼 출시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2024년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담보 관리 분야 ISO 20022 도입 확대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진행 중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나머지 서비스의 MCCP 플랫폼 점진적 이전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9.2 신규 서비스 (New Services)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연도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서비스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2023년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ForexClear가 Quantile과 함께 스마트 청산 솔루션 출시, FX 장부의 선별적 청산 가능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2024년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Listed Rates:</w:t>
            </w:r>
            <w:r>
              <w:rPr>
                <w:rFonts w:ascii="Malgun Gothic" w:hAnsi="Malgun Gothic" w:eastAsia="맑은 고딕"/>
              </w:rPr>
              <w:t xml:space="preserve"> 상장 금리 파생상품 청산 개시, 최초 FMX SOFR 선물 (2024년 9월); 2025년에 미국 국채 선물 청산 추가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2024년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DigitalAssetClear (LCH SA):</w:t>
            </w:r>
            <w:r>
              <w:rPr>
                <w:rFonts w:ascii="Malgun Gothic" w:hAnsi="Malgun Gothic" w:eastAsia="맑은 고딕"/>
              </w:rPr>
              <w:t xml:space="preserve"> GFO-X 거래소와 파트너십으로 디지털 자산 파생상품에 대한 신규 분리형 CCP 청산 서비스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LSEG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2024년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포트폴리오 증거금 서비스:</w:t>
            </w:r>
            <w:r>
              <w:rPr>
                <w:rFonts w:ascii="Malgun Gothic" w:hAnsi="Malgun Gothic" w:eastAsia="맑은 고딕"/>
              </w:rPr>
              <w:t xml:space="preserve"> FMX 선물과 SwapClear IRS 포트폴리오 간 교차증거금; Marex가 최초로 고객 접근을 제공하는 청산사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Marex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적격 담보 확대: 덴마크 커버드본드; 중국 국채 (EUR 및 USD 표시)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 인플레이션 스왑 청산 신기록: 2025년 상반기 명목원금 2.9조 EUR (전년 대비 26%↑)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9.3 규제 변화 (Regulatory Changes)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연도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변경 사항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2022년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ESMA가 LCH Ltd를 </w:t>
            </w:r>
            <w:r>
              <w:rPr>
                <w:rFonts w:ascii="Malgun Gothic" w:hAnsi="Malgun Gothic" w:eastAsia="맑은 고딕"/>
                <w:b/>
              </w:rPr>
              <w:t>Tier 2 시스템적으로 중요한 제3국 CCP</w:t>
            </w:r>
            <w:r>
              <w:rPr>
                <w:rFonts w:ascii="Malgun Gothic" w:hAnsi="Malgun Gothic" w:eastAsia="맑은 고딕"/>
              </w:rPr>
              <w:t>로 분류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2022~2025년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영국 CCP에 대한 EU 동등성이 반복적으로 연장; 현재 </w:t>
            </w:r>
            <w:r>
              <w:rPr>
                <w:rFonts w:ascii="Malgun Gothic" w:hAnsi="Malgun Gothic" w:eastAsia="맑은 고딕"/>
                <w:b/>
              </w:rPr>
              <w:t>2028년 6월 30일</w:t>
            </w:r>
            <w:r>
              <w:rPr>
                <w:rFonts w:ascii="Malgun Gothic" w:hAnsi="Malgun Gothic" w:eastAsia="맑은 고딕"/>
              </w:rPr>
              <w:t>까지 연장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2024년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ESMA와 Bank of England이 영국 CCP 감독 협력에 관한 개정 MoU 체결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 EMIR 3.0 제안(활성 계좌 요건) 논의 중 -- LCH Ltd SwapClear의 유로화 청산 거래량에 잠재적 영향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LCH SA CPMI-IOSCO PFMI 자체 평가 발행 (2025년 Q1)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2026년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LCH SA가 AMF 외부위탁, EMIR SITG 요건, EU CCPRR 준수 관련 CDS 청산 규칙 변경을 제안 (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Federal Register</w:t>
            </w:r>
            <w:r>
              <w:rPr>
                <w:rFonts w:ascii="Malgun Gothic" w:hAnsi="Malgun Gothic" w:eastAsia="맑은 고딕"/>
              </w:rPr>
              <w:t>)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9.4 전략적 이니셔티브 (Strategic Initiatives)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이니셔티브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FMX 파트너십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BGC Group의 FMX와 전략적 파트너십을 통해 미국 국채 및 SOFR 선물에서 CME의 지배적 지위에 도전; LCH가 청산 및 SwapClear OTC 포지션과의 포트폴리오 증거금 제공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 CCP 전략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Euronext 이탈 이후 LCH SA 재포지셔닝: CDSClear 성장 (28개 회원, 고객 거래량 88% 증가) 및 DigitalAssetClear 출시에 집중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담보 확대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비전통적 자산을 포함한 적격 담보 범위 확대; HSBC와 BNP Paribas를 수탁은행으로 추가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고객 청산 성장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CDSClear: 1,753개 계좌에 걸친 217개 고객 법인; ForexClear: 92개 고객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압축 혁신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혼합금리 압축, 현금흐름 차감, 제3자 다자간 압축 파트너십 등 압축 도구에 대한 지속적 투자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SwapAgent 성장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회원 수 29개에서 36개로 증가; 2024년 등록 명목원금 21.4조 USD (13.4조 USD에서 증가)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9.5 브렉시트가 Ltd 대 SA 구조에 미친 영향 (Brexit Impact on Ltd vs SA Structure)</w:t>
      </w:r>
    </w:p>
    <w:p>
      <w:r>
        <w:rPr>
          <w:rFonts w:ascii="Malgun Gothic" w:hAnsi="Malgun Gothic" w:eastAsia="맑은 고딕"/>
        </w:rPr>
        <w:t>최근 LCH에 대한 가장 중대한 구조적 변화는 브렉시트 이후 LCH Ltd와 LCH SA의 분기이다:</w:t>
      </w:r>
    </w:p>
    <w:p>
      <w:r>
        <w:rPr>
          <w:rFonts w:ascii="Malgun Gothic" w:hAnsi="Malgun Gothic" w:eastAsia="맑은 고딕"/>
          <w:b/>
        </w:rPr>
        <w:t>LCH Ltd (영국):</w:t>
      </w:r>
    </w:p>
    <w:p>
      <w:pPr>
        <w:pStyle w:val="ListBullet"/>
      </w:pPr>
      <w:r>
        <w:rPr>
          <w:rFonts w:ascii="Malgun Gothic" w:hAnsi="Malgun Gothic" w:eastAsia="맑은 고딕"/>
        </w:rPr>
        <w:t>EU 인가 지위 상실에도 불구하고 OTC IRS 청산(SwapClear)에서의 지배적 위치 유지</w:t>
      </w:r>
    </w:p>
    <w:p>
      <w:pPr>
        <w:pStyle w:val="ListBullet"/>
      </w:pPr>
      <w:r>
        <w:rPr>
          <w:rFonts w:ascii="Malgun Gothic" w:hAnsi="Malgun Gothic" w:eastAsia="맑은 고딕"/>
        </w:rPr>
        <w:t>ESMA로부터 임시 동등성 및 Tier 2 인정 획득, 2028년까지 연장</w:t>
      </w:r>
    </w:p>
    <w:p>
      <w:pPr>
        <w:pStyle w:val="ListBullet"/>
      </w:pPr>
      <w:r>
        <w:rPr>
          <w:rFonts w:ascii="Malgun Gothic" w:hAnsi="Malgun Gothic" w:eastAsia="맑은 고딕"/>
        </w:rPr>
        <w:t>EU 당국으로부터 유로화 표시 청산을 EU로 이전하라는 지속적인 정치적 압력에 직면</w:t>
      </w:r>
    </w:p>
    <w:p>
      <w:pPr>
        <w:pStyle w:val="ListBullet"/>
      </w:pPr>
      <w:r>
        <w:rPr>
          <w:rFonts w:ascii="Malgun Gothic" w:hAnsi="Malgun Gothic" w:eastAsia="맑은 고딕"/>
        </w:rPr>
        <w:t>경쟁력 강화를 위해 신규 사업(Listed Rates/FMX) 출시하여 다각화</w:t>
      </w:r>
    </w:p>
    <w:p>
      <w:pPr>
        <w:pStyle w:val="ListBullet"/>
      </w:pPr>
      <w:r>
        <w:rPr>
          <w:rFonts w:ascii="Malgun Gothic" w:hAnsi="Malgun Gothic" w:eastAsia="맑은 고딕"/>
        </w:rPr>
        <w:t>지속적 성장: 2024년 상반기 SwapClear만으로 779조 USD 명목원금 청산</w:t>
      </w:r>
    </w:p>
    <w:p>
      <w:r>
        <w:rPr>
          <w:rFonts w:ascii="Malgun Gothic" w:hAnsi="Malgun Gothic" w:eastAsia="맑은 고딕"/>
          <w:b/>
        </w:rPr>
        <w:t>LCH SA (파리):</w:t>
      </w:r>
    </w:p>
    <w:p>
      <w:pPr>
        <w:pStyle w:val="ListBullet"/>
      </w:pPr>
      <w:r>
        <w:rPr>
          <w:rFonts w:ascii="Malgun Gothic" w:hAnsi="Malgun Gothic" w:eastAsia="맑은 고딕"/>
        </w:rPr>
        <w:t>2023~2024년 Euronext의 자체 CCP로의 이관으로 최대 수익원(Euronext EquityClear 및 CommodityClear) 상실</w:t>
      </w:r>
    </w:p>
    <w:p>
      <w:pPr>
        <w:pStyle w:val="ListBullet"/>
      </w:pPr>
      <w:r>
        <w:rPr>
          <w:rFonts w:ascii="Malgun Gothic" w:hAnsi="Malgun Gothic" w:eastAsia="맑은 고딕"/>
        </w:rPr>
        <w:t>LSEG가 Euronext의 잔여 지분 11.1%를 1.11억 EUR에 인수, 완전 소유 달성</w:t>
      </w:r>
    </w:p>
    <w:p>
      <w:pPr>
        <w:pStyle w:val="ListBullet"/>
      </w:pPr>
      <w:r>
        <w:rPr>
          <w:rFonts w:ascii="Malgun Gothic" w:hAnsi="Malgun Gothic" w:eastAsia="맑은 고딕"/>
        </w:rPr>
        <w:t>CDSClear (강력한 성장: 28개 회원, 고객 거래량 88% 증가) 및 DigitalAssetClear를 미래 성장 동력으로 삼아 방향 전환</w:t>
      </w:r>
    </w:p>
    <w:p>
      <w:pPr>
        <w:pStyle w:val="ListBullet"/>
      </w:pPr>
      <w:r>
        <w:rPr>
          <w:rFonts w:ascii="Malgun Gothic" w:hAnsi="Malgun Gothic" w:eastAsia="맑은 고딕"/>
        </w:rPr>
        <w:t>EU 인가 CCP 지위를 유지하여, EU 활성 계좌 요건이 현실화될 경우 유로화 청산 이전의 수용 기관으로 자리매김할 가능성</w:t>
      </w:r>
    </w:p>
    <w:p>
      <w:pPr>
        <w:pStyle w:val="ListBullet"/>
      </w:pPr>
      <w:r>
        <w:rPr>
          <w:rFonts w:ascii="Malgun Gothic" w:hAnsi="Malgun Gothic" w:eastAsia="맑은 고딕"/>
        </w:rPr>
        <w:t>RepoClear SA가 유로존 국채 레포 시장에 대한 서비스를 지속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출처 (Sources)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LCH Company Structure - LSEG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LCH (clearing house) - Wikipedia</w:t>
      </w:r>
      <w:r>
        <w:rPr>
          <w:rFonts w:ascii="Malgun Gothic" w:hAnsi="Malgun Gothic" w:eastAsia="맑은 고딕"/>
        </w:rPr>
        <w:t>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LCH History - LSEG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LCH Ltd Margin Methodology - LSEG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LCH SwapClear Risk Management - LSEG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LCH CDSClear Risk Management - LSEG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LCH Ltd Membership - LSEG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LCH SA Fees - LSEG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LCH SwapClear Fees - LSEG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LCH CDSClear Fees - LSEG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LCH RepoClear SA Fees - LSEG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RBA Assessment of LCH Limited SwapClear Service, December 2020, Appendix B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LCH Ltd Default Waterfall (October 2024)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LCH SA Default Waterfall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ESMA extends tiering and recognition of UK CCPs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ESMA-BoE Revised MoU on UK CCPs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LCH QCCP Status Document (Dec 2022)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LCH CCP Disclosures - LSEG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LCH Ltd CPMI-IOSCO Qualitative Assessment Q3 2024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LCH SA CPMI-IOSCO Self-Assessment Q1 2025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Clarus FT - What's New in CCP Disclosures Q4 2024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Clarus FT - 2024 CCP Volumes and Share in IRD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Clarus FT - Swap Default Funds at CME &amp; LCH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Risk.net - LCH SA default funds hit record highs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Risk.net - Clearing House of the Year: LCH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LCH Group Holdings Limited Financial Statements 2024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LCH Limited Financial Statements 2025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LSEG 2024 Preliminary Results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Euronext - Successful Expansion of Euronext Clearing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LCH Group acquires Euronext's stake in LCH SA - LSEG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LSEG Technology implements new clearing platform for EquityClear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LCH EquityClear Interoperability - LSEG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ESRB Report on CCP Interoperability Arrangements (Jan 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