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 w:eastAsia="맑은 고딕"/>
        </w:rPr>
        <w:t>Securities Clearing Center Company (Muqassa, 무까사)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**최종 업데이트:** 2026-04-07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**조사 등급:** Tier 3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**유형:** CCP (중앙청산소, Central Counterparty)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항목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정식 명칭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Securities Clearing Center Company (Muqassa)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약칭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Muqassa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웹사이트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color w:val="0563C1"/>
                <w:u w:val="single"/>
              </w:rPr>
              <w:t>https://www.muqassa.sa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설립연도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2018년 (법인 설립); 2020년 CCP 영업 개시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국가 / 도시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사우디아라비아 / 리야드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소유 구조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비공개 주식회사, Saudi Tadawul Group (사우디 타다울 그룹)의 완전자회사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모회사 / 그룹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Saudi Tadawul Group Holding Company (Saudi Exchange/Tadawul, Edaa/증권예탁센터, Wamid도 소유)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감독기관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사우디아라비아 자본시장위원회 (CMA, Capital Market Authority)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CPMI-IOSCO PFMI 준수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준수를 위해 노력 중; CMA 규정에 PFMI 원칙 반영 [unverified -- 공개된 PFMI 자체평가 미확인]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QCCP 지위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예</w:t>
            </w:r>
            <w:r>
              <w:rPr>
                <w:rFonts w:ascii="Malgun Gothic" w:hAnsi="Malgun Gothic" w:eastAsia="맑은 고딕"/>
              </w:rPr>
              <w:t xml:space="preserve"> -- CMA에 의해 적격중앙청산소(QCCP)로 지정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Source: [CMA News</w:t>
            </w:r>
            <w:r>
              <w:rPr>
                <w:rFonts w:ascii="Malgun Gothic" w:hAnsi="Malgun Gothic" w:eastAsia="맑은 고딕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자본금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6억 SAR (약 1억 6,000만 USD)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주요 연혁 (Key Historical Milestones)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연도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사건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2018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사우디 비전 2030(Vision 2030)의 금융부문개발프로그램(FSDP)의 일환으로, 자본금 6억 SAR의 비공개 주식회사로 </w:t>
            </w:r>
            <w:r>
              <w:rPr>
                <w:rFonts w:ascii="Malgun Gothic" w:hAnsi="Malgun Gothic" w:eastAsia="맑은 고딕"/>
                <w:b/>
              </w:rPr>
              <w:t>Muqassa 설립</w:t>
            </w:r>
            <w:r>
              <w:rPr>
                <w:rFonts w:ascii="Malgun Gothic" w:hAnsi="Malgun Gothic" w:eastAsia="맑은 고딕"/>
              </w:rPr>
              <w:t xml:space="preserve">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Source: [Tadawul 2018 Annual Report</w:t>
            </w:r>
            <w:r>
              <w:rPr>
                <w:rFonts w:ascii="Malgun Gothic" w:hAnsi="Malgun Gothic" w:eastAsia="맑은 고딕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2020 (3월)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CCP 영업 개시</w:t>
            </w:r>
            <w:r>
              <w:rPr>
                <w:rFonts w:ascii="Malgun Gothic" w:hAnsi="Malgun Gothic" w:eastAsia="맑은 고딕"/>
              </w:rPr>
              <w:t xml:space="preserve"> -- Saudi Exchange 주식시장(현물시장) 청산 서비스 시작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Source: [GlobalComplianceNews</w:t>
            </w:r>
            <w:r>
              <w:rPr>
                <w:rFonts w:ascii="Malgun Gothic" w:hAnsi="Malgun Gothic" w:eastAsia="맑은 고딕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2020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파생상품시장 청산 업무가 NASDAQ 기술에서 Muqassa로 이관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2020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T+2 결제주기, DVP 모델, 보관과 결제의 분리 도입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2022 (4월)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모든 거래소 상장 상품</w:t>
            </w:r>
            <w:r>
              <w:rPr>
                <w:rFonts w:ascii="Malgun Gothic" w:hAnsi="Malgun Gothic" w:eastAsia="맑은 고딕"/>
              </w:rPr>
              <w:t xml:space="preserve">(현물시장, 파생상품, OTC 상품인 레포)으로 청산 서비스 확대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Source: [Tadawul Group 2022 AR</w:t>
            </w:r>
            <w:r>
              <w:rPr>
                <w:rFonts w:ascii="Malgun Gothic" w:hAnsi="Malgun Gothic" w:eastAsia="맑은 고딕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2022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현금 수쿠크(sukuk) 및 샤리아(Sharia) 적합 담보를 활용한 레포 청산 개시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2022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정부 수쿠크 및 채권이 증거금 적격 담보로 승인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2023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CMA에 의해 </w:t>
            </w:r>
            <w:r>
              <w:rPr>
                <w:rFonts w:ascii="Malgun Gothic" w:hAnsi="Malgun Gothic" w:eastAsia="맑은 고딕"/>
                <w:b/>
              </w:rPr>
              <w:t>적격중앙청산소(QCCP)</w:t>
            </w:r>
            <w:r>
              <w:rPr>
                <w:rFonts w:ascii="Malgun Gothic" w:hAnsi="Malgun Gothic" w:eastAsia="맑은 고딕"/>
              </w:rPr>
              <w:t xml:space="preserve">로 지정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Source: [CMA</w:t>
            </w:r>
            <w:r>
              <w:rPr>
                <w:rFonts w:ascii="Malgun Gothic" w:hAnsi="Malgun Gothic" w:eastAsia="맑은 고딕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2024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청산회원 기반 지속 확대; SNB Capital이 청산회원으로 가입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Source: [Securities Finance Times</w:t>
            </w:r>
            <w:r>
              <w:rPr>
                <w:rFonts w:ascii="Malgun Gothic" w:hAnsi="Malgun Gothic" w:eastAsia="맑은 고딕"/>
              </w:rPr>
              <w:t>]</w:t>
            </w:r>
          </w:p>
        </w:tc>
      </w:tr>
    </w:tbl>
    <w:p/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**KRX/KSD 비교:** Muqassa는 비교적 신생 CCP(2020년 영업 개시)로, 2005년부터 청산자회사를 통해 CCP 역할을 수행해 온 KRX와 비교된다. KRX와 마찬가지로 Muqassa는 매매, 청산, 결제 기능을 분리하는 광범위한 거래소 그룹 구조조정의 일환으로 설립되었다. Saudi Tadawul Group의 구조(거래소 + Muqassa CCP + Edaa CSD + Wamid)는 한국 모델(KRX 거래소/CCP + KSD 예탁/결제)을 반영한다.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2. 청산 모델 (Clearing Model)</w:t>
      </w:r>
    </w:p>
    <w:p>
      <w:pPr>
        <w:pStyle w:val="Heading3"/>
      </w:pPr>
      <w:r>
        <w:rPr>
          <w:rFonts w:ascii="Malgun Gothic" w:hAnsi="Malgun Gothic" w:eastAsia="맑은 고딕"/>
        </w:rPr>
        <w:t>2.1 CCP 서비스 (CCP Services)</w:t>
      </w:r>
    </w:p>
    <w:p>
      <w:r>
        <w:rPr>
          <w:rFonts w:ascii="Malgun Gothic" w:hAnsi="Malgun Gothic" w:eastAsia="맑은 고딕"/>
        </w:rPr>
        <w:t xml:space="preserve">Muqassa는 Saudi Exchange에서 거래되는 모든 증권에 대해 CCP 청산을 제공한다 </w:t>
      </w:r>
      <w:r>
        <w:rPr>
          <w:rFonts w:ascii="Malgun Gothic" w:hAnsi="Malgun Gothic" w:eastAsia="맑은 고딕"/>
          <w:color w:val="0563C1"/>
          <w:u w:val="single"/>
        </w:rPr>
        <w:t>Source: [Muqassa Home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Tadawul Group 2022 AR</w:t>
      </w:r>
      <w:r>
        <w:rPr>
          <w:rFonts w:ascii="Malgun Gothic" w:hAnsi="Malgun Gothic" w:eastAsia="맑은 고딕"/>
        </w:rPr>
        <w:t>]: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상품군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청산 서비스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주식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CCP 청산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Saudi Exchange (TASI, Nomu) 상장 전 주식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ETF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CCP 청산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Saudi Exchange 상장 상장지수펀드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REIT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CCP 청산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부동산투자신탁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수쿠크 및 채권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CCP 청산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정부 및 기업 수쿠크/채권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파생상품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CCP 청산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개별주식선물, 지수선물(MT30), 지수옵션 [unverified -- 정확한 상품 목록]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레포 (OTC)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CCP 청산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2022년 4월 개시; 수쿠크를 샤리아 적합 담보로 활용</w:t>
            </w:r>
          </w:p>
        </w:tc>
      </w:tr>
    </w:tbl>
    <w:p/>
    <w:p>
      <w:pPr>
        <w:pStyle w:val="ListBullet"/>
      </w:pPr>
      <w:r>
        <w:rPr>
          <w:rFonts w:ascii="Malgun Gothic" w:hAnsi="Malgun Gothic" w:eastAsia="맑은 고딕"/>
        </w:rPr>
        <w:t xml:space="preserve">Muqassa는 거래소 거래 및 OTC 모두 </w:t>
      </w:r>
      <w:r>
        <w:rPr>
          <w:rFonts w:ascii="Malgun Gothic" w:hAnsi="Malgun Gothic" w:eastAsia="맑은 고딕"/>
          <w:b/>
        </w:rPr>
        <w:t>모든 자산군</w:t>
      </w:r>
      <w:r>
        <w:rPr>
          <w:rFonts w:ascii="Malgun Gothic" w:hAnsi="Malgun Gothic" w:eastAsia="맑은 고딕"/>
        </w:rPr>
        <w:t xml:space="preserve">을 보증할 수 있다 </w:t>
      </w:r>
      <w:r>
        <w:rPr>
          <w:rFonts w:ascii="Malgun Gothic" w:hAnsi="Malgun Gothic" w:eastAsia="맑은 고딕"/>
          <w:color w:val="0563C1"/>
          <w:u w:val="single"/>
        </w:rPr>
        <w:t>Source: [Tadawul Why CCP</w:t>
      </w:r>
      <w:r>
        <w:rPr>
          <w:rFonts w:ascii="Malgun Gothic" w:hAnsi="Malgun Gothic" w:eastAsia="맑은 고딕"/>
        </w:rPr>
        <w:t>]</w:t>
      </w:r>
    </w:p>
    <w:p>
      <w:r>
        <w:rPr>
          <w:rFonts w:ascii="Malgun Gothic" w:hAnsi="Malgun Gothic" w:eastAsia="맑은 고딕"/>
          <w:b/>
        </w:rPr>
        <w:t>채무인수 절차 (Novation Process):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Muqassa는 거래소 거래를 </w:t>
      </w:r>
      <w:r>
        <w:rPr>
          <w:rFonts w:ascii="Malgun Gothic" w:hAnsi="Malgun Gothic" w:eastAsia="맑은 고딕"/>
          <w:b/>
        </w:rPr>
        <w:t>공개청약(open offer)</w:t>
      </w:r>
      <w:r>
        <w:rPr>
          <w:rFonts w:ascii="Malgun Gothic" w:hAnsi="Malgun Gothic" w:eastAsia="맑은 고딕"/>
        </w:rPr>
        <w:t xml:space="preserve"> 방식으로 청산 -- 매매 체결 시점에 거래상대방 사이에 Muqassa가 개입 </w:t>
      </w:r>
      <w:r>
        <w:rPr>
          <w:rFonts w:ascii="Malgun Gothic" w:hAnsi="Malgun Gothic" w:eastAsia="맑은 고딕"/>
          <w:color w:val="0563C1"/>
          <w:u w:val="single"/>
        </w:rPr>
        <w:t>Source: [GlobalComplianceNews</w:t>
      </w:r>
      <w:r>
        <w:rPr>
          <w:rFonts w:ascii="Malgun Gothic" w:hAnsi="Malgun Gothic" w:eastAsia="맑은 고딕"/>
        </w:rPr>
        <w:t>]</w:t>
      </w:r>
    </w:p>
    <w:p>
      <w:pPr>
        <w:pStyle w:val="ListBullet"/>
      </w:pPr>
      <w:r>
        <w:rPr>
          <w:rFonts w:ascii="Malgun Gothic" w:hAnsi="Malgun Gothic" w:eastAsia="맑은 고딕"/>
        </w:rPr>
        <w:t>이는 전 세계 대부분의 거래소 연계 CCP가 사용하는 채무인수 모델과 유사</w:t>
      </w:r>
    </w:p>
    <w:p>
      <w:pPr>
        <w:pStyle w:val="Heading3"/>
      </w:pPr>
      <w:r>
        <w:rPr>
          <w:rFonts w:ascii="Malgun Gothic" w:hAnsi="Malgun Gothic" w:eastAsia="맑은 고딕"/>
        </w:rPr>
        <w:t>2.3 차감 (Netting)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Muqassa는 거래소 상장 상품에 대해 </w:t>
      </w:r>
      <w:r>
        <w:rPr>
          <w:rFonts w:ascii="Malgun Gothic" w:hAnsi="Malgun Gothic" w:eastAsia="맑은 고딕"/>
          <w:b/>
        </w:rPr>
        <w:t>다자간차감(multilateral netting)</w:t>
      </w:r>
      <w:r>
        <w:rPr>
          <w:rFonts w:ascii="Malgun Gothic" w:hAnsi="Malgun Gothic" w:eastAsia="맑은 고딕"/>
        </w:rPr>
        <w:t xml:space="preserve"> 수행</w:t>
      </w:r>
    </w:p>
    <w:p>
      <w:pPr>
        <w:pStyle w:val="ListBullet"/>
      </w:pPr>
      <w:r>
        <w:rPr>
          <w:rFonts w:ascii="Malgun Gothic" w:hAnsi="Malgun Gothic" w:eastAsia="맑은 고딕"/>
        </w:rPr>
        <w:t>차감을 통해 결제지시 건수 및 교환해야 할 증권/대금의 가치를 감소</w:t>
      </w:r>
    </w:p>
    <w:p>
      <w:pPr>
        <w:pStyle w:val="ListBullet"/>
      </w:pPr>
      <w:r>
        <w:rPr>
          <w:rFonts w:ascii="Malgun Gothic" w:hAnsi="Malgun Gothic" w:eastAsia="맑은 고딕"/>
        </w:rPr>
        <w:t>최종 순포지션은 Edaa(CSD)를 통한 결제를 위해 확정 [unverified -- 구체적 차감 방법론 비공개]</w:t>
      </w:r>
    </w:p>
    <w:p>
      <w:pPr>
        <w:pStyle w:val="Heading3"/>
      </w:pPr>
      <w:r>
        <w:rPr>
          <w:rFonts w:ascii="Malgun Gothic" w:hAnsi="Malgun Gothic" w:eastAsia="맑은 고딕"/>
        </w:rPr>
        <w:t>2.4 청산 회원 자격 (Clearing Membership)</w:t>
      </w:r>
    </w:p>
    <w:p>
      <w:r>
        <w:rPr>
          <w:rFonts w:ascii="Malgun Gothic" w:hAnsi="Malgun Gothic" w:eastAsia="맑은 고딕"/>
        </w:rPr>
        <w:t xml:space="preserve">Muqassa는 청산회원에게 특정 계좌 구조 유지를 요구한다 </w:t>
      </w:r>
      <w:r>
        <w:rPr>
          <w:rFonts w:ascii="Malgun Gothic" w:hAnsi="Malgun Gothic" w:eastAsia="맑은 고딕"/>
          <w:color w:val="0563C1"/>
          <w:u w:val="single"/>
        </w:rPr>
        <w:t>Source: [Al Tamimi &amp; Company</w:t>
      </w:r>
      <w:r>
        <w:rPr>
          <w:rFonts w:ascii="Malgun Gothic" w:hAnsi="Malgun Gothic" w:eastAsia="맑은 고딕"/>
        </w:rPr>
        <w:t>]: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계좌 유형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자기계좌 (House Account)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청산회원의 자기매매용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총괄고객계좌 (Omnibus Client Account)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청산회원 고객들의 혼장계좌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개별고객계좌 (Individual Client Account)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개별 고객별 분리보관계좌</w:t>
            </w:r>
          </w:p>
        </w:tc>
      </w:tr>
    </w:tbl>
    <w:p/>
    <w:p>
      <w:pPr>
        <w:pStyle w:val="ListBullet"/>
      </w:pPr>
      <w:r>
        <w:rPr>
          <w:rFonts w:ascii="Malgun Gothic" w:hAnsi="Malgun Gothic" w:eastAsia="맑은 고딕"/>
        </w:rPr>
        <w:t>청산회원에는 주요 사우디 금융기관 포함 (예: SNB Capital, 기타 인가 브로커-딜러)</w:t>
      </w:r>
    </w:p>
    <w:p>
      <w:pPr>
        <w:pStyle w:val="ListBullet"/>
      </w:pPr>
      <w:r>
        <w:rPr>
          <w:rFonts w:ascii="Malgun Gothic" w:hAnsi="Malgun Gothic" w:eastAsia="맑은 고딕"/>
        </w:rPr>
        <w:t>회원 자격에는 CMA 인가 및 Muqassa의 재무·운영 요건 충족 필요 [unverified -- 구체적 자본 기준 미확인]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**KRX/KSD 비교:** KRX도 자기포지션과 고객포지션 간의 청산회원 계좌 분리를 요구한다. 사우디의 개별고객계좌 모델은 총괄계좌 전용 모델보다 강력한 고객자산 보호를 제공하며, KRX도 준수하는 국제 모범사례에 부합한다.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3. 리스크 관리 (Risk Management)</w:t>
      </w:r>
    </w:p>
    <w:p>
      <w:pPr>
        <w:pStyle w:val="Heading3"/>
      </w:pPr>
      <w:r>
        <w:rPr>
          <w:rFonts w:ascii="Malgun Gothic" w:hAnsi="Malgun Gothic" w:eastAsia="맑은 고딕"/>
        </w:rPr>
        <w:t>3.1 증거금 체계 (Margin Framework)</w:t>
      </w:r>
    </w:p>
    <w:p>
      <w:r>
        <w:rPr>
          <w:rFonts w:ascii="Malgun Gothic" w:hAnsi="Malgun Gothic" w:eastAsia="맑은 고딕"/>
        </w:rPr>
        <w:t xml:space="preserve">Muqassa의 증거금 체계는 신용 기반이 아닌 리스크 기반이다 </w:t>
      </w:r>
      <w:r>
        <w:rPr>
          <w:rFonts w:ascii="Malgun Gothic" w:hAnsi="Malgun Gothic" w:eastAsia="맑은 고딕"/>
          <w:color w:val="0563C1"/>
          <w:u w:val="single"/>
        </w:rPr>
        <w:t>Source: [Muqassa Risk Management</w:t>
      </w:r>
      <w:r>
        <w:rPr>
          <w:rFonts w:ascii="Malgun Gothic" w:hAnsi="Malgun Gothic" w:eastAsia="맑은 고딕"/>
        </w:rPr>
        <w:t>]: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구성요소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개시증거금 (Initial Margin)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포트폴리오 리스크(시장리스크, 유동성 리스크)에 기반하여 청산회원으로부터 징수; 청산회원 신용리스크 기반이 아님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변동증거금 (Variation Margin)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Saudi Exchange가 산출한 일일정산가격 또는 최종정산가격을 사용하여 모든 미결제 포지션에 대해 일일 산출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청산회원 거래한도 (Clearing Member Trading Limit)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리스크 기반 거래활동 한도; 활용 비율 정기 검토</w:t>
            </w:r>
          </w:p>
        </w:tc>
      </w:tr>
    </w:tbl>
    <w:p/>
    <w:p>
      <w:r>
        <w:rPr>
          <w:rFonts w:ascii="Malgun Gothic" w:hAnsi="Malgun Gothic" w:eastAsia="맑은 고딕"/>
          <w:b/>
        </w:rPr>
        <w:t>적격 담보:</w:t>
      </w:r>
    </w:p>
    <w:p>
      <w:pPr>
        <w:pStyle w:val="ListBullet"/>
      </w:pPr>
      <w:r>
        <w:rPr>
          <w:rFonts w:ascii="Malgun Gothic" w:hAnsi="Malgun Gothic" w:eastAsia="맑은 고딕"/>
        </w:rPr>
        <w:t>SAR 현금 및 비SAR 통화</w:t>
      </w:r>
    </w:p>
    <w:p>
      <w:pPr>
        <w:pStyle w:val="ListBullet"/>
      </w:pPr>
      <w:r>
        <w:rPr>
          <w:rFonts w:ascii="Malgun Gothic" w:hAnsi="Malgun Gothic" w:eastAsia="맑은 고딕"/>
        </w:rPr>
        <w:t>SAR 표시 사우디아라비아 정부 수쿠크 및 채권 (샤리아 적합 담보)</w:t>
      </w:r>
    </w:p>
    <w:p>
      <w:pPr>
        <w:pStyle w:val="ListBullet"/>
      </w:pPr>
      <w:r>
        <w:rPr>
          <w:rFonts w:ascii="Malgun Gothic" w:hAnsi="Malgun Gothic" w:eastAsia="맑은 고딕"/>
        </w:rPr>
        <w:t>비현금 담보에는 시장리스크에 대한 헤어컷 적용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공동기금 출연:</w:t>
      </w:r>
      <w:r>
        <w:rPr>
          <w:rFonts w:ascii="Malgun Gothic" w:hAnsi="Malgun Gothic" w:eastAsia="맑은 고딕"/>
        </w:rPr>
        <w:t xml:space="preserve"> SAR 현금만 가능 </w:t>
      </w:r>
      <w:r>
        <w:rPr>
          <w:rFonts w:ascii="Malgun Gothic" w:hAnsi="Malgun Gothic" w:eastAsia="맑은 고딕"/>
          <w:color w:val="0563C1"/>
          <w:u w:val="single"/>
        </w:rPr>
        <w:t>Source: [Muqassa Risk Management</w:t>
      </w:r>
      <w:r>
        <w:rPr>
          <w:rFonts w:ascii="Malgun Gothic" w:hAnsi="Malgun Gothic" w:eastAsia="맑은 고딕"/>
        </w:rPr>
        <w:t>]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**샤리아 적합 특성:** 정부 수쿠크를 담보로 수용하는 것(통상적 채권 대신)은 사우디아라비아의 이슬람 금융 체계를 반영하는 독특한 특성이다. 이를 통해 시장참가자는 청산 과정 전반에 걸쳐 샤리아 적합성을 유지할 수 있다.</w:t>
      </w:r>
    </w:p>
    <w:p>
      <w:pPr>
        <w:pStyle w:val="Heading3"/>
      </w:pPr>
      <w:r>
        <w:rPr>
          <w:rFonts w:ascii="Malgun Gothic" w:hAnsi="Malgun Gothic" w:eastAsia="맑은 고딕"/>
        </w:rPr>
        <w:t>3.3 손실부담순서 (Default Waterfall)</w:t>
      </w:r>
    </w:p>
    <w:p>
      <w:r>
        <w:rPr>
          <w:rFonts w:ascii="Malgun Gothic" w:hAnsi="Malgun Gothic" w:eastAsia="맑은 고딕"/>
        </w:rPr>
        <w:t>Muqassa는 국제 CCP 기준에 부합하는 손실부담순서를 유지한다 [unverified -- 각 순위별 구체적 규모 비공개]: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순위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1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불이행 회원의 증거금</w:t>
            </w:r>
            <w:r>
              <w:rPr>
                <w:rFonts w:ascii="Malgun Gothic" w:hAnsi="Malgun Gothic" w:eastAsia="맑은 고딕"/>
              </w:rPr>
              <w:t xml:space="preserve"> (개시증거금 및 변동증거금)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불이행 회원의 공동기금(Default Fund) 출연분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3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Muqassa 자기자본</w:t>
            </w:r>
            <w:r>
              <w:rPr>
                <w:rFonts w:ascii="Malgun Gothic" w:hAnsi="Malgun Gothic" w:eastAsia="맑은 고딕"/>
              </w:rPr>
              <w:t xml:space="preserve"> (CCP 자기자본 출연분)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4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비불이행 회원의 공동기금 출연분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추가분담금 부과 권한</w:t>
            </w:r>
            <w:r>
              <w:rPr>
                <w:rFonts w:ascii="Malgun Gothic" w:hAnsi="Malgun Gothic" w:eastAsia="맑은 고딕"/>
              </w:rPr>
              <w:t xml:space="preserve"> [unverified]</w:t>
            </w:r>
          </w:p>
        </w:tc>
      </w:tr>
    </w:tbl>
    <w:p/>
    <w:p>
      <w:pPr>
        <w:pStyle w:val="ListBullet"/>
      </w:pPr>
      <w:r>
        <w:rPr>
          <w:rFonts w:ascii="Malgun Gothic" w:hAnsi="Malgun Gothic" w:eastAsia="맑은 고딕"/>
        </w:rPr>
        <w:t>공동기금 출연: SAR 현금만 가능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CMA의 증권중앙청산소규정이 불이행 관리 체계를 규정 </w:t>
      </w:r>
      <w:r>
        <w:rPr>
          <w:rFonts w:ascii="Malgun Gothic" w:hAnsi="Malgun Gothic" w:eastAsia="맑은 고딕"/>
          <w:color w:val="0563C1"/>
          <w:u w:val="single"/>
        </w:rPr>
        <w:t>Source: [Al Tamimi &amp; Company</w:t>
      </w:r>
      <w:r>
        <w:rPr>
          <w:rFonts w:ascii="Malgun Gothic" w:hAnsi="Malgun Gothic" w:eastAsia="맑은 고딕"/>
        </w:rPr>
        <w:t>]</w:t>
      </w:r>
    </w:p>
    <w:p>
      <w:pPr>
        <w:pStyle w:val="Heading3"/>
      </w:pPr>
      <w:r>
        <w:rPr>
          <w:rFonts w:ascii="Malgun Gothic" w:hAnsi="Malgun Gothic" w:eastAsia="맑은 고딕"/>
        </w:rPr>
        <w:t>3.6 회복 및 정리 (Recovery &amp; Resolution)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정리당국:</w:t>
      </w:r>
      <w:r>
        <w:rPr>
          <w:rFonts w:ascii="Malgun Gothic" w:hAnsi="Malgun Gothic" w:eastAsia="맑은 고딕"/>
        </w:rPr>
        <w:t xml:space="preserve"> 사우디아라비아 자본시장위원회 (CMA)</w:t>
      </w:r>
    </w:p>
    <w:p>
      <w:pPr>
        <w:pStyle w:val="ListBullet"/>
      </w:pPr>
      <w:r>
        <w:rPr>
          <w:rFonts w:ascii="Malgun Gothic" w:hAnsi="Malgun Gothic" w:eastAsia="맑은 고딕"/>
        </w:rPr>
        <w:t>CMA의 증권중앙청산소규정이 회복 및 정리 조항을 포함하여 CCP 감독의 법적 체계 제공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Muqassa의 QCCP 지정은 리스크 관리 및 운영에 관한 CMA 규제 기준 충족을 확인 </w:t>
      </w:r>
      <w:r>
        <w:rPr>
          <w:rFonts w:ascii="Malgun Gothic" w:hAnsi="Malgun Gothic" w:eastAsia="맑은 고딕"/>
          <w:color w:val="0563C1"/>
          <w:u w:val="single"/>
        </w:rPr>
        <w:t>Source: [CMA</w:t>
      </w:r>
      <w:r>
        <w:rPr>
          <w:rFonts w:ascii="Malgun Gothic" w:hAnsi="Malgun Gothic" w:eastAsia="맑은 고딕"/>
        </w:rPr>
        <w:t>]</w:t>
      </w:r>
    </w:p>
    <w:p>
      <w:pPr>
        <w:pStyle w:val="ListBullet"/>
      </w:pPr>
      <w:r>
        <w:rPr>
          <w:rFonts w:ascii="Malgun Gothic" w:hAnsi="Malgun Gothic" w:eastAsia="맑은 고딕"/>
        </w:rPr>
        <w:t>구체적 회복 수단(예: VMGH, 포지션 해소, 추가분담금 부과)은 Muqassa 규칙 및 CMA 규정에 의해 규율 [unverified -- 상세 회복계획 비공개]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4. 결제 (Settlement)</w:t>
      </w:r>
    </w:p>
    <w:p>
      <w:pPr>
        <w:pStyle w:val="Heading3"/>
      </w:pPr>
      <w:r>
        <w:rPr>
          <w:rFonts w:ascii="Malgun Gothic" w:hAnsi="Malgun Gothic" w:eastAsia="맑은 고딕"/>
        </w:rPr>
        <w:t>4.1 결제주기 (Settlement Cycle)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상품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결제주기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주식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T+2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Saudi Exchange 현물시장 표준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ETF / REIT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T+2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주식과 동일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수쿠크 및 채권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T+2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[unverified -- 상품별 상이 가능]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파생상품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일일 시가평가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변동증거금 일일 결제; 최종결제는 계약별 상이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레포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다양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2022년 4월부터 OTC 레포 청산</w:t>
            </w:r>
          </w:p>
        </w:tc>
      </w:tr>
    </w:tbl>
    <w:p/>
    <w:p>
      <w:pPr>
        <w:pStyle w:val="ListBullet"/>
      </w:pPr>
      <w:r>
        <w:rPr>
          <w:rFonts w:ascii="Malgun Gothic" w:hAnsi="Malgun Gothic" w:eastAsia="맑은 고딕"/>
        </w:rPr>
        <w:t xml:space="preserve">T+2 결제주기는 2020년 Muqassa 영업 개시와 함께 거래후처리 인프라 전면 개편의 일환으로 도입 </w:t>
      </w:r>
      <w:r>
        <w:rPr>
          <w:rFonts w:ascii="Malgun Gothic" w:hAnsi="Malgun Gothic" w:eastAsia="맑은 고딕"/>
          <w:color w:val="0563C1"/>
          <w:u w:val="single"/>
        </w:rPr>
        <w:t>Source: [Tadawul 200 Listed Securities</w:t>
      </w:r>
      <w:r>
        <w:rPr>
          <w:rFonts w:ascii="Malgun Gothic" w:hAnsi="Malgun Gothic" w:eastAsia="맑은 고딕"/>
        </w:rPr>
        <w:t>]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**KRX/KSD 비교:** Saudi Exchange와 KRX 모두 주식에 T+2를 적용한다. 양측 모두 미국 및 캐나다(2024년 5월)와 달리 아직 T+1로 전환하지 않았다. 향후 사우디의 T+1 전환에는 Muqassa, Edaa, 시장참가자 간의 공조가 필요하다.</w:t>
      </w:r>
    </w:p>
    <w:p>
      <w:pPr>
        <w:pStyle w:val="Heading3"/>
      </w:pPr>
      <w:r>
        <w:rPr>
          <w:rFonts w:ascii="Malgun Gothic" w:hAnsi="Malgun Gothic" w:eastAsia="맑은 고딕"/>
        </w:rPr>
        <w:t>4.2 DVP 모델 (DVP Model)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Saudi Exchange는 2020년 Muqassa CCP 개시와 함께 </w:t>
      </w:r>
      <w:r>
        <w:rPr>
          <w:rFonts w:ascii="Malgun Gothic" w:hAnsi="Malgun Gothic" w:eastAsia="맑은 고딕"/>
          <w:b/>
        </w:rPr>
        <w:t>증권과대금의 동시결제(DVP)</w:t>
      </w:r>
      <w:r>
        <w:rPr>
          <w:rFonts w:ascii="Malgun Gothic" w:hAnsi="Malgun Gothic" w:eastAsia="맑은 고딕"/>
        </w:rPr>
        <w:t xml:space="preserve"> 모델을 시행 </w:t>
      </w:r>
      <w:r>
        <w:rPr>
          <w:rFonts w:ascii="Malgun Gothic" w:hAnsi="Malgun Gothic" w:eastAsia="맑은 고딕"/>
          <w:color w:val="0563C1"/>
          <w:u w:val="single"/>
        </w:rPr>
        <w:t>Source: [Tadawul 200 Listed Securities</w:t>
      </w:r>
      <w:r>
        <w:rPr>
          <w:rFonts w:ascii="Malgun Gothic" w:hAnsi="Malgun Gothic" w:eastAsia="맑은 고딕"/>
        </w:rPr>
        <w:t>]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증권결제는 Saudi Tadawul Group 내 CSD인 </w:t>
      </w:r>
      <w:r>
        <w:rPr>
          <w:rFonts w:ascii="Malgun Gothic" w:hAnsi="Malgun Gothic" w:eastAsia="맑은 고딕"/>
          <w:b/>
        </w:rPr>
        <w:t>Edaa</w:t>
      </w:r>
      <w:r>
        <w:rPr>
          <w:rFonts w:ascii="Malgun Gothic" w:hAnsi="Malgun Gothic" w:eastAsia="맑은 고딕"/>
        </w:rPr>
        <w:t xml:space="preserve"> (증권예탁센터)가 처리</w:t>
      </w:r>
    </w:p>
    <w:p>
      <w:pPr>
        <w:pStyle w:val="ListBullet"/>
      </w:pPr>
      <w:r>
        <w:rPr>
          <w:rFonts w:ascii="Malgun Gothic" w:hAnsi="Malgun Gothic" w:eastAsia="맑은 고딕"/>
        </w:rPr>
        <w:t>대금결제는 사우디중앙은행(SAMA) 결제시스템을 통해 지원 [unverified -- 구체적 DVP 모델 유형(BIS Model 1/2/3) 미확인]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5. 기술 및 인프라 (Technology &amp; Infrastructure)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항목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청산 시스템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자체 청산 플랫폼 (2020년 NASDAQ 운영 시스템을 대체)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CSD 파트너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Edaa (증권예탁센터) -- 증권 보관 및 결제 처리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거래소 통합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Saudi Exchange (Tadawul) 매매 플랫폼과 직접 통합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파생상품 플랫폼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원래 NASDAQ이 운영; 2020년 Muqassa로 이관</w:t>
            </w:r>
          </w:p>
        </w:tc>
      </w:tr>
    </w:tbl>
    <w:p/>
    <w:p>
      <w:pPr>
        <w:pStyle w:val="ListBullet"/>
      </w:pPr>
      <w:r>
        <w:rPr>
          <w:rFonts w:ascii="Malgun Gothic" w:hAnsi="Malgun Gothic" w:eastAsia="맑은 고딕"/>
        </w:rPr>
        <w:t>Muqassa는 Saudi Tadawul Group 내 완전통합 거래후처리 생태계의 일부: 매매체결(Saudi Exchange) -&gt; 청산(Muqassa) -&gt; 결제 및 보관(Edaa)</w:t>
      </w:r>
    </w:p>
    <w:p>
      <w:pPr>
        <w:pStyle w:val="ListBullet"/>
      </w:pPr>
      <w:r>
        <w:rPr>
          <w:rFonts w:ascii="Malgun Gothic" w:hAnsi="Malgun Gothic" w:eastAsia="맑은 고딕"/>
        </w:rPr>
        <w:t>사우디 비전 2030 금융부문 개발의 일환으로 기술 현대화 진행 중 [unverified]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6. 규제 체계 (Regulatory Framework)</w:t>
      </w:r>
    </w:p>
    <w:p>
      <w:pPr>
        <w:pStyle w:val="Heading3"/>
      </w:pPr>
      <w:r>
        <w:rPr>
          <w:rFonts w:ascii="Malgun Gothic" w:hAnsi="Malgun Gothic" w:eastAsia="맑은 고딕"/>
        </w:rPr>
        <w:t>6.1 감독기관 (Supervising Authority)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규제기관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역할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자본시장위원회 (CMA)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주요 규제기관 -- Muqassa 인가 및 감독; QCCP 지정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사우디중앙은행 (SAMA)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지급 및 결제시스템 감독 [unverified -- Muqassa 감독에서 SAMA 역할의 범위]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6.2 주요 규정 (Key Regulations)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증권중앙청산소규정 (CMA):</w:t>
      </w:r>
      <w:r>
        <w:rPr>
          <w:rFonts w:ascii="Malgun Gothic" w:hAnsi="Malgun Gothic" w:eastAsia="맑은 고딕"/>
        </w:rPr>
        <w:t xml:space="preserve"> CCP 인가, 운영, 리스크 관리, 증거금 요건, 불이행 관리, 회원 의무를 규율 </w:t>
      </w:r>
      <w:r>
        <w:rPr>
          <w:rFonts w:ascii="Malgun Gothic" w:hAnsi="Malgun Gothic" w:eastAsia="맑은 고딕"/>
          <w:color w:val="0563C1"/>
          <w:u w:val="single"/>
        </w:rPr>
        <w:t>Source: [Al Tamimi &amp; Company</w:t>
      </w:r>
      <w:r>
        <w:rPr>
          <w:rFonts w:ascii="Malgun Gothic" w:hAnsi="Malgun Gothic" w:eastAsia="맑은 고딕"/>
        </w:rPr>
        <w:t>]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자본시장법:</w:t>
      </w:r>
      <w:r>
        <w:rPr>
          <w:rFonts w:ascii="Malgun Gothic" w:hAnsi="Malgun Gothic" w:eastAsia="맑은 고딕"/>
        </w:rPr>
        <w:t xml:space="preserve"> 사우디아라비아의 포괄적 증권 법규</w:t>
      </w:r>
    </w:p>
    <w:p>
      <w:pPr>
        <w:pStyle w:val="ListBullet"/>
      </w:pPr>
      <w:r>
        <w:rPr>
          <w:rFonts w:ascii="Malgun Gothic" w:hAnsi="Malgun Gothic" w:eastAsia="맑은 고딕"/>
        </w:rPr>
        <w:t>CMA 규정은 CCP가 청산 상품의 리스크 및 특성에 비례하는 모델 및 파라미터를 포함한 증거금 요건을 명시하도록 요구</w:t>
      </w:r>
    </w:p>
    <w:p>
      <w:pPr>
        <w:pStyle w:val="Heading3"/>
      </w:pPr>
      <w:r>
        <w:rPr>
          <w:rFonts w:ascii="Malgun Gothic" w:hAnsi="Malgun Gothic" w:eastAsia="맑은 고딕"/>
        </w:rPr>
        <w:t>6.3 PFMI 준수 (PFMI Compliance)</w:t>
      </w:r>
    </w:p>
    <w:p>
      <w:pPr>
        <w:pStyle w:val="ListBullet"/>
      </w:pPr>
      <w:r>
        <w:rPr>
          <w:rFonts w:ascii="Malgun Gothic" w:hAnsi="Malgun Gothic" w:eastAsia="맑은 고딕"/>
        </w:rPr>
        <w:t>Muqassa의 QCCP 지정은 국제 기준과의 정렬을 나타냄</w:t>
      </w:r>
    </w:p>
    <w:p>
      <w:pPr>
        <w:pStyle w:val="ListBullet"/>
      </w:pPr>
      <w:r>
        <w:rPr>
          <w:rFonts w:ascii="Malgun Gothic" w:hAnsi="Malgun Gothic" w:eastAsia="맑은 고딕"/>
        </w:rPr>
        <w:t>CMA 규정에 CPMI-IOSCO PFMI와 일관된 원칙 반영</w:t>
      </w:r>
    </w:p>
    <w:p>
      <w:pPr>
        <w:pStyle w:val="ListBullet"/>
      </w:pPr>
      <w:r>
        <w:rPr>
          <w:rFonts w:ascii="Malgun Gothic" w:hAnsi="Malgun Gothic" w:eastAsia="맑은 고딕"/>
        </w:rPr>
        <w:t>공개된 PFMI 자체평가 또는 CPMI-IOSCO PQD 공시 미확인 [unverified -- Muqassa가 CMA 또는 기타 채널을 통해 발행할 수 있음]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7. 상호운용성 (Interoperability)</w:t>
      </w:r>
    </w:p>
    <w:p>
      <w:pPr>
        <w:pStyle w:val="Heading3"/>
      </w:pPr>
      <w:r>
        <w:rPr>
          <w:rFonts w:ascii="Malgun Gothic" w:hAnsi="Malgun Gothic" w:eastAsia="맑은 고딕"/>
        </w:rPr>
        <w:t>7.1 크로스보더 체계 (Cross-border Arrangements)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Muqassa는 현재 Saudi Exchange 거래 상품을 청산하는 </w:t>
      </w:r>
      <w:r>
        <w:rPr>
          <w:rFonts w:ascii="Malgun Gothic" w:hAnsi="Malgun Gothic" w:eastAsia="맑은 고딕"/>
          <w:b/>
        </w:rPr>
        <w:t>국내 전용 CCP</w:t>
      </w:r>
      <w:r>
        <w:rPr>
          <w:rFonts w:ascii="Malgun Gothic" w:hAnsi="Malgun Gothic" w:eastAsia="맑은 고딕"/>
        </w:rPr>
        <w:t>로 운영</w:t>
      </w:r>
    </w:p>
    <w:p>
      <w:pPr>
        <w:pStyle w:val="ListBullet"/>
      </w:pPr>
      <w:r>
        <w:rPr>
          <w:rFonts w:ascii="Malgun Gothic" w:hAnsi="Malgun Gothic" w:eastAsia="맑은 고딕"/>
        </w:rPr>
        <w:t>해외 CCP와의 알려진 CCP 상호운용 체계 없음 [unverified]</w:t>
      </w:r>
    </w:p>
    <w:p>
      <w:pPr>
        <w:pStyle w:val="ListBullet"/>
      </w:pPr>
      <w:r>
        <w:rPr>
          <w:rFonts w:ascii="Malgun Gothic" w:hAnsi="Malgun Gothic" w:eastAsia="맑은 고딕"/>
        </w:rPr>
        <w:t>사우디 시장에 대한 크로스보더 접근은 CCP 차원의 상호운용이 아닌, 적격외국인투자자(QFI) 체계 및 Saudi Exchange의 스왑 계약을 통해 지원</w:t>
      </w:r>
    </w:p>
    <w:p>
      <w:pPr>
        <w:pStyle w:val="Heading3"/>
      </w:pPr>
      <w:r>
        <w:rPr>
          <w:rFonts w:ascii="Malgun Gothic" w:hAnsi="Malgun Gothic" w:eastAsia="맑은 고딕"/>
        </w:rPr>
        <w:t>7.2 Edaa (CSD)와의 관계 (Relationship with Edaa)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Edaa</w:t>
      </w:r>
      <w:r>
        <w:rPr>
          <w:rFonts w:ascii="Malgun Gothic" w:hAnsi="Malgun Gothic" w:eastAsia="맑은 고딕"/>
        </w:rPr>
        <w:t xml:space="preserve"> (증권예탁센터)는 Muqassa가 청산하는 모든 증권의 CSD 역할 수행</w:t>
      </w:r>
    </w:p>
    <w:p>
      <w:pPr>
        <w:pStyle w:val="ListBullet"/>
      </w:pPr>
      <w:r>
        <w:rPr>
          <w:rFonts w:ascii="Malgun Gothic" w:hAnsi="Malgun Gothic" w:eastAsia="맑은 고딕"/>
        </w:rPr>
        <w:t>Edaa는 증권 보관, 소유권 등록, 결제, 기업 이벤트(corporate actions) 처리</w:t>
      </w:r>
    </w:p>
    <w:p>
      <w:pPr>
        <w:pStyle w:val="ListBullet"/>
      </w:pPr>
      <w:r>
        <w:rPr>
          <w:rFonts w:ascii="Malgun Gothic" w:hAnsi="Malgun Gothic" w:eastAsia="맑은 고딕"/>
        </w:rPr>
        <w:t>Muqassa(CCP)와 Edaa(CSD)가 함께 사우디 자본시장의 완전한 거래후처리 인프라를 구성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**KRX/KSD 비교:** Muqassa-Edaa 관계는 한국의 KRX-KSD 관계와 긴밀히 유사하다. 양측 모두 동일 거래소 그룹 내 별도 법인으로 조직되어, CCP 청산과 CSD 결제/보관 간의 명확한 기능 분리가 이루어져 있다.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9. 최근 동향 (Recent Developments)</w:t>
      </w:r>
    </w:p>
    <w:p>
      <w:pPr>
        <w:pStyle w:val="Heading3"/>
      </w:pPr>
      <w:r>
        <w:rPr>
          <w:rFonts w:ascii="Malgun Gothic" w:hAnsi="Malgun Gothic" w:eastAsia="맑은 고딕"/>
        </w:rPr>
        <w:t>QCCP 지정 (2023)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CMA가 Muqassa를 적격중앙청산소로 지정, 리스크 관리 및 운영의 국제 기준 충족 확인 </w:t>
      </w:r>
      <w:r>
        <w:rPr>
          <w:rFonts w:ascii="Malgun Gothic" w:hAnsi="Malgun Gothic" w:eastAsia="맑은 고딕"/>
          <w:color w:val="0563C1"/>
          <w:u w:val="single"/>
        </w:rPr>
        <w:t>Source: [CMA</w:t>
      </w:r>
      <w:r>
        <w:rPr>
          <w:rFonts w:ascii="Malgun Gothic" w:hAnsi="Malgun Gothic" w:eastAsia="맑은 고딕"/>
        </w:rPr>
        <w:t>]</w:t>
      </w:r>
    </w:p>
    <w:p>
      <w:pPr>
        <w:pStyle w:val="Heading3"/>
      </w:pPr>
      <w:r>
        <w:rPr>
          <w:rFonts w:ascii="Malgun Gothic" w:hAnsi="Malgun Gothic" w:eastAsia="맑은 고딕"/>
        </w:rPr>
        <w:t>청산 서비스 확대 (2022-2024)</w:t>
      </w:r>
    </w:p>
    <w:p>
      <w:pPr>
        <w:pStyle w:val="ListBullet"/>
      </w:pPr>
      <w:r>
        <w:rPr>
          <w:rFonts w:ascii="Malgun Gothic" w:hAnsi="Malgun Gothic" w:eastAsia="맑은 고딕"/>
        </w:rPr>
        <w:t>2022년 4월: 모든 거래소 상장 상품 및 OTC 레포로 청산 서비스 확대</w:t>
      </w:r>
    </w:p>
    <w:p>
      <w:pPr>
        <w:pStyle w:val="ListBullet"/>
      </w:pPr>
      <w:r>
        <w:rPr>
          <w:rFonts w:ascii="Malgun Gothic" w:hAnsi="Malgun Gothic" w:eastAsia="맑은 고딕"/>
        </w:rPr>
        <w:t>정부 수쿠크 및 채권의 적격 담보 도입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DVP 모델을 통한 커버드 공매도 지원 </w:t>
      </w:r>
      <w:r>
        <w:rPr>
          <w:rFonts w:ascii="Malgun Gothic" w:hAnsi="Malgun Gothic" w:eastAsia="맑은 고딕"/>
          <w:color w:val="0563C1"/>
          <w:u w:val="single"/>
        </w:rPr>
        <w:t>Source: [Tadawul Group 2022 AR</w:t>
      </w:r>
      <w:r>
        <w:rPr>
          <w:rFonts w:ascii="Malgun Gothic" w:hAnsi="Malgun Gothic" w:eastAsia="맑은 고딕"/>
        </w:rPr>
        <w:t>]</w:t>
      </w:r>
    </w:p>
    <w:p>
      <w:pPr>
        <w:pStyle w:val="Heading3"/>
      </w:pPr>
      <w:r>
        <w:rPr>
          <w:rFonts w:ascii="Malgun Gothic" w:hAnsi="Malgun Gothic" w:eastAsia="맑은 고딕"/>
        </w:rPr>
        <w:t>회원 기반 확대 (2024-2025)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청산회원의 지속적 온보딩 (예: SNB Capital) </w:t>
      </w:r>
      <w:r>
        <w:rPr>
          <w:rFonts w:ascii="Malgun Gothic" w:hAnsi="Malgun Gothic" w:eastAsia="맑은 고딕"/>
          <w:color w:val="0563C1"/>
          <w:u w:val="single"/>
        </w:rPr>
        <w:t>Source: [Securities Finance Times</w:t>
      </w:r>
      <w:r>
        <w:rPr>
          <w:rFonts w:ascii="Malgun Gothic" w:hAnsi="Malgun Gothic" w:eastAsia="맑은 고딕"/>
        </w:rPr>
        <w:t>]</w:t>
      </w:r>
    </w:p>
    <w:p>
      <w:pPr>
        <w:pStyle w:val="ListBullet"/>
      </w:pPr>
      <w:r>
        <w:rPr>
          <w:rFonts w:ascii="Malgun Gothic" w:hAnsi="Malgun Gothic" w:eastAsia="맑은 고딕"/>
        </w:rPr>
        <w:t>Muqassa, 2025년 8월 발효 예정으로 청산회원 거래한도의 증거금 파라미터 및 리스크 비율 업데이트</w:t>
      </w:r>
    </w:p>
    <w:p>
      <w:pPr>
        <w:pStyle w:val="Heading3"/>
      </w:pPr>
      <w:r>
        <w:rPr>
          <w:rFonts w:ascii="Malgun Gothic" w:hAnsi="Malgun Gothic" w:eastAsia="맑은 고딕"/>
        </w:rPr>
        <w:t>비전 2030 정렬 (Vision 2030 Alignment)</w:t>
      </w:r>
    </w:p>
    <w:p>
      <w:pPr>
        <w:pStyle w:val="ListBullet"/>
      </w:pPr>
      <w:r>
        <w:rPr>
          <w:rFonts w:ascii="Malgun Gothic" w:hAnsi="Malgun Gothic" w:eastAsia="맑은 고딕"/>
        </w:rPr>
        <w:t>Muqassa는 사우디 비전 2030의 금융부문개발프로그램(FSDP)의 핵심 축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자본시장 심화, 외국인 투자 유치, 국제 모범사례 정렬 목표 지원 </w:t>
      </w:r>
      <w:r>
        <w:rPr>
          <w:rFonts w:ascii="Malgun Gothic" w:hAnsi="Malgun Gothic" w:eastAsia="맑은 고딕"/>
          <w:color w:val="0563C1"/>
          <w:u w:val="single"/>
        </w:rPr>
        <w:t>Source: [Tadawul Group 2024 AR</w:t>
      </w:r>
      <w:r>
        <w:rPr>
          <w:rFonts w:ascii="Malgun Gothic" w:hAnsi="Malgun Gothic" w:eastAsia="맑은 고딕"/>
        </w:rPr>
        <w:t>]</w:t>
      </w:r>
    </w:p>
    <w:p>
      <w:pPr>
        <w:pStyle w:val="Heading3"/>
      </w:pPr>
      <w:r>
        <w:rPr>
          <w:rFonts w:ascii="Malgun Gothic" w:hAnsi="Malgun Gothic" w:eastAsia="맑은 고딕"/>
        </w:rPr>
        <w:t>샤리아 적합 인프라 (Sharia-Compliant Infrastructure)</w:t>
      </w:r>
    </w:p>
    <w:p>
      <w:pPr>
        <w:pStyle w:val="ListBullet"/>
      </w:pPr>
      <w:r>
        <w:rPr>
          <w:rFonts w:ascii="Malgun Gothic" w:hAnsi="Malgun Gothic" w:eastAsia="맑은 고딕"/>
        </w:rPr>
        <w:t>수쿠크 기반 담보 및 레포 청산 등 샤리아 적합 청산 기능의 지속적 개발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성장하는 글로벌 이슬람 금융 산업에 서비스를 제공하기 위한 사우디 시장인프라 포지셔닝 </w:t>
      </w:r>
      <w:r>
        <w:rPr>
          <w:rFonts w:ascii="Malgun Gothic" w:hAnsi="Malgun Gothic" w:eastAsia="맑은 고딕"/>
          <w:color w:val="0563C1"/>
          <w:u w:val="single"/>
        </w:rPr>
        <w:t>Source: [Chambers -- Islamic Finance 2025</w:t>
      </w:r>
      <w:r>
        <w:rPr>
          <w:rFonts w:ascii="Malgun Gothic" w:hAnsi="Malgun Gothic" w:eastAsia="맑은 고딕"/>
        </w:rPr>
        <w:t>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출처 (Sources)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Muqassa Official Website</w:t>
      </w:r>
      <w:r>
        <w:rPr>
          <w:rFonts w:ascii="Malgun Gothic" w:hAnsi="Malgun Gothic" w:eastAsia="맑은 고딕"/>
        </w:rPr>
        <w:t xml:space="preserve"> -- 홈페이지 및 서비스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Muqassa -- Our Story</w:t>
      </w:r>
      <w:r>
        <w:rPr>
          <w:rFonts w:ascii="Malgun Gothic" w:hAnsi="Malgun Gothic" w:eastAsia="맑은 고딕"/>
        </w:rPr>
        <w:t xml:space="preserve"> -- 연혁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Muqassa -- Risk Management</w:t>
      </w:r>
      <w:r>
        <w:rPr>
          <w:rFonts w:ascii="Malgun Gothic" w:hAnsi="Malgun Gothic" w:eastAsia="맑은 고딕"/>
        </w:rPr>
        <w:t xml:space="preserve"> -- 증거금 및 담보 체계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Saudi Tadawul Group -- Muqassa</w:t>
      </w:r>
      <w:r>
        <w:rPr>
          <w:rFonts w:ascii="Malgun Gothic" w:hAnsi="Malgun Gothic" w:eastAsia="맑은 고딕"/>
        </w:rPr>
        <w:t xml:space="preserve"> -- 그룹 개요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Saudi Tadawul Group -- 2022 Annual Report (Muqassa)</w:t>
      </w:r>
      <w:r>
        <w:rPr>
          <w:rFonts w:ascii="Malgun Gothic" w:hAnsi="Malgun Gothic" w:eastAsia="맑은 고딕"/>
        </w:rPr>
        <w:t xml:space="preserve"> -- 운영 이정표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Saudi Tadawul Group -- 2023 Annual Report (Muqassa)</w:t>
      </w:r>
      <w:r>
        <w:rPr>
          <w:rFonts w:ascii="Malgun Gothic" w:hAnsi="Malgun Gothic" w:eastAsia="맑은 고딕"/>
        </w:rPr>
        <w:t xml:space="preserve"> -- PDF 보고서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Saudi Tadawul Group -- 2024 Annual Report (Muqassa)</w:t>
      </w:r>
      <w:r>
        <w:rPr>
          <w:rFonts w:ascii="Malgun Gothic" w:hAnsi="Malgun Gothic" w:eastAsia="맑은 고딕"/>
        </w:rPr>
        <w:t xml:space="preserve"> -- PDF 보고서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CMA -- QCCP Designation</w:t>
      </w:r>
      <w:r>
        <w:rPr>
          <w:rFonts w:ascii="Malgun Gothic" w:hAnsi="Malgun Gothic" w:eastAsia="맑은 고딕"/>
        </w:rPr>
        <w:t xml:space="preserve"> -- 규제 발표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Al Tamimi &amp; Company -- Securities Central Counterparties Regulation</w:t>
      </w:r>
      <w:r>
        <w:rPr>
          <w:rFonts w:ascii="Malgun Gothic" w:hAnsi="Malgun Gothic" w:eastAsia="맑은 고딕"/>
        </w:rPr>
        <w:t xml:space="preserve"> -- 법률 분석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GlobalComplianceNews -- Muqassa Operations Commencement</w:t>
      </w:r>
      <w:r>
        <w:rPr>
          <w:rFonts w:ascii="Malgun Gothic" w:hAnsi="Malgun Gothic" w:eastAsia="맑은 고딕"/>
        </w:rPr>
        <w:t xml:space="preserve"> -- 개시 세부사항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Tadawul 2018 Annual Report -- Post-Trade</w:t>
      </w:r>
      <w:r>
        <w:rPr>
          <w:rFonts w:ascii="Malgun Gothic" w:hAnsi="Malgun Gothic" w:eastAsia="맑은 고딕"/>
        </w:rPr>
        <w:t xml:space="preserve"> -- 설립 배경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Saudi Exchange -- Why CCP (PDF)</w:t>
      </w:r>
      <w:r>
        <w:rPr>
          <w:rFonts w:ascii="Malgun Gothic" w:hAnsi="Malgun Gothic" w:eastAsia="맑은 고딕"/>
        </w:rPr>
        <w:t xml:space="preserve"> -- CCP 도입 근거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Edaa -- Muqassa Fact Sheet (PDF)</w:t>
      </w:r>
      <w:r>
        <w:rPr>
          <w:rFonts w:ascii="Malgun Gothic" w:hAnsi="Malgun Gothic" w:eastAsia="맑은 고딕"/>
        </w:rPr>
        <w:t xml:space="preserve"> -- 거래후처리 개요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Chambers -- Islamic Finance 2025 Saudi Arabia</w:t>
      </w:r>
      <w:r>
        <w:rPr>
          <w:rFonts w:ascii="Malgun Gothic" w:hAnsi="Malgun Gothic" w:eastAsia="맑은 고딕"/>
        </w:rPr>
        <w:t xml:space="preserve"> -- 샤리아 적합 청산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Securities Finance Times -- SNB Capital Clearing Membership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Tadawul 200 Listed Securities</w:t>
      </w:r>
      <w:r>
        <w:rPr>
          <w:rFonts w:ascii="Malgun Gothic" w:hAnsi="Malgun Gothic" w:eastAsia="맑은 고딕"/>
        </w:rPr>
        <w:t xml:space="preserve"> -- 시장인프라 개요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