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미국 청산 및 결제 규제 (U.S. Clearing &amp; Settlement Regulation)</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**분야:** 청산 및 결제 -- 규제 체계 (Regulatory Framework)</w:t>
      </w:r>
    </w:p>
    <w:p>
      <w:pPr>
        <w:pBdr>
          <w:bottom w:val="single" w:sz="4" w:space="1" w:color="auto"/>
        </w:pBdr>
      </w:pPr>
    </w:p>
    <w:p>
      <w:pPr>
        <w:pStyle w:val="Heading2"/>
      </w:pPr>
      <w:r>
        <w:rPr>
          <w:rFonts w:ascii="Malgun Gothic" w:hAnsi="Malgun Gothic" w:eastAsia="맑은 고딕"/>
        </w:rPr>
        <w:t>목차 (Table of Contents)</w:t>
      </w:r>
    </w:p>
    <w:p>
      <w:pPr>
        <w:pStyle w:val="ListBullet"/>
      </w:pPr>
      <w:r>
        <w:rPr>
          <w:rFonts w:ascii="Malgun Gothic" w:hAnsi="Malgun Gothic" w:eastAsia="맑은 고딕"/>
          <w:color w:val="0563C1"/>
          <w:u w:val="single"/>
        </w:rPr>
        <w:t>규제 기관</w:t>
      </w:r>
    </w:p>
    <w:p>
      <w:pPr>
        <w:pStyle w:val="ListBullet"/>
      </w:pPr>
      <w:r>
        <w:rPr>
          <w:rFonts w:ascii="Malgun Gothic" w:hAnsi="Malgun Gothic" w:eastAsia="맑은 고딕"/>
          <w:color w:val="0563C1"/>
          <w:u w:val="single"/>
        </w:rPr>
        <w:t>주요 법률 및 규정</w:t>
      </w:r>
    </w:p>
    <w:p>
      <w:pPr>
        <w:pStyle w:val="ListBullet"/>
      </w:pPr>
      <w:r>
        <w:rPr>
          <w:rFonts w:ascii="Malgun Gothic" w:hAnsi="Malgun Gothic" w:eastAsia="맑은 고딕"/>
          <w:color w:val="0563C1"/>
          <w:u w:val="single"/>
        </w:rPr>
        <w:t>CCP 인가 및 자본 요건</w:t>
      </w:r>
    </w:p>
    <w:p>
      <w:pPr>
        <w:pStyle w:val="ListBullet"/>
      </w:pPr>
      <w:r>
        <w:rPr>
          <w:rFonts w:ascii="Malgun Gothic" w:hAnsi="Malgun Gothic" w:eastAsia="맑은 고딕"/>
          <w:color w:val="0563C1"/>
          <w:u w:val="single"/>
        </w:rPr>
        <w:t>PFMI 준수</w:t>
      </w:r>
    </w:p>
    <w:p>
      <w:pPr>
        <w:pStyle w:val="ListBullet"/>
      </w:pPr>
      <w:r>
        <w:rPr>
          <w:rFonts w:ascii="Malgun Gothic" w:hAnsi="Malgun Gothic" w:eastAsia="맑은 고딕"/>
          <w:color w:val="0563C1"/>
          <w:u w:val="single"/>
        </w:rPr>
        <w:t>회복 및 정리 체계</w:t>
      </w:r>
    </w:p>
    <w:p>
      <w:pPr>
        <w:pStyle w:val="ListBullet"/>
      </w:pPr>
      <w:r>
        <w:rPr>
          <w:rFonts w:ascii="Malgun Gothic" w:hAnsi="Malgun Gothic" w:eastAsia="맑은 고딕"/>
          <w:color w:val="0563C1"/>
          <w:u w:val="single"/>
        </w:rPr>
        <w:t>결제 규제</w:t>
      </w:r>
    </w:p>
    <w:p>
      <w:pPr>
        <w:pStyle w:val="ListBullet"/>
      </w:pPr>
      <w:r>
        <w:rPr>
          <w:rFonts w:ascii="Malgun Gothic" w:hAnsi="Malgun Gothic" w:eastAsia="맑은 고딕"/>
          <w:color w:val="0563C1"/>
          <w:u w:val="single"/>
        </w:rPr>
        <w:t>시장 데이터 및 보고</w:t>
      </w:r>
    </w:p>
    <w:p>
      <w:pPr>
        <w:pStyle w:val="ListBullet"/>
      </w:pPr>
      <w:r>
        <w:rPr>
          <w:rFonts w:ascii="Malgun Gothic" w:hAnsi="Malgun Gothic" w:eastAsia="맑은 고딕"/>
          <w:color w:val="0563C1"/>
          <w:u w:val="single"/>
        </w:rPr>
        <w:t>국경 간 협정</w:t>
      </w:r>
    </w:p>
    <w:p>
      <w:pPr>
        <w:pStyle w:val="ListBullet"/>
      </w:pPr>
      <w:r>
        <w:rPr>
          <w:rFonts w:ascii="Malgun Gothic" w:hAnsi="Malgun Gothic" w:eastAsia="맑은 고딕"/>
          <w:color w:val="0563C1"/>
          <w:u w:val="single"/>
        </w:rPr>
        <w:t>최근 규제 변화 (2023-2026)</w:t>
      </w:r>
    </w:p>
    <w:p>
      <w:pPr>
        <w:pStyle w:val="ListBullet"/>
      </w:pPr>
      <w:r>
        <w:rPr>
          <w:rFonts w:ascii="Malgun Gothic" w:hAnsi="Malgun Gothic" w:eastAsia="맑은 고딕"/>
          <w:color w:val="0563C1"/>
          <w:u w:val="single"/>
        </w:rPr>
        <w:t>한국과의 비교</w:t>
      </w:r>
    </w:p>
    <w:p>
      <w:pPr>
        <w:pBdr>
          <w:bottom w:val="single" w:sz="4" w:space="1" w:color="auto"/>
        </w:pBdr>
      </w:pPr>
    </w:p>
    <w:p>
      <w:pPr>
        <w:pStyle w:val="Heading2"/>
      </w:pPr>
      <w:r>
        <w:rPr>
          <w:rFonts w:ascii="Malgun Gothic" w:hAnsi="Malgun Gothic" w:eastAsia="맑은 고딕"/>
        </w:rPr>
        <w:t>1. 규제 기관 (Regulatory Authorities)</w:t>
      </w:r>
    </w:p>
    <w:p>
      <w:r>
        <w:rPr>
          <w:rFonts w:ascii="Malgun Gothic" w:hAnsi="Malgun Gothic" w:eastAsia="맑은 고딕"/>
        </w:rPr>
        <w:t xml:space="preserve">미국의 청산 및 결제 규제 체계는 </w:t>
      </w:r>
      <w:r>
        <w:rPr>
          <w:rFonts w:ascii="Malgun Gothic" w:hAnsi="Malgun Gothic" w:eastAsia="맑은 고딕"/>
          <w:b/>
        </w:rPr>
        <w:t>복수 규제기관 모델(multi-regulator model)</w:t>
      </w:r>
      <w:r>
        <w:rPr>
          <w:rFonts w:ascii="Malgun Gothic" w:hAnsi="Malgun Gothic" w:eastAsia="맑은 고딕"/>
        </w:rPr>
        <w:t>이 특징이다. 자산군별로 상이한 기관이 감독을 담당하며, 시스템 리스크 감독은 별도로 이루어진다. 단일 통합 규제기관을 보유한 관할권과 달리, 미국은 SEC(증권)와 CFTC(파생상품)가 주된 권한을 분담하고, Federal Reserve (연방준비제도이사회)와 FSOC가 시스템 리스크 감독을 수행한다.</w:t>
      </w:r>
    </w:p>
    <w:p>
      <w:pPr>
        <w:ind w:left="720"/>
        <w:shd w:fill="F0F0F0" w:val="clear"/>
      </w:pPr>
      <w:r>
        <w:rPr>
          <w:rFonts w:ascii="Malgun Gothic" w:hAnsi="Malgun Gothic" w:eastAsia="맑은 고딕"/>
          <w:i/>
        </w:rPr>
        <w:t>**KRX/FSC 비교:** 한국은 FSC(금융위원회)/FSS(금융감독원)가 자본시장 전반을 통합 감독하는 구조로, 미국의 복수 규제기관 모델과 대조적이다. BOK(한국은행)가 결제시스템 안정성 감독을 담당하는 점은 Federal Reserve의 역할과 유사하다.</w:t>
      </w:r>
    </w:p>
    <w:p>
      <w:pPr>
        <w:pStyle w:val="Heading3"/>
      </w:pPr>
      <w:r>
        <w:rPr>
          <w:rFonts w:ascii="Malgun Gothic" w:hAnsi="Malgun Gothic" w:eastAsia="맑은 고딕"/>
        </w:rPr>
        <w:t>1.1 SEC (Securities and Exchange Commission, 증권거래위원회)</w:t>
      </w:r>
    </w:p>
    <w:p>
      <w:r>
        <w:rPr>
          <w:rFonts w:ascii="Malgun Gothic" w:hAnsi="Malgun Gothic" w:eastAsia="맑은 고딕"/>
        </w:rPr>
        <w:t xml:space="preserve">SEC는 주식, 채권, 증권기반 스왑(security-based swap)을 청산하는 청산기관(clearing agency)의 </w:t>
      </w:r>
      <w:r>
        <w:rPr>
          <w:rFonts w:ascii="Malgun Gothic" w:hAnsi="Malgun Gothic" w:eastAsia="맑은 고딕"/>
          <w:b/>
        </w:rPr>
        <w:t>주요 규제기관</w:t>
      </w:r>
      <w:r>
        <w:rPr>
          <w:rFonts w:ascii="Malgun Gothic" w:hAnsi="Malgun Gothic" w:eastAsia="맑은 고딕"/>
        </w:rPr>
        <w:t>이다. Trading and Markets 부서가 CCP 및 CSD 감독을 담당하는 핵심 조직이다.</w:t>
      </w:r>
    </w:p>
    <w:p>
      <w:pPr>
        <w:pStyle w:val="ListBullet"/>
      </w:pPr>
      <w:r>
        <w:rPr>
          <w:rFonts w:ascii="Malgun Gothic" w:hAnsi="Malgun Gothic" w:eastAsia="맑은 고딕"/>
          <w:b/>
        </w:rPr>
        <w:t>관할 범위:</w:t>
      </w:r>
      <w:r>
        <w:rPr>
          <w:rFonts w:ascii="Malgun Gothic" w:hAnsi="Malgun Gothic" w:eastAsia="맑은 고딕"/>
        </w:rPr>
        <w:t xml:space="preserve"> 1934년 Securities Exchange Act (증권거래법) Section 17A에 따라 등록된 모든 청산기관. CCP(예: NSCC, FICC, OCC)와 CSD(예: DTC) 포함</w:t>
      </w:r>
    </w:p>
    <w:p>
      <w:pPr>
        <w:pStyle w:val="ListBullet"/>
      </w:pPr>
      <w:r>
        <w:rPr>
          <w:rFonts w:ascii="Malgun Gothic" w:hAnsi="Malgun Gothic" w:eastAsia="맑은 고딕"/>
          <w:b/>
        </w:rPr>
        <w:t>핵심 부서:</w:t>
      </w:r>
      <w:r>
        <w:rPr>
          <w:rFonts w:ascii="Malgun Gothic" w:hAnsi="Malgun Gothic" w:eastAsia="맑은 고딕"/>
        </w:rPr>
        <w:t xml:space="preserve"> Division of Trading and Markets -- 거래소, 브로커-딜러, 청산기관, 이전대리인, 자율규제기관(SRO)을 감독</w:t>
      </w:r>
    </w:p>
    <w:p>
      <w:pPr>
        <w:pStyle w:val="ListBullet"/>
      </w:pPr>
      <w:r>
        <w:rPr>
          <w:rFonts w:ascii="Malgun Gothic" w:hAnsi="Malgun Gothic" w:eastAsia="맑은 고딕"/>
          <w:b/>
        </w:rPr>
        <w:t>주요 권한:</w:t>
      </w:r>
    </w:p>
    <w:p>
      <w:pPr>
        <w:pStyle w:val="ListBullet"/>
      </w:pPr>
      <w:r>
        <w:rPr>
          <w:rFonts w:ascii="Malgun Gothic" w:hAnsi="Malgun Gothic" w:eastAsia="맑은 고딕"/>
        </w:rPr>
        <w:t>Section 17A에 따른 청산기관 등록 및 규제</w:t>
      </w:r>
    </w:p>
    <w:p>
      <w:pPr>
        <w:pStyle w:val="ListBullet"/>
      </w:pPr>
      <w:r>
        <w:rPr>
          <w:rFonts w:ascii="Malgun Gothic" w:hAnsi="Malgun Gothic" w:eastAsia="맑은 고딕"/>
        </w:rPr>
        <w:t>Rule 17Ad-22(청산기관 기준)에 따른 규칙 제정 권한</w:t>
      </w:r>
    </w:p>
    <w:p>
      <w:pPr>
        <w:pStyle w:val="ListBullet"/>
      </w:pPr>
      <w:r>
        <w:rPr>
          <w:rFonts w:ascii="Malgun Gothic" w:hAnsi="Malgun Gothic" w:eastAsia="맑은 고딕"/>
        </w:rPr>
        <w:t>청산기관 규칙 변경 제안 승인/불승인(SRO 신고)</w:t>
      </w:r>
    </w:p>
    <w:p>
      <w:pPr>
        <w:pStyle w:val="ListBullet"/>
      </w:pPr>
      <w:r>
        <w:rPr>
          <w:rFonts w:ascii="Malgun Gothic" w:hAnsi="Malgun Gothic" w:eastAsia="맑은 고딕"/>
        </w:rPr>
        <w:t>청산기관에 대한 검사 및 집행</w:t>
      </w:r>
    </w:p>
    <w:p>
      <w:pPr>
        <w:pStyle w:val="ListBullet"/>
      </w:pPr>
      <w:r>
        <w:rPr>
          <w:rFonts w:ascii="Malgun Gothic" w:hAnsi="Malgun Gothic" w:eastAsia="맑은 고딕"/>
        </w:rPr>
        <w:t>증권기반 스왑 청산기관에 대한 권한(Dodd-Frank Act (도드-프랭크법) Title VII)</w:t>
      </w:r>
    </w:p>
    <w:p>
      <w:pPr>
        <w:pStyle w:val="ListBullet"/>
      </w:pPr>
      <w:r>
        <w:rPr>
          <w:rFonts w:ascii="Malgun Gothic" w:hAnsi="Malgun Gothic" w:eastAsia="맑은 고딕"/>
          <w:b/>
        </w:rPr>
        <w:t>감독 대상(증권 청산):</w:t>
      </w:r>
      <w:r>
        <w:rPr>
          <w:rFonts w:ascii="Malgun Gothic" w:hAnsi="Malgun Gothic" w:eastAsia="맑은 고딕"/>
        </w:rPr>
        <w:t xml:space="preserve"> NSCC, DTC, FICC(GSD 및 MBSD), OCC(CFTC와 공동), ICE Clear Credit(SBS 청산기관)</w:t>
      </w:r>
    </w:p>
    <w:p>
      <w:pPr>
        <w:pStyle w:val="ListBullet"/>
      </w:pPr>
      <w:r>
        <w:rPr>
          <w:rFonts w:ascii="Malgun Gothic" w:hAnsi="Malgun Gothic" w:eastAsia="맑은 고딕"/>
          <w:b/>
        </w:rPr>
        <w:t>웹사이트:</w:t>
      </w:r>
      <w:r>
        <w:rPr>
          <w:rFonts w:ascii="Malgun Gothic" w:hAnsi="Malgun Gothic" w:eastAsia="맑은 고딕"/>
        </w:rPr>
        <w:t xml:space="preserve"> </w:t>
      </w:r>
      <w:r>
        <w:rPr>
          <w:rFonts w:ascii="Malgun Gothic" w:hAnsi="Malgun Gothic" w:eastAsia="맑은 고딕"/>
          <w:color w:val="0563C1"/>
          <w:u w:val="single"/>
        </w:rPr>
        <w:t>https://www.sec.gov</w:t>
      </w:r>
    </w:p>
    <w:p>
      <w:r>
        <w:rPr>
          <w:rFonts w:ascii="Malgun Gothic" w:hAnsi="Malgun Gothic" w:eastAsia="맑은 고딕"/>
        </w:rPr>
        <w:t>[Source: SEC, "About the SEC" and "Division of Trading and Markets," accessed 2026-04-07]</w:t>
      </w:r>
    </w:p>
    <w:p>
      <w:pPr>
        <w:pStyle w:val="Heading3"/>
      </w:pPr>
      <w:r>
        <w:rPr>
          <w:rFonts w:ascii="Malgun Gothic" w:hAnsi="Malgun Gothic" w:eastAsia="맑은 고딕"/>
        </w:rPr>
        <w:t>1.2 CFTC (Commodity Futures Trading Commission, 상품선물거래위원회)</w:t>
      </w:r>
    </w:p>
    <w:p>
      <w:r>
        <w:rPr>
          <w:rFonts w:ascii="Malgun Gothic" w:hAnsi="Malgun Gothic" w:eastAsia="맑은 고딕"/>
        </w:rPr>
        <w:t xml:space="preserve">CFTC는 선물, 선물옵션, 스왑을 청산하는 파생상품청산기관(DCO, Derivatives Clearing Organization)의 </w:t>
      </w:r>
      <w:r>
        <w:rPr>
          <w:rFonts w:ascii="Malgun Gothic" w:hAnsi="Malgun Gothic" w:eastAsia="맑은 고딕"/>
          <w:b/>
        </w:rPr>
        <w:t>주요 규제기관</w:t>
      </w:r>
      <w:r>
        <w:rPr>
          <w:rFonts w:ascii="Malgun Gothic" w:hAnsi="Malgun Gothic" w:eastAsia="맑은 고딕"/>
        </w:rPr>
        <w:t>이다.</w:t>
      </w:r>
    </w:p>
    <w:p>
      <w:pPr>
        <w:pStyle w:val="ListBullet"/>
      </w:pPr>
      <w:r>
        <w:rPr>
          <w:rFonts w:ascii="Malgun Gothic" w:hAnsi="Malgun Gothic" w:eastAsia="맑은 고딕"/>
          <w:b/>
        </w:rPr>
        <w:t>관할 범위:</w:t>
      </w:r>
      <w:r>
        <w:rPr>
          <w:rFonts w:ascii="Malgun Gothic" w:hAnsi="Malgun Gothic" w:eastAsia="맑은 고딕"/>
        </w:rPr>
        <w:t xml:space="preserve"> Commodity Exchange Act (상품거래소법, CEA) Section 5b에 따라 등록된 모든 DCO. CME Clearing, ICE Clear US, ICE Clear Europe(면제 DCO), LCH Ltd(등록 DCO) 등 포함</w:t>
      </w:r>
    </w:p>
    <w:p>
      <w:pPr>
        <w:pStyle w:val="ListBullet"/>
      </w:pPr>
      <w:r>
        <w:rPr>
          <w:rFonts w:ascii="Malgun Gothic" w:hAnsi="Malgun Gothic" w:eastAsia="맑은 고딕"/>
          <w:b/>
        </w:rPr>
        <w:t>핵심 부서:</w:t>
      </w:r>
      <w:r>
        <w:rPr>
          <w:rFonts w:ascii="Malgun Gothic" w:hAnsi="Malgun Gothic" w:eastAsia="맑은 고딕"/>
        </w:rPr>
        <w:t xml:space="preserve"> Division of Clearing and Risk(DCR) -- DCO 감독 및 청산소 리스크 관리 담당</w:t>
      </w:r>
    </w:p>
    <w:p>
      <w:pPr>
        <w:pStyle w:val="ListBullet"/>
      </w:pPr>
      <w:r>
        <w:rPr>
          <w:rFonts w:ascii="Malgun Gothic" w:hAnsi="Malgun Gothic" w:eastAsia="맑은 고딕"/>
          <w:b/>
        </w:rPr>
        <w:t>주요 권한:</w:t>
      </w:r>
    </w:p>
    <w:p>
      <w:pPr>
        <w:pStyle w:val="ListBullet"/>
      </w:pPr>
      <w:r>
        <w:rPr>
          <w:rFonts w:ascii="Malgun Gothic" w:hAnsi="Malgun Gothic" w:eastAsia="맑은 고딕"/>
        </w:rPr>
        <w:t>DCO 등록 및 18개 Core Principles(핵심원칙) 시행(CEA Section 5b(c)(2))</w:t>
      </w:r>
    </w:p>
    <w:p>
      <w:pPr>
        <w:pStyle w:val="ListBullet"/>
      </w:pPr>
      <w:r>
        <w:rPr>
          <w:rFonts w:ascii="Malgun Gothic" w:hAnsi="Malgun Gothic" w:eastAsia="맑은 고딕"/>
        </w:rPr>
        <w:t>CFTC 규정 Part 39에 따른 규칙 제정</w:t>
      </w:r>
    </w:p>
    <w:p>
      <w:pPr>
        <w:pStyle w:val="ListBullet"/>
      </w:pPr>
      <w:r>
        <w:rPr>
          <w:rFonts w:ascii="Malgun Gothic" w:hAnsi="Malgun Gothic" w:eastAsia="맑은 고딕"/>
        </w:rPr>
        <w:t>스왑 청산의무(swap clearing mandate) -- 의무적으로 중앙청산해야 하는 스왑 결정</w:t>
      </w:r>
    </w:p>
    <w:p>
      <w:pPr>
        <w:pStyle w:val="ListBullet"/>
      </w:pPr>
      <w:r>
        <w:rPr>
          <w:rFonts w:ascii="Malgun Gothic" w:hAnsi="Malgun Gothic" w:eastAsia="맑은 고딕"/>
        </w:rPr>
        <w:t>DCO 규칙 변경 제안 검토</w:t>
      </w:r>
    </w:p>
    <w:p>
      <w:pPr>
        <w:pStyle w:val="ListBullet"/>
      </w:pPr>
      <w:r>
        <w:rPr>
          <w:rFonts w:ascii="Malgun Gothic" w:hAnsi="Malgun Gothic" w:eastAsia="맑은 고딕"/>
        </w:rPr>
        <w:t>등록 DCO에 대한 검사 및 집행</w:t>
      </w:r>
    </w:p>
    <w:p>
      <w:pPr>
        <w:pStyle w:val="ListBullet"/>
      </w:pPr>
      <w:r>
        <w:rPr>
          <w:rFonts w:ascii="Malgun Gothic" w:hAnsi="Malgun Gothic" w:eastAsia="맑은 고딕"/>
        </w:rPr>
        <w:t>대체준수(alternative compliance) 또는 면제 DCO 체계에 따른 외국 DCO 등록</w:t>
      </w:r>
    </w:p>
    <w:p>
      <w:pPr>
        <w:pStyle w:val="ListBullet"/>
      </w:pPr>
      <w:r>
        <w:rPr>
          <w:rFonts w:ascii="Malgun Gothic" w:hAnsi="Malgun Gothic" w:eastAsia="맑은 고딕"/>
          <w:b/>
        </w:rPr>
        <w:t>감독 대상(주요 미국 DCO):</w:t>
      </w:r>
      <w:r>
        <w:rPr>
          <w:rFonts w:ascii="Malgun Gothic" w:hAnsi="Malgun Gothic" w:eastAsia="맑은 고딕"/>
        </w:rPr>
        <w:t xml:space="preserve"> CME Clearing(SIFMU), ICE Clear Credit(SIFMU), ICE Clear US, LCH Ltd(등록 DCO), Nodal Clear 등</w:t>
      </w:r>
    </w:p>
    <w:p>
      <w:pPr>
        <w:pStyle w:val="ListBullet"/>
      </w:pPr>
      <w:r>
        <w:rPr>
          <w:rFonts w:ascii="Malgun Gothic" w:hAnsi="Malgun Gothic" w:eastAsia="맑은 고딕"/>
          <w:b/>
        </w:rPr>
        <w:t>웹사이트:</w:t>
      </w:r>
      <w:r>
        <w:rPr>
          <w:rFonts w:ascii="Malgun Gothic" w:hAnsi="Malgun Gothic" w:eastAsia="맑은 고딕"/>
        </w:rPr>
        <w:t xml:space="preserve"> </w:t>
      </w:r>
      <w:r>
        <w:rPr>
          <w:rFonts w:ascii="Malgun Gothic" w:hAnsi="Malgun Gothic" w:eastAsia="맑은 고딕"/>
          <w:color w:val="0563C1"/>
          <w:u w:val="single"/>
        </w:rPr>
        <w:t>https://www.cftc.gov</w:t>
      </w:r>
    </w:p>
    <w:p>
      <w:r>
        <w:rPr>
          <w:rFonts w:ascii="Malgun Gothic" w:hAnsi="Malgun Gothic" w:eastAsia="맑은 고딕"/>
        </w:rPr>
        <w:t>[Source: CFTC, "Derivatives Clearing Organizations," accessed 2026-04-07; CFTC, "Division of Clearing and Risk," accessed 2026-04-07]</w:t>
      </w:r>
    </w:p>
    <w:p>
      <w:pPr>
        <w:pStyle w:val="Heading3"/>
      </w:pPr>
      <w:r>
        <w:rPr>
          <w:rFonts w:ascii="Malgun Gothic" w:hAnsi="Malgun Gothic" w:eastAsia="맑은 고딕"/>
        </w:rPr>
        <w:t>1.3 Federal Reserve Board (연방준비제도이사회)</w:t>
      </w:r>
    </w:p>
    <w:p>
      <w:r>
        <w:rPr>
          <w:rFonts w:ascii="Malgun Gothic" w:hAnsi="Malgun Gothic" w:eastAsia="맑은 고딕"/>
        </w:rPr>
        <w:t xml:space="preserve">Federal Reserve는 Dodd-Frank Act (도드-프랭크법) Title VIII에 따라 지정된 특정 SIFMU(시스템적으로 중요한 금융시장인프라)의 </w:t>
      </w:r>
      <w:r>
        <w:rPr>
          <w:rFonts w:ascii="Malgun Gothic" w:hAnsi="Malgun Gothic" w:eastAsia="맑은 고딕"/>
          <w:b/>
        </w:rPr>
        <w:t>감독기관</w:t>
      </w:r>
      <w:r>
        <w:rPr>
          <w:rFonts w:ascii="Malgun Gothic" w:hAnsi="Malgun Gothic" w:eastAsia="맑은 고딕"/>
        </w:rPr>
        <w:t>으로 기능하며, 시스템 리스크 감독을 수행한다.</w:t>
      </w:r>
    </w:p>
    <w:p>
      <w:pPr>
        <w:pStyle w:val="ListBullet"/>
      </w:pPr>
      <w:r>
        <w:rPr>
          <w:rFonts w:ascii="Malgun Gothic" w:hAnsi="Malgun Gothic" w:eastAsia="맑은 고딕"/>
          <w:b/>
        </w:rPr>
        <w:t>Title VIII 역할:</w:t>
      </w:r>
      <w:r>
        <w:rPr>
          <w:rFonts w:ascii="Malgun Gothic" w:hAnsi="Malgun Gothic" w:eastAsia="맑은 고딕"/>
        </w:rPr>
        <w:t xml:space="preserve"> Dodd-Frank Act Section 804에 따라 FSOC가 SIFMU를 지정하고, "감독기관(Supervisory Agency)"(결제 관련 FMU에 대해서는 Federal Reserve, 청산 관련 FMU에 대해서는 SEC/CFTC)이 주된 감독 책임을 진다. Federal Reserve는 모든 지정 SIFMU에 대한 추가 권한을 보유한다:</w:t>
      </w:r>
    </w:p>
    <w:p>
      <w:pPr>
        <w:pStyle w:val="ListBullet"/>
      </w:pPr>
      <w:r>
        <w:rPr>
          <w:rFonts w:ascii="Malgun Gothic" w:hAnsi="Malgun Gothic" w:eastAsia="맑은 고딕"/>
        </w:rPr>
        <w:t>리스크 관리 기준 제정 가능(Section 805)</w:t>
      </w:r>
    </w:p>
    <w:p>
      <w:pPr>
        <w:pStyle w:val="ListBullet"/>
      </w:pPr>
      <w:r>
        <w:rPr>
          <w:rFonts w:ascii="Malgun Gothic" w:hAnsi="Malgun Gothic" w:eastAsia="맑은 고딕"/>
        </w:rPr>
        <w:t>이례적이거나 긴급한 상황에서 지정 SIFMU에 대한 Federal Reserve 할인창구(discount window) 및 결제 서비스 접근 제공(Section 806)</w:t>
      </w:r>
    </w:p>
    <w:p>
      <w:pPr>
        <w:pStyle w:val="ListBullet"/>
      </w:pPr>
      <w:r>
        <w:rPr>
          <w:rFonts w:ascii="Malgun Gothic" w:hAnsi="Malgun Gothic" w:eastAsia="맑은 고딕"/>
        </w:rPr>
        <w:t>감독기관과 협의하여 지정 FMU 검사 가능</w:t>
      </w:r>
    </w:p>
    <w:p>
      <w:pPr>
        <w:pStyle w:val="ListBullet"/>
      </w:pPr>
      <w:r>
        <w:rPr>
          <w:rFonts w:ascii="Malgun Gothic" w:hAnsi="Malgun Gothic" w:eastAsia="맑은 고딕"/>
          <w:b/>
        </w:rPr>
        <w:t>직접 감독 대상:</w:t>
      </w:r>
      <w:r>
        <w:rPr>
          <w:rFonts w:ascii="Malgun Gothic" w:hAnsi="Malgun Gothic" w:eastAsia="맑은 고딕"/>
        </w:rPr>
        <w:t xml:space="preserve"> The Clearing House Payments Company(CHIPS) 및 CLS Bank International -- 두 기관 모두 Federal Reserve가 감독기관인 지정 SIFMU</w:t>
      </w:r>
    </w:p>
    <w:p>
      <w:pPr>
        <w:pStyle w:val="ListBullet"/>
      </w:pPr>
      <w:r>
        <w:rPr>
          <w:rFonts w:ascii="Malgun Gothic" w:hAnsi="Malgun Gothic" w:eastAsia="맑은 고딕"/>
          <w:b/>
        </w:rPr>
        <w:t>간접 권한:</w:t>
      </w:r>
      <w:r>
        <w:rPr>
          <w:rFonts w:ascii="Malgun Gothic" w:hAnsi="Malgun Gothic" w:eastAsia="맑은 고딕"/>
        </w:rPr>
        <w:t xml:space="preserve"> Federal Reserve는 SEC 감독(DTC, NSCC, FICC, OCC, ICE Clear Credit) 및 CFTC 감독(CME Clearing) 대상을 포함한 8개 지정 SIFMU 모두에 대한 보조적 검사 및 집행 권한을 보유</w:t>
      </w:r>
    </w:p>
    <w:p>
      <w:pPr>
        <w:pStyle w:val="ListBullet"/>
      </w:pPr>
      <w:r>
        <w:rPr>
          <w:rFonts w:ascii="Malgun Gothic" w:hAnsi="Malgun Gothic" w:eastAsia="맑은 고딕"/>
          <w:b/>
        </w:rPr>
        <w:t>웹사이트:</w:t>
      </w:r>
      <w:r>
        <w:rPr>
          <w:rFonts w:ascii="Malgun Gothic" w:hAnsi="Malgun Gothic" w:eastAsia="맑은 고딕"/>
        </w:rPr>
        <w:t xml:space="preserve"> </w:t>
      </w:r>
      <w:r>
        <w:rPr>
          <w:rFonts w:ascii="Malgun Gothic" w:hAnsi="Malgun Gothic" w:eastAsia="맑은 고딕"/>
          <w:color w:val="0563C1"/>
          <w:u w:val="single"/>
        </w:rPr>
        <w:t>https://www.federalreserve.gov/paymentsystems/designated_fmu_about.htm</w:t>
      </w:r>
    </w:p>
    <w:p>
      <w:r>
        <w:rPr>
          <w:rFonts w:ascii="Malgun Gothic" w:hAnsi="Malgun Gothic" w:eastAsia="맑은 고딕"/>
        </w:rPr>
        <w:t>[Source: Federal Reserve Board, "Designated Financial Market Utilities," accessed 2026-04-07; Dodd-Frank Act, Title VIII, Sections 803-806]</w:t>
      </w:r>
    </w:p>
    <w:p>
      <w:pPr>
        <w:pStyle w:val="Heading3"/>
      </w:pPr>
      <w:r>
        <w:rPr>
          <w:rFonts w:ascii="Malgun Gothic" w:hAnsi="Malgun Gothic" w:eastAsia="맑은 고딕"/>
        </w:rPr>
        <w:t>1.4 FSOC (Financial Stability Oversight Council, 금융안정감독위원회)</w:t>
      </w:r>
    </w:p>
    <w:p>
      <w:r>
        <w:rPr>
          <w:rFonts w:ascii="Malgun Gothic" w:hAnsi="Malgun Gothic" w:eastAsia="맑은 고딕"/>
        </w:rPr>
        <w:t xml:space="preserve">FSOC는 SIFMU 지정을 포함하여 미국 금융 안정성에 대한 위협을 식별하고 대응하는 </w:t>
      </w:r>
      <w:r>
        <w:rPr>
          <w:rFonts w:ascii="Malgun Gothic" w:hAnsi="Malgun Gothic" w:eastAsia="맑은 고딕"/>
          <w:b/>
        </w:rPr>
        <w:t>기관 간 협의체(inter-agency body)</w:t>
      </w:r>
      <w:r>
        <w:rPr>
          <w:rFonts w:ascii="Malgun Gothic" w:hAnsi="Malgun Gothic" w:eastAsia="맑은 고딕"/>
        </w:rPr>
        <w:t>이다.</w:t>
      </w:r>
    </w:p>
    <w:p>
      <w:pPr>
        <w:pStyle w:val="ListBullet"/>
      </w:pPr>
      <w:r>
        <w:rPr>
          <w:rFonts w:ascii="Malgun Gothic" w:hAnsi="Malgun Gothic" w:eastAsia="맑은 고딕"/>
          <w:b/>
        </w:rPr>
        <w:t>구성:</w:t>
      </w:r>
      <w:r>
        <w:rPr>
          <w:rFonts w:ascii="Malgun Gothic" w:hAnsi="Malgun Gothic" w:eastAsia="맑은 고딕"/>
        </w:rPr>
        <w:t xml:space="preserve"> 재무장관이 의장; 10명의 의결권 위원(SEC, CFTC, Federal Reserve, OCC, FDIC, CFPB, FHFA, NCUA 수장 및 대통령이 임명한 독립 보험 전문가) 및 5명의 비의결권 위원</w:t>
      </w:r>
    </w:p>
    <w:p>
      <w:pPr>
        <w:pStyle w:val="ListBullet"/>
      </w:pPr>
      <w:r>
        <w:rPr>
          <w:rFonts w:ascii="Malgun Gothic" w:hAnsi="Malgun Gothic" w:eastAsia="맑은 고딕"/>
          <w:b/>
        </w:rPr>
        <w:t>SIFMU 지정 권한:</w:t>
      </w:r>
      <w:r>
        <w:rPr>
          <w:rFonts w:ascii="Malgun Gothic" w:hAnsi="Malgun Gothic" w:eastAsia="맑은 고딕"/>
        </w:rPr>
        <w:t xml:space="preserve"> Dodd-Frank Act Title VIII Section 804에 따라, FSOC는 FMU의 기능 장애 또는 실패가 금융기관이나 시장에 유동성 또는 신용 문제를 확산시켜 미국 금융 안정성을 위협할 위험을 초래하거나 증가시킬 수 있다고 판단하는 경우 해당 FMU를 "시스템적으로 중요한(systemically important)" 것으로 지정할 수 있다</w:t>
      </w:r>
    </w:p>
    <w:p>
      <w:pPr>
        <w:pStyle w:val="ListBullet"/>
      </w:pPr>
      <w:r>
        <w:rPr>
          <w:rFonts w:ascii="Malgun Gothic" w:hAnsi="Malgun Gothic" w:eastAsia="맑은 고딕"/>
          <w:b/>
        </w:rPr>
        <w:t>지정 기준(고려 요소):</w:t>
      </w:r>
    </w:p>
    <w:p>
      <w:pPr>
        <w:pStyle w:val="ListBullet"/>
      </w:pPr>
      <w:r>
        <w:rPr>
          <w:rFonts w:ascii="Malgun Gothic" w:hAnsi="Malgun Gothic" w:eastAsia="맑은 고딕"/>
        </w:rPr>
        <w:t>FMU가 처리하는 거래의 총 금전적 가치</w:t>
      </w:r>
    </w:p>
    <w:p>
      <w:pPr>
        <w:pStyle w:val="ListBullet"/>
      </w:pPr>
      <w:r>
        <w:rPr>
          <w:rFonts w:ascii="Malgun Gothic" w:hAnsi="Malgun Gothic" w:eastAsia="맑은 고딕"/>
        </w:rPr>
        <w:t>FMU의 거래상대방에 대한 총 익스포저</w:t>
      </w:r>
    </w:p>
    <w:p>
      <w:pPr>
        <w:pStyle w:val="ListBullet"/>
      </w:pPr>
      <w:r>
        <w:rPr>
          <w:rFonts w:ascii="Malgun Gothic" w:hAnsi="Malgun Gothic" w:eastAsia="맑은 고딕"/>
        </w:rPr>
        <w:t>다른 FMU 또는 결제·청산·결제 활동과의 관계, 상호의존성 및 기타 상호작용</w:t>
      </w:r>
    </w:p>
    <w:p>
      <w:pPr>
        <w:pStyle w:val="ListBullet"/>
      </w:pPr>
      <w:r>
        <w:rPr>
          <w:rFonts w:ascii="Malgun Gothic" w:hAnsi="Malgun Gothic" w:eastAsia="맑은 고딕"/>
        </w:rPr>
        <w:t>FMU의 장애 또는 실패가 주요 시장, 금융기관 또는 광범위한 금융시스템에 미치는 영향</w:t>
      </w:r>
    </w:p>
    <w:p>
      <w:pPr>
        <w:pStyle w:val="ListBullet"/>
      </w:pPr>
      <w:r>
        <w:rPr>
          <w:rFonts w:ascii="Malgun Gothic" w:hAnsi="Malgun Gothic" w:eastAsia="맑은 고딕"/>
        </w:rPr>
        <w:t>위원회가 적절하다고 판단하는 기타 요소</w:t>
      </w:r>
    </w:p>
    <w:p>
      <w:pPr>
        <w:pStyle w:val="ListBullet"/>
      </w:pPr>
      <w:r>
        <w:rPr>
          <w:rFonts w:ascii="Malgun Gothic" w:hAnsi="Malgun Gothic" w:eastAsia="맑은 고딕"/>
          <w:b/>
        </w:rPr>
        <w:t>현재 지정된 SIFMU(8개 기관, 2012년 7월 지정):</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기관</w:t>
            </w:r>
          </w:p>
        </w:tc>
        <w:tc>
          <w:tcPr>
            <w:tcW w:type="dxa" w:w="2160"/>
            <w:shd w:fill="4472C4" w:val="clear"/>
          </w:tcPr>
          <w:p>
            <w:pPr/>
            <w:r>
              <w:rPr>
                <w:b/>
                <w:color w:val="FFFFFF"/>
              </w:rPr>
            </w:r>
            <w:r>
              <w:rPr>
                <w:rFonts w:ascii="Malgun Gothic" w:hAnsi="Malgun Gothic" w:eastAsia="맑은 고딕"/>
                <w:b/>
                <w:color w:val="FFFFFF"/>
              </w:rPr>
              <w:t>유형</w:t>
            </w:r>
          </w:p>
        </w:tc>
        <w:tc>
          <w:tcPr>
            <w:tcW w:type="dxa" w:w="2160"/>
            <w:shd w:fill="4472C4" w:val="clear"/>
          </w:tcPr>
          <w:p>
            <w:pPr/>
            <w:r>
              <w:rPr>
                <w:b/>
                <w:color w:val="FFFFFF"/>
              </w:rPr>
            </w:r>
            <w:r>
              <w:rPr>
                <w:rFonts w:ascii="Malgun Gothic" w:hAnsi="Malgun Gothic" w:eastAsia="맑은 고딕"/>
                <w:b/>
                <w:color w:val="FFFFFF"/>
              </w:rPr>
              <w:t>감독기관</w:t>
            </w:r>
          </w:p>
        </w:tc>
        <w:tc>
          <w:tcPr>
            <w:tcW w:type="dxa" w:w="2160"/>
            <w:shd w:fill="4472C4" w:val="clear"/>
          </w:tcPr>
          <w:p>
            <w:pPr/>
            <w:r>
              <w:rPr>
                <w:b/>
                <w:color w:val="FFFFFF"/>
              </w:rPr>
            </w:r>
            <w:r>
              <w:rPr>
                <w:rFonts w:ascii="Malgun Gothic" w:hAnsi="Malgun Gothic" w:eastAsia="맑은 고딕"/>
                <w:b/>
                <w:color w:val="FFFFFF"/>
              </w:rPr>
              <w:t>모회사</w:t>
            </w:r>
          </w:p>
        </w:tc>
      </w:tr>
      <w:tr>
        <w:tc>
          <w:tcPr>
            <w:tcW w:type="dxa" w:w="2160"/>
          </w:tcPr>
          <w:p>
            <w:pPr/>
            <w:r/>
            <w:r>
              <w:rPr>
                <w:rFonts w:ascii="Malgun Gothic" w:hAnsi="Malgun Gothic" w:eastAsia="맑은 고딕"/>
              </w:rPr>
              <w:t>The Clearing House Payments Company(CHIPS)</w:t>
            </w:r>
          </w:p>
        </w:tc>
        <w:tc>
          <w:tcPr>
            <w:tcW w:type="dxa" w:w="2160"/>
          </w:tcPr>
          <w:p>
            <w:pPr/>
            <w:r/>
            <w:r>
              <w:rPr>
                <w:rFonts w:ascii="Malgun Gothic" w:hAnsi="Malgun Gothic" w:eastAsia="맑은 고딕"/>
              </w:rPr>
              <w:t>결제시스템</w:t>
            </w:r>
          </w:p>
        </w:tc>
        <w:tc>
          <w:tcPr>
            <w:tcW w:type="dxa" w:w="2160"/>
          </w:tcPr>
          <w:p>
            <w:pPr/>
            <w:r/>
            <w:r>
              <w:rPr>
                <w:rFonts w:ascii="Malgun Gothic" w:hAnsi="Malgun Gothic" w:eastAsia="맑은 고딕"/>
              </w:rPr>
              <w:t>Federal Reserve</w:t>
            </w:r>
          </w:p>
        </w:tc>
        <w:tc>
          <w:tcPr>
            <w:tcW w:type="dxa" w:w="2160"/>
          </w:tcPr>
          <w:p>
            <w:pPr/>
            <w:r/>
            <w:r>
              <w:rPr>
                <w:rFonts w:ascii="Malgun Gothic" w:hAnsi="Malgun Gothic" w:eastAsia="맑은 고딕"/>
              </w:rPr>
              <w:t>The Clearing House</w:t>
            </w:r>
          </w:p>
        </w:tc>
      </w:tr>
      <w:tr>
        <w:tc>
          <w:tcPr>
            <w:tcW w:type="dxa" w:w="2160"/>
          </w:tcPr>
          <w:p>
            <w:pPr/>
            <w:r/>
            <w:r>
              <w:rPr>
                <w:rFonts w:ascii="Malgun Gothic" w:hAnsi="Malgun Gothic" w:eastAsia="맑은 고딕"/>
              </w:rPr>
              <w:t>CLS Bank International</w:t>
            </w:r>
          </w:p>
        </w:tc>
        <w:tc>
          <w:tcPr>
            <w:tcW w:type="dxa" w:w="2160"/>
          </w:tcPr>
          <w:p>
            <w:pPr/>
            <w:r/>
            <w:r>
              <w:rPr>
                <w:rFonts w:ascii="Malgun Gothic" w:hAnsi="Malgun Gothic" w:eastAsia="맑은 고딕"/>
              </w:rPr>
              <w:t>외환 결제</w:t>
            </w:r>
          </w:p>
        </w:tc>
        <w:tc>
          <w:tcPr>
            <w:tcW w:type="dxa" w:w="2160"/>
          </w:tcPr>
          <w:p>
            <w:pPr/>
            <w:r/>
            <w:r>
              <w:rPr>
                <w:rFonts w:ascii="Malgun Gothic" w:hAnsi="Malgun Gothic" w:eastAsia="맑은 고딕"/>
              </w:rPr>
              <w:t>Federal Reserve</w:t>
            </w:r>
          </w:p>
        </w:tc>
        <w:tc>
          <w:tcPr>
            <w:tcW w:type="dxa" w:w="2160"/>
          </w:tcPr>
          <w:p>
            <w:pPr/>
            <w:r/>
            <w:r>
              <w:rPr>
                <w:rFonts w:ascii="Malgun Gothic" w:hAnsi="Malgun Gothic" w:eastAsia="맑은 고딕"/>
              </w:rPr>
              <w:t>CLS Group</w:t>
            </w:r>
          </w:p>
        </w:tc>
      </w:tr>
      <w:tr>
        <w:tc>
          <w:tcPr>
            <w:tcW w:type="dxa" w:w="2160"/>
          </w:tcPr>
          <w:p>
            <w:pPr/>
            <w:r/>
            <w:r>
              <w:rPr>
                <w:rFonts w:ascii="Malgun Gothic" w:hAnsi="Malgun Gothic" w:eastAsia="맑은 고딕"/>
              </w:rPr>
              <w:t>Chicago Mercantile Exchange Inc.</w:t>
            </w:r>
          </w:p>
        </w:tc>
        <w:tc>
          <w:tcPr>
            <w:tcW w:type="dxa" w:w="2160"/>
          </w:tcPr>
          <w:p>
            <w:pPr/>
            <w:r/>
            <w:r>
              <w:rPr>
                <w:rFonts w:ascii="Malgun Gothic" w:hAnsi="Malgun Gothic" w:eastAsia="맑은 고딕"/>
              </w:rPr>
              <w:t>CCP(파생상품)</w:t>
            </w:r>
          </w:p>
        </w:tc>
        <w:tc>
          <w:tcPr>
            <w:tcW w:type="dxa" w:w="2160"/>
          </w:tcPr>
          <w:p>
            <w:pPr/>
            <w:r/>
            <w:r>
              <w:rPr>
                <w:rFonts w:ascii="Malgun Gothic" w:hAnsi="Malgun Gothic" w:eastAsia="맑은 고딕"/>
              </w:rPr>
              <w:t>CFTC</w:t>
            </w:r>
          </w:p>
        </w:tc>
        <w:tc>
          <w:tcPr>
            <w:tcW w:type="dxa" w:w="2160"/>
          </w:tcPr>
          <w:p>
            <w:pPr/>
            <w:r/>
            <w:r>
              <w:rPr>
                <w:rFonts w:ascii="Malgun Gothic" w:hAnsi="Malgun Gothic" w:eastAsia="맑은 고딕"/>
              </w:rPr>
              <w:t>CME Group</w:t>
            </w:r>
          </w:p>
        </w:tc>
      </w:tr>
      <w:tr>
        <w:tc>
          <w:tcPr>
            <w:tcW w:type="dxa" w:w="2160"/>
          </w:tcPr>
          <w:p>
            <w:pPr/>
            <w:r/>
            <w:r>
              <w:rPr>
                <w:rFonts w:ascii="Malgun Gothic" w:hAnsi="Malgun Gothic" w:eastAsia="맑은 고딕"/>
              </w:rPr>
              <w:t>ICE Clear Credit LLC</w:t>
            </w:r>
          </w:p>
        </w:tc>
        <w:tc>
          <w:tcPr>
            <w:tcW w:type="dxa" w:w="2160"/>
          </w:tcPr>
          <w:p>
            <w:pPr/>
            <w:r/>
            <w:r>
              <w:rPr>
                <w:rFonts w:ascii="Malgun Gothic" w:hAnsi="Malgun Gothic" w:eastAsia="맑은 고딕"/>
              </w:rPr>
              <w:t>CCP(CDS)</w:t>
            </w:r>
          </w:p>
        </w:tc>
        <w:tc>
          <w:tcPr>
            <w:tcW w:type="dxa" w:w="2160"/>
          </w:tcPr>
          <w:p>
            <w:pPr/>
            <w:r/>
            <w:r>
              <w:rPr>
                <w:rFonts w:ascii="Malgun Gothic" w:hAnsi="Malgun Gothic" w:eastAsia="맑은 고딕"/>
              </w:rPr>
              <w:t>SEC(SBS) / CFTC</w:t>
            </w:r>
          </w:p>
        </w:tc>
        <w:tc>
          <w:tcPr>
            <w:tcW w:type="dxa" w:w="2160"/>
          </w:tcPr>
          <w:p>
            <w:pPr/>
            <w:r/>
            <w:r>
              <w:rPr>
                <w:rFonts w:ascii="Malgun Gothic" w:hAnsi="Malgun Gothic" w:eastAsia="맑은 고딕"/>
              </w:rPr>
              <w:t>ICE</w:t>
            </w:r>
          </w:p>
        </w:tc>
      </w:tr>
      <w:tr>
        <w:tc>
          <w:tcPr>
            <w:tcW w:type="dxa" w:w="2160"/>
          </w:tcPr>
          <w:p>
            <w:pPr/>
            <w:r/>
            <w:r>
              <w:rPr>
                <w:rFonts w:ascii="Malgun Gothic" w:hAnsi="Malgun Gothic" w:eastAsia="맑은 고딕"/>
              </w:rPr>
              <w:t>The Depository Trust Company(DTC)</w:t>
            </w:r>
          </w:p>
        </w:tc>
        <w:tc>
          <w:tcPr>
            <w:tcW w:type="dxa" w:w="2160"/>
          </w:tcPr>
          <w:p>
            <w:pPr/>
            <w:r/>
            <w:r>
              <w:rPr>
                <w:rFonts w:ascii="Malgun Gothic" w:hAnsi="Malgun Gothic" w:eastAsia="맑은 고딕"/>
              </w:rPr>
              <w:t>중앙예탁기관 (CSD)</w:t>
            </w:r>
          </w:p>
        </w:tc>
        <w:tc>
          <w:tcPr>
            <w:tcW w:type="dxa" w:w="2160"/>
          </w:tcPr>
          <w:p>
            <w:pPr/>
            <w:r/>
            <w:r>
              <w:rPr>
                <w:rFonts w:ascii="Malgun Gothic" w:hAnsi="Malgun Gothic" w:eastAsia="맑은 고딕"/>
              </w:rPr>
              <w:t>SEC</w:t>
            </w:r>
          </w:p>
        </w:tc>
        <w:tc>
          <w:tcPr>
            <w:tcW w:type="dxa" w:w="2160"/>
          </w:tcPr>
          <w:p>
            <w:pPr/>
            <w:r/>
            <w:r>
              <w:rPr>
                <w:rFonts w:ascii="Malgun Gothic" w:hAnsi="Malgun Gothic" w:eastAsia="맑은 고딕"/>
              </w:rPr>
              <w:t>DTCC</w:t>
            </w:r>
          </w:p>
        </w:tc>
      </w:tr>
      <w:tr>
        <w:tc>
          <w:tcPr>
            <w:tcW w:type="dxa" w:w="2160"/>
          </w:tcPr>
          <w:p>
            <w:pPr/>
            <w:r/>
            <w:r>
              <w:rPr>
                <w:rFonts w:ascii="Malgun Gothic" w:hAnsi="Malgun Gothic" w:eastAsia="맑은 고딕"/>
              </w:rPr>
              <w:t>National Securities Clearing Corporation(NSCC)</w:t>
            </w:r>
          </w:p>
        </w:tc>
        <w:tc>
          <w:tcPr>
            <w:tcW w:type="dxa" w:w="2160"/>
          </w:tcPr>
          <w:p>
            <w:pPr/>
            <w:r/>
            <w:r>
              <w:rPr>
                <w:rFonts w:ascii="Malgun Gothic" w:hAnsi="Malgun Gothic" w:eastAsia="맑은 고딕"/>
              </w:rPr>
              <w:t>CCP(주식)</w:t>
            </w:r>
          </w:p>
        </w:tc>
        <w:tc>
          <w:tcPr>
            <w:tcW w:type="dxa" w:w="2160"/>
          </w:tcPr>
          <w:p>
            <w:pPr/>
            <w:r/>
            <w:r>
              <w:rPr>
                <w:rFonts w:ascii="Malgun Gothic" w:hAnsi="Malgun Gothic" w:eastAsia="맑은 고딕"/>
              </w:rPr>
              <w:t>SEC</w:t>
            </w:r>
          </w:p>
        </w:tc>
        <w:tc>
          <w:tcPr>
            <w:tcW w:type="dxa" w:w="2160"/>
          </w:tcPr>
          <w:p>
            <w:pPr/>
            <w:r/>
            <w:r>
              <w:rPr>
                <w:rFonts w:ascii="Malgun Gothic" w:hAnsi="Malgun Gothic" w:eastAsia="맑은 고딕"/>
              </w:rPr>
              <w:t>DTCC</w:t>
            </w:r>
          </w:p>
        </w:tc>
      </w:tr>
      <w:tr>
        <w:tc>
          <w:tcPr>
            <w:tcW w:type="dxa" w:w="2160"/>
          </w:tcPr>
          <w:p>
            <w:pPr/>
            <w:r/>
            <w:r>
              <w:rPr>
                <w:rFonts w:ascii="Malgun Gothic" w:hAnsi="Malgun Gothic" w:eastAsia="맑은 고딕"/>
              </w:rPr>
              <w:t>Fixed Income Clearing Corporation(FICC)</w:t>
            </w:r>
          </w:p>
        </w:tc>
        <w:tc>
          <w:tcPr>
            <w:tcW w:type="dxa" w:w="2160"/>
          </w:tcPr>
          <w:p>
            <w:pPr/>
            <w:r/>
            <w:r>
              <w:rPr>
                <w:rFonts w:ascii="Malgun Gothic" w:hAnsi="Malgun Gothic" w:eastAsia="맑은 고딕"/>
              </w:rPr>
              <w:t>CCP(채권)</w:t>
            </w:r>
          </w:p>
        </w:tc>
        <w:tc>
          <w:tcPr>
            <w:tcW w:type="dxa" w:w="2160"/>
          </w:tcPr>
          <w:p>
            <w:pPr/>
            <w:r/>
            <w:r>
              <w:rPr>
                <w:rFonts w:ascii="Malgun Gothic" w:hAnsi="Malgun Gothic" w:eastAsia="맑은 고딕"/>
              </w:rPr>
              <w:t>SEC</w:t>
            </w:r>
          </w:p>
        </w:tc>
        <w:tc>
          <w:tcPr>
            <w:tcW w:type="dxa" w:w="2160"/>
          </w:tcPr>
          <w:p>
            <w:pPr/>
            <w:r/>
            <w:r>
              <w:rPr>
                <w:rFonts w:ascii="Malgun Gothic" w:hAnsi="Malgun Gothic" w:eastAsia="맑은 고딕"/>
              </w:rPr>
              <w:t>DTCC</w:t>
            </w:r>
          </w:p>
        </w:tc>
      </w:tr>
      <w:tr>
        <w:tc>
          <w:tcPr>
            <w:tcW w:type="dxa" w:w="2160"/>
          </w:tcPr>
          <w:p>
            <w:pPr/>
            <w:r/>
            <w:r>
              <w:rPr>
                <w:rFonts w:ascii="Malgun Gothic" w:hAnsi="Malgun Gothic" w:eastAsia="맑은 고딕"/>
              </w:rPr>
              <w:t>The Options Clearing Corporation(OCC)</w:t>
            </w:r>
          </w:p>
        </w:tc>
        <w:tc>
          <w:tcPr>
            <w:tcW w:type="dxa" w:w="2160"/>
          </w:tcPr>
          <w:p>
            <w:pPr/>
            <w:r/>
            <w:r>
              <w:rPr>
                <w:rFonts w:ascii="Malgun Gothic" w:hAnsi="Malgun Gothic" w:eastAsia="맑은 고딕"/>
              </w:rPr>
              <w:t>CCP(옵션)</w:t>
            </w:r>
          </w:p>
        </w:tc>
        <w:tc>
          <w:tcPr>
            <w:tcW w:type="dxa" w:w="2160"/>
          </w:tcPr>
          <w:p>
            <w:pPr/>
            <w:r/>
            <w:r>
              <w:rPr>
                <w:rFonts w:ascii="Malgun Gothic" w:hAnsi="Malgun Gothic" w:eastAsia="맑은 고딕"/>
              </w:rPr>
              <w:t>SEC / CFTC(공동)</w:t>
            </w:r>
          </w:p>
        </w:tc>
        <w:tc>
          <w:tcPr>
            <w:tcW w:type="dxa" w:w="2160"/>
          </w:tcPr>
          <w:p>
            <w:pPr/>
            <w:r/>
            <w:r>
              <w:rPr>
                <w:rFonts w:ascii="Malgun Gothic" w:hAnsi="Malgun Gothic" w:eastAsia="맑은 고딕"/>
              </w:rPr>
              <w:t>독립(사용자 소유)</w:t>
            </w:r>
          </w:p>
        </w:tc>
      </w:tr>
    </w:tbl>
    <w:p/>
    <w:p>
      <w:r>
        <w:rPr>
          <w:rFonts w:ascii="Malgun Gothic" w:hAnsi="Malgun Gothic" w:eastAsia="맑은 고딕"/>
        </w:rPr>
        <w:t>[Source: U.S. Treasury, FSOC Designations page, accessed 2026-04-07; Dodd-Frank Act, Title VIII, Section 804; Federal Reserve Board, "Designated Financial Market Utilities," accessed 2026-04-07]</w:t>
      </w:r>
    </w:p>
    <w:p>
      <w:pPr>
        <w:pBdr>
          <w:bottom w:val="single" w:sz="4" w:space="1" w:color="auto"/>
        </w:pBdr>
      </w:pPr>
    </w:p>
    <w:p>
      <w:pPr>
        <w:pStyle w:val="Heading2"/>
      </w:pPr>
      <w:r>
        <w:rPr>
          <w:rFonts w:ascii="Malgun Gothic" w:hAnsi="Malgun Gothic" w:eastAsia="맑은 고딕"/>
        </w:rPr>
        <w:t>2. 주요 법률 및 규정 (Key Legislation &amp; Regulations)</w:t>
      </w:r>
    </w:p>
    <w:p>
      <w:pPr>
        <w:pStyle w:val="Heading3"/>
      </w:pPr>
      <w:r>
        <w:rPr>
          <w:rFonts w:ascii="Malgun Gothic" w:hAnsi="Malgun Gothic" w:eastAsia="맑은 고딕"/>
        </w:rPr>
        <w:t>2.1 Dodd-Frank Wall Street Reform and Consumer Protection Act (도드-프랭크 월가 개혁 및 소비자 보호법, 2010)</w:t>
      </w:r>
    </w:p>
    <w:p>
      <w:r>
        <w:rPr>
          <w:rFonts w:ascii="Malgun Gothic" w:hAnsi="Malgun Gothic" w:eastAsia="맑은 고딕"/>
        </w:rPr>
        <w:t>Dodd-Frank Act (도드-프랭크법)는 2008년 금융위기에 대응하여 제정된, 1930년대 이후 가장 중요한 금융규제 법률이다. 청산 및 결제와 직접 관련되는 두 개의 Title이 있다.</w:t>
      </w:r>
    </w:p>
    <w:p>
      <w:pPr>
        <w:pStyle w:val="Heading3"/>
      </w:pPr>
      <w:r>
        <w:rPr>
          <w:rFonts w:ascii="Malgun Gothic" w:hAnsi="Malgun Gothic" w:eastAsia="맑은 고딕"/>
        </w:rPr>
        <w:t>Title VII -- 월가 투명성 및 책임 (Wall Street Transparency and Accountability, OTC 파생상품 개혁)</w:t>
      </w:r>
    </w:p>
    <w:p>
      <w:r>
        <w:rPr>
          <w:rFonts w:ascii="Malgun Gothic" w:hAnsi="Malgun Gothic" w:eastAsia="맑은 고딕"/>
        </w:rPr>
        <w:t>Title VII는 중앙청산 의무화, 규제된 플랫폼에서의 거래 체결, 거래정보저장소에 대한 보고를 의무화함으로써 장외파생상품 시장을 근본적으로 개혁하였다.</w:t>
      </w:r>
    </w:p>
    <w:p>
      <w:r>
        <w:rPr>
          <w:rFonts w:ascii="Malgun Gothic" w:hAnsi="Malgun Gothic" w:eastAsia="맑은 고딕"/>
          <w:b/>
        </w:rPr>
        <w:t>청산 관련 주요 조항:</w:t>
      </w:r>
    </w:p>
    <w:p>
      <w:pPr>
        <w:pStyle w:val="ListBullet"/>
      </w:pPr>
      <w:r>
        <w:rPr>
          <w:rFonts w:ascii="Malgun Gothic" w:hAnsi="Malgun Gothic" w:eastAsia="맑은 고딕"/>
          <w:b/>
        </w:rPr>
        <w:t>청산의무(Clearing Mandate)(CEA Section 2(h) / Exchange Act Section 3C):</w:t>
      </w:r>
      <w:r>
        <w:rPr>
          <w:rFonts w:ascii="Malgun Gothic" w:hAnsi="Malgun Gothic" w:eastAsia="맑은 고딕"/>
        </w:rPr>
        <w:t xml:space="preserve"> 표준화된 스왑 및 증권기반 스왑은 각각 등록된 DCO 또는 청산기관을 통해 중앙청산하여야 한다. CFTC와 SEC가 의무 청산 대상 상품을 결정한다.</w:t>
      </w:r>
    </w:p>
    <w:p>
      <w:pPr>
        <w:pStyle w:val="ListBullet"/>
      </w:pPr>
      <w:r>
        <w:rPr>
          <w:rFonts w:ascii="Malgun Gothic" w:hAnsi="Malgun Gothic" w:eastAsia="맑은 고딕"/>
        </w:rPr>
        <w:t>CFTC는 특정 금리스왑(USD, EUR, GBP, JPY 고정-변동) 및 인덱스 CDS(CDX.NA.IG, CDX.NA.HY, iTraxx Europe, iTraxx Europe Crossover)에 대한 청산을 의무화하였다</w:t>
      </w:r>
    </w:p>
    <w:p>
      <w:pPr>
        <w:pStyle w:val="ListBullet"/>
      </w:pPr>
      <w:r>
        <w:rPr>
          <w:rFonts w:ascii="Malgun Gothic" w:hAnsi="Malgun Gothic" w:eastAsia="맑은 고딕"/>
        </w:rPr>
        <w:t>SEC는 2026년 초 기준으로 아직 증권기반 스왑에 대한 청산을 의무화하지 않았다 [unverified]</w:t>
      </w:r>
    </w:p>
    <w:p>
      <w:pPr>
        <w:pStyle w:val="ListBullet"/>
      </w:pPr>
      <w:r>
        <w:rPr>
          <w:rFonts w:ascii="Malgun Gothic" w:hAnsi="Malgun Gothic" w:eastAsia="맑은 고딕"/>
          <w:b/>
        </w:rPr>
        <w:t>최종사용자 면제(End-User Exception):</w:t>
      </w:r>
      <w:r>
        <w:rPr>
          <w:rFonts w:ascii="Malgun Gothic" w:hAnsi="Malgun Gothic" w:eastAsia="맑은 고딕"/>
        </w:rPr>
        <w:t xml:space="preserve"> 상업적 리스크를 헤징하는 비금융 기업은 보고 의무를 조건으로 청산을 선택하지 않을 수 있다</w:t>
      </w:r>
    </w:p>
    <w:p>
      <w:pPr>
        <w:pStyle w:val="ListBullet"/>
      </w:pPr>
      <w:r>
        <w:rPr>
          <w:rFonts w:ascii="Malgun Gothic" w:hAnsi="Malgun Gothic" w:eastAsia="맑은 고딕"/>
          <w:b/>
        </w:rPr>
        <w:t>스왑딜러/주요 스왑 참가자 등록:</w:t>
      </w:r>
      <w:r>
        <w:rPr>
          <w:rFonts w:ascii="Malgun Gothic" w:hAnsi="Malgun Gothic" w:eastAsia="맑은 고딕"/>
        </w:rPr>
        <w:t xml:space="preserve"> 일정 기준을 충족하는 기관은 CFTC(스왑) 또는 SEC(SBS)에 등록하여야 하며, 이로 인해 자본, 증거금, 영업행위, 보고 요건의 적용을 받게 된다</w:t>
      </w:r>
    </w:p>
    <w:p>
      <w:pPr>
        <w:pStyle w:val="ListBullet"/>
      </w:pPr>
      <w:r>
        <w:rPr>
          <w:rFonts w:ascii="Malgun Gothic" w:hAnsi="Malgun Gothic" w:eastAsia="맑은 고딕"/>
          <w:b/>
        </w:rPr>
        <w:t>거래 체결 요건(Trade Execution Requirement):</w:t>
      </w:r>
      <w:r>
        <w:rPr>
          <w:rFonts w:ascii="Malgun Gothic" w:hAnsi="Malgun Gothic" w:eastAsia="맑은 고딕"/>
        </w:rPr>
        <w:t xml:space="preserve"> 청산의무 대상 스왑은 designated contract market(DCM) 또는 swap execution facility(SEF)에서 체결하여야 한다</w:t>
      </w:r>
    </w:p>
    <w:p>
      <w:pPr>
        <w:pStyle w:val="ListBullet"/>
      </w:pPr>
      <w:r>
        <w:rPr>
          <w:rFonts w:ascii="Malgun Gothic" w:hAnsi="Malgun Gothic" w:eastAsia="맑은 고딕"/>
          <w:b/>
        </w:rPr>
        <w:t>보고 요건(Reporting Requirements):</w:t>
      </w:r>
      <w:r>
        <w:rPr>
          <w:rFonts w:ascii="Malgun Gothic" w:hAnsi="Malgun Gothic" w:eastAsia="맑은 고딕"/>
        </w:rPr>
        <w:t xml:space="preserve"> 모든 스왑(청산·비청산 모두)은 CFTC 또는 SEC에 등록된 swap data repository(SDR, 스왑데이터저장소)에 보고하여야 한다</w:t>
      </w:r>
    </w:p>
    <w:p>
      <w:r>
        <w:rPr>
          <w:rFonts w:ascii="Malgun Gothic" w:hAnsi="Malgun Gothic" w:eastAsia="맑은 고딕"/>
        </w:rPr>
        <w:t>[Source: Dodd-Frank Act, Title VII; CFTC, "Clearing Requirement," accessed 2026-04-07]</w:t>
      </w:r>
    </w:p>
    <w:p>
      <w:pPr>
        <w:pStyle w:val="Heading3"/>
      </w:pPr>
      <w:r>
        <w:rPr>
          <w:rFonts w:ascii="Malgun Gothic" w:hAnsi="Malgun Gothic" w:eastAsia="맑은 고딕"/>
        </w:rPr>
        <w:t>Title VIII -- 결제, 청산 및 결제 감독 (Payment, Clearing, and Settlement Supervision)</w:t>
      </w:r>
    </w:p>
    <w:p>
      <w:r>
        <w:rPr>
          <w:rFonts w:ascii="Malgun Gothic" w:hAnsi="Malgun Gothic" w:eastAsia="맑은 고딕"/>
        </w:rPr>
        <w:t>Title VIII는 시스템적으로 중요한 FMU에 대한 강화된 규제 및 감독 체계를 수립한다.</w:t>
      </w:r>
    </w:p>
    <w:p>
      <w:r>
        <w:rPr>
          <w:rFonts w:ascii="Malgun Gothic" w:hAnsi="Malgun Gothic" w:eastAsia="맑은 고딕"/>
          <w:b/>
        </w:rPr>
        <w:t>주요 조항:</w:t>
      </w:r>
    </w:p>
    <w:p>
      <w:pPr>
        <w:pStyle w:val="ListBullet"/>
      </w:pPr>
      <w:r>
        <w:rPr>
          <w:rFonts w:ascii="Malgun Gothic" w:hAnsi="Malgun Gothic" w:eastAsia="맑은 고딕"/>
          <w:b/>
        </w:rPr>
        <w:t>SIFMU 지정(Section 804):</w:t>
      </w:r>
      <w:r>
        <w:rPr>
          <w:rFonts w:ascii="Malgun Gothic" w:hAnsi="Malgun Gothic" w:eastAsia="맑은 고딕"/>
        </w:rPr>
        <w:t xml:space="preserve"> FSOC는 FMU를 시스템적으로 중요한 것으로 지정할 수 있다(현재 8개 지정 SIFMU 목록은 1.4절 참조)</w:t>
      </w:r>
    </w:p>
    <w:p>
      <w:pPr>
        <w:pStyle w:val="ListBullet"/>
      </w:pPr>
      <w:r>
        <w:rPr>
          <w:rFonts w:ascii="Malgun Gothic" w:hAnsi="Malgun Gothic" w:eastAsia="맑은 고딕"/>
          <w:b/>
        </w:rPr>
        <w:t>리스크 관리 기준(Section 805):</w:t>
      </w:r>
      <w:r>
        <w:rPr>
          <w:rFonts w:ascii="Malgun Gothic" w:hAnsi="Malgun Gothic" w:eastAsia="맑은 고딕"/>
        </w:rPr>
        <w:t xml:space="preserve"> 적절한 감독기관(SEC, CFTC 또는 Federal Reserve)이 다음에 관한 리스크 관리 기준을 제정할 수 있다:</w:t>
      </w:r>
    </w:p>
    <w:p>
      <w:pPr>
        <w:pStyle w:val="ListBullet"/>
      </w:pPr>
      <w:r>
        <w:rPr>
          <w:rFonts w:ascii="Malgun Gothic" w:hAnsi="Malgun Gothic" w:eastAsia="맑은 고딕"/>
        </w:rPr>
        <w:t>지정 FMU의 운영</w:t>
      </w:r>
    </w:p>
    <w:p>
      <w:pPr>
        <w:pStyle w:val="ListBullet"/>
      </w:pPr>
      <w:r>
        <w:rPr>
          <w:rFonts w:ascii="Malgun Gothic" w:hAnsi="Malgun Gothic" w:eastAsia="맑은 고딕"/>
        </w:rPr>
        <w:t>금융기관의 지정 활동 수행</w:t>
      </w:r>
    </w:p>
    <w:p>
      <w:pPr>
        <w:pStyle w:val="ListBullet"/>
      </w:pPr>
      <w:r>
        <w:rPr>
          <w:rFonts w:ascii="Malgun Gothic" w:hAnsi="Malgun Gothic" w:eastAsia="맑은 고딕"/>
        </w:rPr>
        <w:t>기준은 건전한 리스크 관리 촉진, 안전성 및 건전성 강화, 시스템 리스크 감소, 광범위한 금융시스템 안정성 지원을 목적으로 설계되어야 한다</w:t>
      </w:r>
    </w:p>
    <w:p>
      <w:pPr>
        <w:pStyle w:val="ListBullet"/>
      </w:pPr>
      <w:r>
        <w:rPr>
          <w:rFonts w:ascii="Malgun Gothic" w:hAnsi="Malgun Gothic" w:eastAsia="맑은 고딕"/>
          <w:b/>
        </w:rPr>
        <w:t>SIFMU에 대한 Federal Reserve 권한(Section 806):</w:t>
      </w:r>
    </w:p>
    <w:p>
      <w:pPr>
        <w:pStyle w:val="ListBullet"/>
      </w:pPr>
      <w:r>
        <w:rPr>
          <w:rFonts w:ascii="Malgun Gothic" w:hAnsi="Malgun Gothic" w:eastAsia="맑은 고딕"/>
        </w:rPr>
        <w:t>검사 권한(감독기관과 협의)</w:t>
      </w:r>
    </w:p>
    <w:p>
      <w:pPr>
        <w:pStyle w:val="ListBullet"/>
      </w:pPr>
      <w:r>
        <w:rPr>
          <w:rFonts w:ascii="Malgun Gothic" w:hAnsi="Malgun Gothic" w:eastAsia="맑은 고딕"/>
        </w:rPr>
        <w:t>규칙, 절차, 운영의 중대한 변경에 대한 사전 통지를 요구하는 규정 제정 가능</w:t>
      </w:r>
    </w:p>
    <w:p>
      <w:pPr>
        <w:pStyle w:val="ListBullet"/>
      </w:pPr>
      <w:r>
        <w:rPr>
          <w:rFonts w:ascii="Malgun Gothic" w:hAnsi="Malgun Gothic" w:eastAsia="맑은 고딕"/>
        </w:rPr>
        <w:t>이례적이거나 긴급한 상황에서 지정 FMU에 Federal Reserve 계좌 서비스 및 할인창구 접근 제공 권한</w:t>
      </w:r>
    </w:p>
    <w:p>
      <w:pPr>
        <w:pStyle w:val="ListBullet"/>
      </w:pPr>
      <w:r>
        <w:rPr>
          <w:rFonts w:ascii="Malgun Gothic" w:hAnsi="Malgun Gothic" w:eastAsia="맑은 고딕"/>
          <w:b/>
        </w:rPr>
        <w:t>강화된 집행(Section 807):</w:t>
      </w:r>
      <w:r>
        <w:rPr>
          <w:rFonts w:ascii="Malgun Gothic" w:hAnsi="Malgun Gothic" w:eastAsia="맑은 고딕"/>
        </w:rPr>
        <w:t xml:space="preserve"> 중지명령(cease-and-desist order) 발부 능력을 포함한 강화된 집행 권한</w:t>
      </w:r>
    </w:p>
    <w:p>
      <w:pPr>
        <w:pStyle w:val="ListBullet"/>
      </w:pPr>
      <w:r>
        <w:rPr>
          <w:rFonts w:ascii="Malgun Gothic" w:hAnsi="Malgun Gothic" w:eastAsia="맑은 고딕"/>
          <w:b/>
        </w:rPr>
        <w:t>기준 검토(Section 810):</w:t>
      </w:r>
      <w:r>
        <w:rPr>
          <w:rFonts w:ascii="Malgun Gothic" w:hAnsi="Malgun Gothic" w:eastAsia="맑은 고딕"/>
        </w:rPr>
        <w:t xml:space="preserve"> 감독기관은 5년마다 SIFMU 기준을 검토하여야 한다</w:t>
      </w:r>
    </w:p>
    <w:p>
      <w:r>
        <w:rPr>
          <w:rFonts w:ascii="Malgun Gothic" w:hAnsi="Malgun Gothic" w:eastAsia="맑은 고딕"/>
        </w:rPr>
        <w:t>[Source: Dodd-Frank Act, Title VIII, Sections 803-813; Cornell Law Institute, "Dodd-Frank: Title VIII," accessed 2026-04-07]</w:t>
      </w:r>
    </w:p>
    <w:p>
      <w:pPr>
        <w:pStyle w:val="Heading3"/>
      </w:pPr>
      <w:r>
        <w:rPr>
          <w:rFonts w:ascii="Malgun Gothic" w:hAnsi="Malgun Gothic" w:eastAsia="맑은 고딕"/>
        </w:rPr>
        <w:t>2.2 Securities Exchange Act of 1934 (1934년 증권거래법)</w:t>
      </w:r>
    </w:p>
    <w:p>
      <w:pPr>
        <w:pStyle w:val="Heading3"/>
      </w:pPr>
      <w:r>
        <w:rPr>
          <w:rFonts w:ascii="Malgun Gothic" w:hAnsi="Malgun Gothic" w:eastAsia="맑은 고딕"/>
        </w:rPr>
        <w:t>Section 17A -- 청산 및 결제를 위한 국가 시스템 (National System for Clearance and Settlement)</w:t>
      </w:r>
    </w:p>
    <w:p>
      <w:r>
        <w:rPr>
          <w:rFonts w:ascii="Malgun Gothic" w:hAnsi="Malgun Gothic" w:eastAsia="맑은 고딕"/>
        </w:rPr>
        <w:t xml:space="preserve">Section 17A는 SEC의 청산기관 규제에 대한 </w:t>
      </w:r>
      <w:r>
        <w:rPr>
          <w:rFonts w:ascii="Malgun Gothic" w:hAnsi="Malgun Gothic" w:eastAsia="맑은 고딕"/>
          <w:b/>
        </w:rPr>
        <w:t>기본적 법적 권한</w:t>
      </w:r>
      <w:r>
        <w:rPr>
          <w:rFonts w:ascii="Malgun Gothic" w:hAnsi="Malgun Gothic" w:eastAsia="맑은 고딕"/>
        </w:rPr>
        <w:t>이다. 1975년 Securities Acts Amendments(증권법 개정)의 일부로 제정되었으며, SEC에 증권거래의 신속하고 정확한 청산 및 결제를 위한 국가 시스템의 수립을 촉진하도록 지시한다.</w:t>
      </w:r>
    </w:p>
    <w:p>
      <w:r>
        <w:rPr>
          <w:rFonts w:ascii="Malgun Gothic" w:hAnsi="Malgun Gothic" w:eastAsia="맑은 고딕"/>
          <w:b/>
        </w:rPr>
        <w:t>주요 요소:</w:t>
      </w:r>
    </w:p>
    <w:p>
      <w:pPr>
        <w:pStyle w:val="ListBullet"/>
      </w:pPr>
      <w:r>
        <w:rPr>
          <w:rFonts w:ascii="Malgun Gothic" w:hAnsi="Malgun Gothic" w:eastAsia="맑은 고딕"/>
          <w:b/>
        </w:rPr>
        <w:t>등록 요건:</w:t>
      </w:r>
      <w:r>
        <w:rPr>
          <w:rFonts w:ascii="Malgun Gothic" w:hAnsi="Malgun Gothic" w:eastAsia="맑은 고딕"/>
        </w:rPr>
        <w:t xml:space="preserve"> 어떠한 청산기관도 SEC에 등록(또는 면제)되지 않으면 청산기관의 기능을 수행할 수 없다</w:t>
      </w:r>
    </w:p>
    <w:p>
      <w:pPr>
        <w:pStyle w:val="ListBullet"/>
      </w:pPr>
      <w:r>
        <w:rPr>
          <w:rFonts w:ascii="Malgun Gothic" w:hAnsi="Malgun Gothic" w:eastAsia="맑은 고딕"/>
          <w:b/>
        </w:rPr>
        <w:t>등록 기준:</w:t>
      </w:r>
      <w:r>
        <w:rPr>
          <w:rFonts w:ascii="Malgun Gothic" w:hAnsi="Malgun Gothic" w:eastAsia="맑은 고딕"/>
        </w:rPr>
        <w:t xml:space="preserve"> 청산기관은 다음을 위해 조직되어 능력을 갖추어야 한다:</w:t>
      </w:r>
    </w:p>
    <w:p>
      <w:pPr>
        <w:pStyle w:val="ListBullet"/>
      </w:pPr>
      <w:r>
        <w:rPr>
          <w:rFonts w:ascii="Malgun Gothic" w:hAnsi="Malgun Gothic" w:eastAsia="맑은 고딕"/>
        </w:rPr>
        <w:t>증권거래의 신속하고 정확한 청산 및 결제 촉진</w:t>
      </w:r>
    </w:p>
    <w:p>
      <w:pPr>
        <w:pStyle w:val="ListBullet"/>
      </w:pPr>
      <w:r>
        <w:rPr>
          <w:rFonts w:ascii="Malgun Gothic" w:hAnsi="Malgun Gothic" w:eastAsia="맑은 고딕"/>
        </w:rPr>
        <w:t>보관 또는 통제하는 증권 및 자금의 안전 보호</w:t>
      </w:r>
    </w:p>
    <w:p>
      <w:pPr>
        <w:pStyle w:val="ListBullet"/>
      </w:pPr>
      <w:r>
        <w:rPr>
          <w:rFonts w:ascii="Malgun Gothic" w:hAnsi="Malgun Gothic" w:eastAsia="맑은 고딕"/>
        </w:rPr>
        <w:t>증권거래법 조항 및 SEC 규칙 준수</w:t>
      </w:r>
    </w:p>
    <w:p>
      <w:pPr>
        <w:pStyle w:val="ListBullet"/>
      </w:pPr>
      <w:r>
        <w:rPr>
          <w:rFonts w:ascii="Malgun Gothic" w:hAnsi="Malgun Gothic" w:eastAsia="맑은 고딕"/>
          <w:b/>
        </w:rPr>
        <w:t>SRO 지위:</w:t>
      </w:r>
      <w:r>
        <w:rPr>
          <w:rFonts w:ascii="Malgun Gothic" w:hAnsi="Malgun Gothic" w:eastAsia="맑은 고딕"/>
        </w:rPr>
        <w:t xml:space="preserve"> 등록된 청산기관은 자율규제기관(SRO)으로 취급되며, SEC에 규칙 변경 제안을 제출하여 승인을 받아야 한다</w:t>
      </w:r>
    </w:p>
    <w:p>
      <w:pPr>
        <w:pStyle w:val="ListBullet"/>
      </w:pPr>
      <w:r>
        <w:rPr>
          <w:rFonts w:ascii="Malgun Gothic" w:hAnsi="Malgun Gothic" w:eastAsia="맑은 고딕"/>
          <w:b/>
        </w:rPr>
        <w:t>공정한 접근:</w:t>
      </w:r>
      <w:r>
        <w:rPr>
          <w:rFonts w:ascii="Malgun Gothic" w:hAnsi="Malgun Gothic" w:eastAsia="맑은 고딕"/>
        </w:rPr>
        <w:t xml:space="preserve"> 청산기관은 서비스에 대한 접근을 부당하게 금지하거나 제한하여서는 안 된다</w:t>
      </w:r>
    </w:p>
    <w:p>
      <w:pPr>
        <w:pStyle w:val="ListBullet"/>
      </w:pPr>
      <w:r>
        <w:rPr>
          <w:rFonts w:ascii="Malgun Gothic" w:hAnsi="Malgun Gothic" w:eastAsia="맑은 고딕"/>
          <w:b/>
        </w:rPr>
        <w:t>적법 절차:</w:t>
      </w:r>
      <w:r>
        <w:rPr>
          <w:rFonts w:ascii="Malgun Gothic" w:hAnsi="Malgun Gothic" w:eastAsia="맑은 고딕"/>
        </w:rPr>
        <w:t xml:space="preserve"> 청산기관은 징계 조치 및 접근 거부에 대해 공정한 절차를 제공하여야 한다</w:t>
      </w:r>
    </w:p>
    <w:p>
      <w:r>
        <w:rPr>
          <w:rFonts w:ascii="Malgun Gothic" w:hAnsi="Malgun Gothic" w:eastAsia="맑은 고딕"/>
        </w:rPr>
        <w:t>[Source: Securities Exchange Act of 1934, Section 17A, 15 U.S.C. Section 78q-1]</w:t>
      </w:r>
    </w:p>
    <w:p>
      <w:pPr>
        <w:pStyle w:val="Heading3"/>
      </w:pPr>
      <w:r>
        <w:rPr>
          <w:rFonts w:ascii="Malgun Gothic" w:hAnsi="Malgun Gothic" w:eastAsia="맑은 고딕"/>
        </w:rPr>
        <w:t>Rule 17Ad-22 -- 청산기관 기준 (Standards for Clearing Agencies)</w:t>
      </w:r>
    </w:p>
    <w:p>
      <w:r>
        <w:rPr>
          <w:rFonts w:ascii="Malgun Gothic" w:hAnsi="Malgun Gothic" w:eastAsia="맑은 고딕"/>
        </w:rPr>
        <w:t>Rule 17Ad-22는 등록된 청산기관에 대한 기준을 이행하는 SEC의 주요 규정이다. 2012년 최초 채택 이후 상당히 발전하였으며, 2016년에 SIFMU에 대한 PFMI (금융시장인프라에 관한 원칙) 정합 기준을 통합하기 위해 대폭 확대되었다.</w:t>
      </w:r>
    </w:p>
    <w:p>
      <w:r>
        <w:rPr>
          <w:rFonts w:ascii="Malgun Gothic" w:hAnsi="Malgun Gothic" w:eastAsia="맑은 고딕"/>
        </w:rPr>
        <w:t>[Source: SEC, Rule 17Ad-22, 17 CFR 240.17Ad-22; SEC Release No. 34-78961 (September 2016)]</w:t>
      </w:r>
    </w:p>
    <w:p>
      <w:pPr>
        <w:pStyle w:val="Heading3"/>
      </w:pPr>
      <w:r>
        <w:rPr>
          <w:rFonts w:ascii="Malgun Gothic" w:hAnsi="Malgun Gothic" w:eastAsia="맑은 고딕"/>
        </w:rPr>
        <w:t>2.3 SEC Rule 17Ad-22 (상세 분석) (Detailed Breakdown)</w:t>
      </w:r>
    </w:p>
    <w:p>
      <w:r>
        <w:rPr>
          <w:rFonts w:ascii="Malgun Gothic" w:hAnsi="Malgun Gothic" w:eastAsia="맑은 고딕"/>
        </w:rPr>
        <w:t>Rule 17Ad-22는 각각 상이한 적용 범위와 요건을 가진 복수의 Sub-Part로 구성된다:</w:t>
      </w:r>
    </w:p>
    <w:p>
      <w:pPr>
        <w:pStyle w:val="Heading3"/>
      </w:pPr>
      <w:r>
        <w:rPr>
          <w:rFonts w:ascii="Malgun Gothic" w:hAnsi="Malgun Gothic" w:eastAsia="맑은 고딕"/>
        </w:rPr>
        <w:t>Sub-Part B -- 일반 기준 (General Standards)(Rule 17Ad-22(b) 및 (c))</w:t>
      </w:r>
    </w:p>
    <w:p>
      <w:r>
        <w:rPr>
          <w:rFonts w:ascii="Malgun Gothic" w:hAnsi="Malgun Gothic" w:eastAsia="맑은 고딕"/>
          <w:b/>
        </w:rPr>
        <w:t>모든</w:t>
      </w:r>
      <w:r>
        <w:rPr>
          <w:rFonts w:ascii="Malgun Gothic" w:hAnsi="Malgun Gothic" w:eastAsia="맑은 고딕"/>
        </w:rPr>
        <w:t xml:space="preserve"> SEC 등록 청산기관에 적용된다. 2012년 최초 채택.</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기준</w:t>
            </w:r>
          </w:p>
        </w:tc>
        <w:tc>
          <w:tcPr>
            <w:tcW w:type="dxa" w:w="4320"/>
            <w:shd w:fill="4472C4" w:val="clear"/>
          </w:tcPr>
          <w:p>
            <w:pPr/>
            <w:r>
              <w:rPr>
                <w:b/>
                <w:color w:val="FFFFFF"/>
              </w:rPr>
            </w:r>
            <w:r>
              <w:rPr>
                <w:rFonts w:ascii="Malgun Gothic" w:hAnsi="Malgun Gothic" w:eastAsia="맑은 고딕"/>
                <w:b/>
                <w:color w:val="FFFFFF"/>
              </w:rPr>
              <w:t>요건</w:t>
            </w:r>
          </w:p>
        </w:tc>
      </w:tr>
      <w:tr>
        <w:tc>
          <w:tcPr>
            <w:tcW w:type="dxa" w:w="4320"/>
          </w:tcPr>
          <w:p>
            <w:pPr/>
            <w:r/>
            <w:r>
              <w:rPr>
                <w:rFonts w:ascii="Malgun Gothic" w:hAnsi="Malgun Gothic" w:eastAsia="맑은 고딕"/>
              </w:rPr>
              <w:t>(b)(1)</w:t>
            </w:r>
          </w:p>
        </w:tc>
        <w:tc>
          <w:tcPr>
            <w:tcW w:type="dxa" w:w="4320"/>
          </w:tcPr>
          <w:p>
            <w:pPr/>
            <w:r/>
            <w:r>
              <w:rPr>
                <w:rFonts w:ascii="Malgun Gothic" w:hAnsi="Malgun Gothic" w:eastAsia="맑은 고딕"/>
              </w:rPr>
              <w:t>참가자에 대한 신용 익스포저를 최소 일 1회 측정</w:t>
            </w:r>
          </w:p>
        </w:tc>
      </w:tr>
      <w:tr>
        <w:tc>
          <w:tcPr>
            <w:tcW w:type="dxa" w:w="4320"/>
          </w:tcPr>
          <w:p>
            <w:pPr/>
            <w:r/>
            <w:r>
              <w:rPr>
                <w:rFonts w:ascii="Malgun Gothic" w:hAnsi="Malgun Gothic" w:eastAsia="맑은 고딕"/>
              </w:rPr>
              <w:t>(b)(2)</w:t>
            </w:r>
          </w:p>
        </w:tc>
        <w:tc>
          <w:tcPr>
            <w:tcW w:type="dxa" w:w="4320"/>
          </w:tcPr>
          <w:p>
            <w:pPr/>
            <w:r/>
            <w:r>
              <w:rPr>
                <w:rFonts w:ascii="Malgun Gothic" w:hAnsi="Malgun Gothic" w:eastAsia="맑은 고딕"/>
              </w:rPr>
              <w:t>증거금(margin)을 사용하여 신용 익스포저를 제한; 일일 시가평가(mark-to-market)</w:t>
            </w:r>
          </w:p>
        </w:tc>
      </w:tr>
      <w:tr>
        <w:tc>
          <w:tcPr>
            <w:tcW w:type="dxa" w:w="4320"/>
          </w:tcPr>
          <w:p>
            <w:pPr/>
            <w:r/>
            <w:r>
              <w:rPr>
                <w:rFonts w:ascii="Malgun Gothic" w:hAnsi="Malgun Gothic" w:eastAsia="맑은 고딕"/>
              </w:rPr>
              <w:t>(b)(3)</w:t>
            </w:r>
          </w:p>
        </w:tc>
        <w:tc>
          <w:tcPr>
            <w:tcW w:type="dxa" w:w="4320"/>
          </w:tcPr>
          <w:p>
            <w:pPr/>
            <w:r/>
            <w:r>
              <w:rPr>
                <w:rFonts w:ascii="Malgun Gothic" w:hAnsi="Malgun Gothic" w:eastAsia="맑은 고딕"/>
              </w:rPr>
              <w:t>최대 익스포저를 보유한 참가자 그룹의 부도를 견딜 수 있는 충분한 재무자원 유지("Cover 1")</w:t>
            </w:r>
          </w:p>
        </w:tc>
      </w:tr>
      <w:tr>
        <w:tc>
          <w:tcPr>
            <w:tcW w:type="dxa" w:w="4320"/>
          </w:tcPr>
          <w:p>
            <w:pPr/>
            <w:r/>
            <w:r>
              <w:rPr>
                <w:rFonts w:ascii="Malgun Gothic" w:hAnsi="Malgun Gothic" w:eastAsia="맑은 고딕"/>
              </w:rPr>
              <w:t>(b)(4)</w:t>
            </w:r>
          </w:p>
        </w:tc>
        <w:tc>
          <w:tcPr>
            <w:tcW w:type="dxa" w:w="4320"/>
          </w:tcPr>
          <w:p>
            <w:pPr/>
            <w:r/>
            <w:r>
              <w:rPr>
                <w:rFonts w:ascii="Malgun Gothic" w:hAnsi="Malgun Gothic" w:eastAsia="맑은 고딕"/>
              </w:rPr>
              <w:t>증거금 시스템의 연간 모델 검증</w:t>
            </w:r>
          </w:p>
        </w:tc>
      </w:tr>
      <w:tr>
        <w:tc>
          <w:tcPr>
            <w:tcW w:type="dxa" w:w="4320"/>
          </w:tcPr>
          <w:p>
            <w:pPr/>
            <w:r/>
            <w:r>
              <w:rPr>
                <w:rFonts w:ascii="Malgun Gothic" w:hAnsi="Malgun Gothic" w:eastAsia="맑은 고딕"/>
              </w:rPr>
              <w:t>(b)(5)</w:t>
            </w:r>
          </w:p>
        </w:tc>
        <w:tc>
          <w:tcPr>
            <w:tcW w:type="dxa" w:w="4320"/>
          </w:tcPr>
          <w:p>
            <w:pPr/>
            <w:r/>
            <w:r>
              <w:rPr>
                <w:rFonts w:ascii="Malgun Gothic" w:hAnsi="Malgun Gothic" w:eastAsia="맑은 고딕"/>
              </w:rPr>
              <w:t>참가자 자산의 투자를 신용, 시장 및 유동성 리스크가 최소인 금융상품으로 제한</w:t>
            </w:r>
          </w:p>
        </w:tc>
      </w:tr>
      <w:tr>
        <w:tc>
          <w:tcPr>
            <w:tcW w:type="dxa" w:w="4320"/>
          </w:tcPr>
          <w:p>
            <w:pPr/>
            <w:r/>
            <w:r>
              <w:rPr>
                <w:rFonts w:ascii="Malgun Gothic" w:hAnsi="Malgun Gothic" w:eastAsia="맑은 고딕"/>
              </w:rPr>
              <w:t>(b)(6)</w:t>
            </w:r>
          </w:p>
        </w:tc>
        <w:tc>
          <w:tcPr>
            <w:tcW w:type="dxa" w:w="4320"/>
          </w:tcPr>
          <w:p>
            <w:pPr/>
            <w:r/>
            <w:r>
              <w:rPr>
                <w:rFonts w:ascii="Malgun Gothic" w:hAnsi="Malgun Gothic" w:eastAsia="맑은 고딕"/>
              </w:rPr>
              <w:t>부도 참가자의 포지션 질서 있는 청산을 포함한 부도 처리 절차 수립</w:t>
            </w:r>
          </w:p>
        </w:tc>
      </w:tr>
      <w:tr>
        <w:tc>
          <w:tcPr>
            <w:tcW w:type="dxa" w:w="4320"/>
          </w:tcPr>
          <w:p>
            <w:pPr/>
            <w:r/>
            <w:r>
              <w:rPr>
                <w:rFonts w:ascii="Malgun Gothic" w:hAnsi="Malgun Gothic" w:eastAsia="맑은 고딕"/>
              </w:rPr>
              <w:t>(b)(7)</w:t>
            </w:r>
          </w:p>
        </w:tc>
        <w:tc>
          <w:tcPr>
            <w:tcW w:type="dxa" w:w="4320"/>
          </w:tcPr>
          <w:p>
            <w:pPr/>
            <w:r/>
            <w:r>
              <w:rPr>
                <w:rFonts w:ascii="Malgun Gothic" w:hAnsi="Malgun Gothic" w:eastAsia="맑은 고딕"/>
              </w:rPr>
              <w:t>결제완결성(settlement finality) -- 결제일 종료 이전에 결제 의무 이행 보장, 필요시 당일 또는 실시간</w:t>
            </w:r>
          </w:p>
        </w:tc>
      </w:tr>
      <w:tr>
        <w:tc>
          <w:tcPr>
            <w:tcW w:type="dxa" w:w="4320"/>
          </w:tcPr>
          <w:p>
            <w:pPr/>
            <w:r/>
            <w:r>
              <w:rPr>
                <w:rFonts w:ascii="Malgun Gothic" w:hAnsi="Malgun Gothic" w:eastAsia="맑은 고딕"/>
              </w:rPr>
              <w:t>(c)</w:t>
            </w:r>
          </w:p>
        </w:tc>
        <w:tc>
          <w:tcPr>
            <w:tcW w:type="dxa" w:w="4320"/>
          </w:tcPr>
          <w:p>
            <w:pPr/>
            <w:r/>
            <w:r>
              <w:rPr>
                <w:rFonts w:ascii="Malgun Gothic" w:hAnsi="Malgun Gothic" w:eastAsia="맑은 고딕"/>
              </w:rPr>
              <w:t>투명한 지배구조 및 이사 및 경영진의 적격성 요건을 포함한 지배구조 기준</w:t>
            </w:r>
          </w:p>
        </w:tc>
      </w:tr>
    </w:tbl>
    <w:p/>
    <w:p>
      <w:pPr>
        <w:pStyle w:val="Heading3"/>
      </w:pPr>
      <w:r>
        <w:rPr>
          <w:rFonts w:ascii="Malgun Gothic" w:hAnsi="Malgun Gothic" w:eastAsia="맑은 고딕"/>
        </w:rPr>
        <w:t>Sub-Part C -- 적용대상 청산기관에 대한 강화 기준 (Enhanced Standards for Covered Clearing Agencies)(Rule 17Ad-22(e))</w:t>
      </w:r>
    </w:p>
    <w:p>
      <w:r>
        <w:rPr>
          <w:rFonts w:ascii="Malgun Gothic" w:hAnsi="Malgun Gothic" w:eastAsia="맑은 고딕"/>
          <w:b/>
        </w:rPr>
        <w:t>적용대상 청산기관(covered clearing agencies)</w:t>
      </w:r>
      <w:r>
        <w:rPr>
          <w:rFonts w:ascii="Malgun Gothic" w:hAnsi="Malgun Gothic" w:eastAsia="맑은 고딕"/>
        </w:rPr>
        <w:t>에 적용된다. 적용대상 청산기관은 Title VIII에 따라 SIFMU로 지정된 청산기관, 증권기반 스왑에 대한 CCP 서비스를 제공하는 청산기관, 또는 SEC가 보다 복잡한 리스크 프로필을 가진다고 결정한 청산기관으로 정의된다. 2016년 9월 채택, 2017년 4월 시행.</w:t>
      </w:r>
    </w:p>
    <w:p>
      <w:r>
        <w:rPr>
          <w:rFonts w:ascii="Malgun Gothic" w:hAnsi="Malgun Gothic" w:eastAsia="맑은 고딕"/>
        </w:rPr>
        <w:t xml:space="preserve">이 기준은 </w:t>
      </w:r>
      <w:r>
        <w:rPr>
          <w:rFonts w:ascii="Malgun Gothic" w:hAnsi="Malgun Gothic" w:eastAsia="맑은 고딕"/>
          <w:b/>
        </w:rPr>
        <w:t>PFMI에 직접 정합</w:t>
      </w:r>
      <w:r>
        <w:rPr>
          <w:rFonts w:ascii="Malgun Gothic" w:hAnsi="Malgun Gothic" w:eastAsia="맑은 고딕"/>
        </w:rPr>
        <w:t>되며, 주요 미국 청산기관에 대한 가장 포괄적인 요건을 구성한다.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규정 조항</w:t>
            </w:r>
          </w:p>
        </w:tc>
        <w:tc>
          <w:tcPr>
            <w:tcW w:type="dxa" w:w="2880"/>
            <w:shd w:fill="4472C4" w:val="clear"/>
          </w:tcPr>
          <w:p>
            <w:pPr/>
            <w:r>
              <w:rPr>
                <w:b/>
                <w:color w:val="FFFFFF"/>
              </w:rPr>
            </w:r>
            <w:r>
              <w:rPr>
                <w:rFonts w:ascii="Malgun Gothic" w:hAnsi="Malgun Gothic" w:eastAsia="맑은 고딕"/>
                <w:b/>
                <w:color w:val="FFFFFF"/>
              </w:rPr>
              <w:t>PFMI 원칙 정합</w:t>
            </w:r>
          </w:p>
        </w:tc>
        <w:tc>
          <w:tcPr>
            <w:tcW w:type="dxa" w:w="2880"/>
            <w:shd w:fill="4472C4" w:val="clear"/>
          </w:tcPr>
          <w:p>
            <w:pPr/>
            <w:r>
              <w:rPr>
                <w:b/>
                <w:color w:val="FFFFFF"/>
              </w:rPr>
            </w:r>
            <w:r>
              <w:rPr>
                <w:rFonts w:ascii="Malgun Gothic" w:hAnsi="Malgun Gothic" w:eastAsia="맑은 고딕"/>
                <w:b/>
                <w:color w:val="FFFFFF"/>
              </w:rPr>
              <w:t>주요 요건</w:t>
            </w:r>
          </w:p>
        </w:tc>
      </w:tr>
      <w:tr>
        <w:tc>
          <w:tcPr>
            <w:tcW w:type="dxa" w:w="2880"/>
          </w:tcPr>
          <w:p>
            <w:pPr/>
            <w:r/>
            <w:r>
              <w:rPr>
                <w:rFonts w:ascii="Malgun Gothic" w:hAnsi="Malgun Gothic" w:eastAsia="맑은 고딕"/>
              </w:rPr>
              <w:t>17Ad-22(e)(1)</w:t>
            </w:r>
          </w:p>
        </w:tc>
        <w:tc>
          <w:tcPr>
            <w:tcW w:type="dxa" w:w="2880"/>
          </w:tcPr>
          <w:p>
            <w:pPr/>
            <w:r/>
            <w:r>
              <w:rPr>
                <w:rFonts w:ascii="Malgun Gothic" w:hAnsi="Malgun Gothic" w:eastAsia="맑은 고딕"/>
              </w:rPr>
              <w:t>원칙 2(지배구조)</w:t>
            </w:r>
          </w:p>
        </w:tc>
        <w:tc>
          <w:tcPr>
            <w:tcW w:type="dxa" w:w="2880"/>
          </w:tcPr>
          <w:p>
            <w:pPr/>
            <w:r/>
            <w:r>
              <w:rPr>
                <w:rFonts w:ascii="Malgun Gothic" w:hAnsi="Malgun Gothic" w:eastAsia="맑은 고딕"/>
              </w:rPr>
              <w:t>명확한 지배구조 체계, 이사회 구성 요건, 리스크 관리 위원회</w:t>
            </w:r>
          </w:p>
        </w:tc>
      </w:tr>
      <w:tr>
        <w:tc>
          <w:tcPr>
            <w:tcW w:type="dxa" w:w="2880"/>
          </w:tcPr>
          <w:p>
            <w:pPr/>
            <w:r/>
            <w:r>
              <w:rPr>
                <w:rFonts w:ascii="Malgun Gothic" w:hAnsi="Malgun Gothic" w:eastAsia="맑은 고딕"/>
              </w:rPr>
              <w:t>17Ad-22(e)(2)</w:t>
            </w:r>
          </w:p>
        </w:tc>
        <w:tc>
          <w:tcPr>
            <w:tcW w:type="dxa" w:w="2880"/>
          </w:tcPr>
          <w:p>
            <w:pPr/>
            <w:r/>
            <w:r>
              <w:rPr>
                <w:rFonts w:ascii="Malgun Gothic" w:hAnsi="Malgun Gothic" w:eastAsia="맑은 고딕"/>
              </w:rPr>
              <w:t>원칙 3(리스크 관리 체계)</w:t>
            </w:r>
          </w:p>
        </w:tc>
        <w:tc>
          <w:tcPr>
            <w:tcW w:type="dxa" w:w="2880"/>
          </w:tcPr>
          <w:p>
            <w:pPr/>
            <w:r/>
            <w:r>
              <w:rPr>
                <w:rFonts w:ascii="Malgun Gothic" w:hAnsi="Malgun Gothic" w:eastAsia="맑은 고딕"/>
              </w:rPr>
              <w:t>포괄적 리스크 관리 체계, 리스크 허용 정책</w:t>
            </w:r>
          </w:p>
        </w:tc>
      </w:tr>
      <w:tr>
        <w:tc>
          <w:tcPr>
            <w:tcW w:type="dxa" w:w="2880"/>
          </w:tcPr>
          <w:p>
            <w:pPr/>
            <w:r/>
            <w:r>
              <w:rPr>
                <w:rFonts w:ascii="Malgun Gothic" w:hAnsi="Malgun Gothic" w:eastAsia="맑은 고딕"/>
              </w:rPr>
              <w:t>17Ad-22(e)(3)</w:t>
            </w:r>
          </w:p>
        </w:tc>
        <w:tc>
          <w:tcPr>
            <w:tcW w:type="dxa" w:w="2880"/>
          </w:tcPr>
          <w:p>
            <w:pPr/>
            <w:r/>
            <w:r>
              <w:rPr>
                <w:rFonts w:ascii="Malgun Gothic" w:hAnsi="Malgun Gothic" w:eastAsia="맑은 고딕"/>
              </w:rPr>
              <w:t>원칙 15(일반 사업 리스크)</w:t>
            </w:r>
          </w:p>
        </w:tc>
        <w:tc>
          <w:tcPr>
            <w:tcW w:type="dxa" w:w="2880"/>
          </w:tcPr>
          <w:p>
            <w:pPr/>
            <w:r/>
            <w:r>
              <w:rPr>
                <w:rFonts w:ascii="Malgun Gothic" w:hAnsi="Malgun Gothic" w:eastAsia="맑은 고딕"/>
              </w:rPr>
              <w:t>최소 6개월 운영비에 해당하는 자기자본으로 조달된 유동 순자산 유지</w:t>
            </w:r>
          </w:p>
        </w:tc>
      </w:tr>
      <w:tr>
        <w:tc>
          <w:tcPr>
            <w:tcW w:type="dxa" w:w="2880"/>
          </w:tcPr>
          <w:p>
            <w:pPr/>
            <w:r/>
            <w:r>
              <w:rPr>
                <w:rFonts w:ascii="Malgun Gothic" w:hAnsi="Malgun Gothic" w:eastAsia="맑은 고딕"/>
              </w:rPr>
              <w:t>17Ad-22(e)(4)</w:t>
            </w:r>
          </w:p>
        </w:tc>
        <w:tc>
          <w:tcPr>
            <w:tcW w:type="dxa" w:w="2880"/>
          </w:tcPr>
          <w:p>
            <w:pPr/>
            <w:r/>
            <w:r>
              <w:rPr>
                <w:rFonts w:ascii="Malgun Gothic" w:hAnsi="Malgun Gothic" w:eastAsia="맑은 고딕"/>
              </w:rPr>
              <w:t>원칙 4(신용 리스크)</w:t>
            </w:r>
          </w:p>
        </w:tc>
        <w:tc>
          <w:tcPr>
            <w:tcW w:type="dxa" w:w="2880"/>
          </w:tcPr>
          <w:p>
            <w:pPr/>
            <w:r/>
            <w:r>
              <w:rPr>
                <w:rFonts w:ascii="Malgun Gothic" w:hAnsi="Malgun Gothic" w:eastAsia="맑은 고딕"/>
              </w:rPr>
              <w:t>Cover 1 기준(복수 관할권에서 시스템적으로 중요한 CCP의 경우 Cover 2); 일일 스트레스 테스트</w:t>
            </w:r>
          </w:p>
        </w:tc>
      </w:tr>
      <w:tr>
        <w:tc>
          <w:tcPr>
            <w:tcW w:type="dxa" w:w="2880"/>
          </w:tcPr>
          <w:p>
            <w:pPr/>
            <w:r/>
            <w:r>
              <w:rPr>
                <w:rFonts w:ascii="Malgun Gothic" w:hAnsi="Malgun Gothic" w:eastAsia="맑은 고딕"/>
              </w:rPr>
              <w:t>17Ad-22(e)(5)</w:t>
            </w:r>
          </w:p>
        </w:tc>
        <w:tc>
          <w:tcPr>
            <w:tcW w:type="dxa" w:w="2880"/>
          </w:tcPr>
          <w:p>
            <w:pPr/>
            <w:r/>
            <w:r>
              <w:rPr>
                <w:rFonts w:ascii="Malgun Gothic" w:hAnsi="Malgun Gothic" w:eastAsia="맑은 고딕"/>
              </w:rPr>
              <w:t>원칙 5(담보)</w:t>
            </w:r>
          </w:p>
        </w:tc>
        <w:tc>
          <w:tcPr>
            <w:tcW w:type="dxa" w:w="2880"/>
          </w:tcPr>
          <w:p>
            <w:pPr/>
            <w:r/>
            <w:r>
              <w:rPr>
                <w:rFonts w:ascii="Malgun Gothic" w:hAnsi="Malgun Gothic" w:eastAsia="맑은 고딕"/>
              </w:rPr>
              <w:t>적격 담보, 헤어컷, 집중도 한도에 관한 합리적 정책</w:t>
            </w:r>
          </w:p>
        </w:tc>
      </w:tr>
      <w:tr>
        <w:tc>
          <w:tcPr>
            <w:tcW w:type="dxa" w:w="2880"/>
          </w:tcPr>
          <w:p>
            <w:pPr/>
            <w:r/>
            <w:r>
              <w:rPr>
                <w:rFonts w:ascii="Malgun Gothic" w:hAnsi="Malgun Gothic" w:eastAsia="맑은 고딕"/>
              </w:rPr>
              <w:t>17Ad-22(e)(6)</w:t>
            </w:r>
          </w:p>
        </w:tc>
        <w:tc>
          <w:tcPr>
            <w:tcW w:type="dxa" w:w="2880"/>
          </w:tcPr>
          <w:p>
            <w:pPr/>
            <w:r/>
            <w:r>
              <w:rPr>
                <w:rFonts w:ascii="Malgun Gothic" w:hAnsi="Malgun Gothic" w:eastAsia="맑은 고딕"/>
              </w:rPr>
              <w:t>원칙 6(증거금)</w:t>
            </w:r>
          </w:p>
        </w:tc>
        <w:tc>
          <w:tcPr>
            <w:tcW w:type="dxa" w:w="2880"/>
          </w:tcPr>
          <w:p>
            <w:pPr/>
            <w:r/>
            <w:r>
              <w:rPr>
                <w:rFonts w:ascii="Malgun Gothic" w:hAnsi="Malgun Gothic" w:eastAsia="맑은 고딕"/>
              </w:rPr>
              <w:t>리스크 기반 증거금 시스템, 최소 99% 신뢰구간, 정기적 백테스팅 및 모델 검증</w:t>
            </w:r>
          </w:p>
        </w:tc>
      </w:tr>
      <w:tr>
        <w:tc>
          <w:tcPr>
            <w:tcW w:type="dxa" w:w="2880"/>
          </w:tcPr>
          <w:p>
            <w:pPr/>
            <w:r/>
            <w:r>
              <w:rPr>
                <w:rFonts w:ascii="Malgun Gothic" w:hAnsi="Malgun Gothic" w:eastAsia="맑은 고딕"/>
              </w:rPr>
              <w:t>17Ad-22(e)(7)</w:t>
            </w:r>
          </w:p>
        </w:tc>
        <w:tc>
          <w:tcPr>
            <w:tcW w:type="dxa" w:w="2880"/>
          </w:tcPr>
          <w:p>
            <w:pPr/>
            <w:r/>
            <w:r>
              <w:rPr>
                <w:rFonts w:ascii="Malgun Gothic" w:hAnsi="Malgun Gothic" w:eastAsia="맑은 고딕"/>
              </w:rPr>
              <w:t>원칙 7(유동성 리스크)</w:t>
            </w:r>
          </w:p>
        </w:tc>
        <w:tc>
          <w:tcPr>
            <w:tcW w:type="dxa" w:w="2880"/>
          </w:tcPr>
          <w:p>
            <w:pPr/>
            <w:r/>
            <w:r>
              <w:rPr>
                <w:rFonts w:ascii="Malgun Gothic" w:hAnsi="Malgun Gothic" w:eastAsia="맑은 고딕"/>
              </w:rPr>
              <w:t>최소 Cover 1 시나리오에서 의무를 충족할 수 있는 충분한 유동 자원 유지; 적격 유동 자원에는 중앙은행 예치금, 확약된 신용한도 등 포함</w:t>
            </w:r>
          </w:p>
        </w:tc>
      </w:tr>
      <w:tr>
        <w:tc>
          <w:tcPr>
            <w:tcW w:type="dxa" w:w="2880"/>
          </w:tcPr>
          <w:p>
            <w:pPr/>
            <w:r/>
            <w:r>
              <w:rPr>
                <w:rFonts w:ascii="Malgun Gothic" w:hAnsi="Malgun Gothic" w:eastAsia="맑은 고딕"/>
              </w:rPr>
              <w:t>17Ad-22(e)(8)</w:t>
            </w:r>
          </w:p>
        </w:tc>
        <w:tc>
          <w:tcPr>
            <w:tcW w:type="dxa" w:w="2880"/>
          </w:tcPr>
          <w:p>
            <w:pPr/>
            <w:r/>
            <w:r>
              <w:rPr>
                <w:rFonts w:ascii="Malgun Gothic" w:hAnsi="Malgun Gothic" w:eastAsia="맑은 고딕"/>
              </w:rPr>
              <w:t>원칙 8(결제완결성)</w:t>
            </w:r>
          </w:p>
        </w:tc>
        <w:tc>
          <w:tcPr>
            <w:tcW w:type="dxa" w:w="2880"/>
          </w:tcPr>
          <w:p>
            <w:pPr/>
            <w:r/>
            <w:r>
              <w:rPr>
                <w:rFonts w:ascii="Malgun Gothic" w:hAnsi="Malgun Gothic" w:eastAsia="맑은 고딕"/>
              </w:rPr>
              <w:t>결제일 종료 이전까지 명확하고 확실한 최종 결제 제공</w:t>
            </w:r>
          </w:p>
        </w:tc>
      </w:tr>
      <w:tr>
        <w:tc>
          <w:tcPr>
            <w:tcW w:type="dxa" w:w="2880"/>
          </w:tcPr>
          <w:p>
            <w:pPr/>
            <w:r/>
            <w:r>
              <w:rPr>
                <w:rFonts w:ascii="Malgun Gothic" w:hAnsi="Malgun Gothic" w:eastAsia="맑은 고딕"/>
              </w:rPr>
              <w:t>17Ad-22(e)(9)</w:t>
            </w:r>
          </w:p>
        </w:tc>
        <w:tc>
          <w:tcPr>
            <w:tcW w:type="dxa" w:w="2880"/>
          </w:tcPr>
          <w:p>
            <w:pPr/>
            <w:r/>
            <w:r>
              <w:rPr>
                <w:rFonts w:ascii="Malgun Gothic" w:hAnsi="Malgun Gothic" w:eastAsia="맑은 고딕"/>
              </w:rPr>
              <w:t>원칙 9(자금 결제)</w:t>
            </w:r>
          </w:p>
        </w:tc>
        <w:tc>
          <w:tcPr>
            <w:tcW w:type="dxa" w:w="2880"/>
          </w:tcPr>
          <w:p>
            <w:pPr/>
            <w:r/>
            <w:r>
              <w:rPr>
                <w:rFonts w:ascii="Malgun Gothic" w:hAnsi="Malgun Gothic" w:eastAsia="맑은 고딕"/>
              </w:rPr>
              <w:t>실무적으로 가능하고 이용 가능한 경우 중앙은행 화폐로 자금 결제 수행</w:t>
            </w:r>
          </w:p>
        </w:tc>
      </w:tr>
      <w:tr>
        <w:tc>
          <w:tcPr>
            <w:tcW w:type="dxa" w:w="2880"/>
          </w:tcPr>
          <w:p>
            <w:pPr/>
            <w:r/>
            <w:r>
              <w:rPr>
                <w:rFonts w:ascii="Malgun Gothic" w:hAnsi="Malgun Gothic" w:eastAsia="맑은 고딕"/>
              </w:rPr>
              <w:t>17Ad-22(e)(10)</w:t>
            </w:r>
          </w:p>
        </w:tc>
        <w:tc>
          <w:tcPr>
            <w:tcW w:type="dxa" w:w="2880"/>
          </w:tcPr>
          <w:p>
            <w:pPr/>
            <w:r/>
            <w:r>
              <w:rPr>
                <w:rFonts w:ascii="Malgun Gothic" w:hAnsi="Malgun Gothic" w:eastAsia="맑은 고딕"/>
              </w:rPr>
              <w:t>원칙 10(실물 인도)</w:t>
            </w:r>
          </w:p>
        </w:tc>
        <w:tc>
          <w:tcPr>
            <w:tcW w:type="dxa" w:w="2880"/>
          </w:tcPr>
          <w:p>
            <w:pPr/>
            <w:r/>
            <w:r>
              <w:rPr>
                <w:rFonts w:ascii="Malgun Gothic" w:hAnsi="Malgun Gothic" w:eastAsia="맑은 고딕"/>
              </w:rPr>
              <w:t>실물 인도의 리스크 식별, 모니터링 및 관리</w:t>
            </w:r>
          </w:p>
        </w:tc>
      </w:tr>
      <w:tr>
        <w:tc>
          <w:tcPr>
            <w:tcW w:type="dxa" w:w="2880"/>
          </w:tcPr>
          <w:p>
            <w:pPr/>
            <w:r/>
            <w:r>
              <w:rPr>
                <w:rFonts w:ascii="Malgun Gothic" w:hAnsi="Malgun Gothic" w:eastAsia="맑은 고딕"/>
              </w:rPr>
              <w:t>17Ad-22(e)(11)</w:t>
            </w:r>
          </w:p>
        </w:tc>
        <w:tc>
          <w:tcPr>
            <w:tcW w:type="dxa" w:w="2880"/>
          </w:tcPr>
          <w:p>
            <w:pPr/>
            <w:r/>
            <w:r>
              <w:rPr>
                <w:rFonts w:ascii="Malgun Gothic" w:hAnsi="Malgun Gothic" w:eastAsia="맑은 고딕"/>
              </w:rPr>
              <w:t>원칙 11(CSD)</w:t>
            </w:r>
          </w:p>
        </w:tc>
        <w:tc>
          <w:tcPr>
            <w:tcW w:type="dxa" w:w="2880"/>
          </w:tcPr>
          <w:p>
            <w:pPr/>
            <w:r/>
            <w:r>
              <w:rPr>
                <w:rFonts w:ascii="Malgun Gothic" w:hAnsi="Malgun Gothic" w:eastAsia="맑은 고딕"/>
              </w:rPr>
              <w:t>부동화/무권화에 관한 CSD 특유 요건</w:t>
            </w:r>
          </w:p>
        </w:tc>
      </w:tr>
      <w:tr>
        <w:tc>
          <w:tcPr>
            <w:tcW w:type="dxa" w:w="2880"/>
          </w:tcPr>
          <w:p>
            <w:pPr/>
            <w:r/>
            <w:r>
              <w:rPr>
                <w:rFonts w:ascii="Malgun Gothic" w:hAnsi="Malgun Gothic" w:eastAsia="맑은 고딕"/>
              </w:rPr>
              <w:t>17Ad-22(e)(12)</w:t>
            </w:r>
          </w:p>
        </w:tc>
        <w:tc>
          <w:tcPr>
            <w:tcW w:type="dxa" w:w="2880"/>
          </w:tcPr>
          <w:p>
            <w:pPr/>
            <w:r/>
            <w:r>
              <w:rPr>
                <w:rFonts w:ascii="Malgun Gothic" w:hAnsi="Malgun Gothic" w:eastAsia="맑은 고딕"/>
              </w:rPr>
              <w:t>원칙 12(DVP)</w:t>
            </w:r>
          </w:p>
        </w:tc>
        <w:tc>
          <w:tcPr>
            <w:tcW w:type="dxa" w:w="2880"/>
          </w:tcPr>
          <w:p>
            <w:pPr/>
            <w:r/>
            <w:r>
              <w:rPr>
                <w:rFonts w:ascii="Malgun Gothic" w:hAnsi="Malgun Gothic" w:eastAsia="맑은 고딕"/>
              </w:rPr>
              <w:t>적절한 DVP (증권과대금의 동시결제) 메커니즘을 통한 원본 리스크 제거</w:t>
            </w:r>
          </w:p>
        </w:tc>
      </w:tr>
      <w:tr>
        <w:tc>
          <w:tcPr>
            <w:tcW w:type="dxa" w:w="2880"/>
          </w:tcPr>
          <w:p>
            <w:pPr/>
            <w:r/>
            <w:r>
              <w:rPr>
                <w:rFonts w:ascii="Malgun Gothic" w:hAnsi="Malgun Gothic" w:eastAsia="맑은 고딕"/>
              </w:rPr>
              <w:t>17Ad-22(e)(13)</w:t>
            </w:r>
          </w:p>
        </w:tc>
        <w:tc>
          <w:tcPr>
            <w:tcW w:type="dxa" w:w="2880"/>
          </w:tcPr>
          <w:p>
            <w:pPr/>
            <w:r/>
            <w:r>
              <w:rPr>
                <w:rFonts w:ascii="Malgun Gothic" w:hAnsi="Malgun Gothic" w:eastAsia="맑은 고딕"/>
              </w:rPr>
              <w:t>원칙 13(참가자 부도)</w:t>
            </w:r>
          </w:p>
        </w:tc>
        <w:tc>
          <w:tcPr>
            <w:tcW w:type="dxa" w:w="2880"/>
          </w:tcPr>
          <w:p>
            <w:pPr/>
            <w:r/>
            <w:r>
              <w:rPr>
                <w:rFonts w:ascii="Malgun Gothic" w:hAnsi="Malgun Gothic" w:eastAsia="맑은 고딕"/>
              </w:rPr>
              <w:t>포괄적 부도 관리 규칙 및 절차; 최소 연 1회 부도 절차 테스트</w:t>
            </w:r>
          </w:p>
        </w:tc>
      </w:tr>
      <w:tr>
        <w:tc>
          <w:tcPr>
            <w:tcW w:type="dxa" w:w="2880"/>
          </w:tcPr>
          <w:p>
            <w:pPr/>
            <w:r/>
            <w:r>
              <w:rPr>
                <w:rFonts w:ascii="Malgun Gothic" w:hAnsi="Malgun Gothic" w:eastAsia="맑은 고딕"/>
              </w:rPr>
              <w:t>17Ad-22(e)(14)</w:t>
            </w:r>
          </w:p>
        </w:tc>
        <w:tc>
          <w:tcPr>
            <w:tcW w:type="dxa" w:w="2880"/>
          </w:tcPr>
          <w:p>
            <w:pPr/>
            <w:r/>
            <w:r>
              <w:rPr>
                <w:rFonts w:ascii="Malgun Gothic" w:hAnsi="Malgun Gothic" w:eastAsia="맑은 고딕"/>
              </w:rPr>
              <w:t>원칙 14(분리보관)</w:t>
            </w:r>
          </w:p>
        </w:tc>
        <w:tc>
          <w:tcPr>
            <w:tcW w:type="dxa" w:w="2880"/>
          </w:tcPr>
          <w:p>
            <w:pPr/>
            <w:r/>
            <w:r>
              <w:rPr>
                <w:rFonts w:ascii="Malgun Gothic" w:hAnsi="Malgun Gothic" w:eastAsia="맑은 고딕"/>
              </w:rPr>
              <w:t>고객 포지션 및 담보의 분리보관 및 이전성 확보</w:t>
            </w:r>
          </w:p>
        </w:tc>
      </w:tr>
      <w:tr>
        <w:tc>
          <w:tcPr>
            <w:tcW w:type="dxa" w:w="2880"/>
          </w:tcPr>
          <w:p>
            <w:pPr/>
            <w:r/>
            <w:r>
              <w:rPr>
                <w:rFonts w:ascii="Malgun Gothic" w:hAnsi="Malgun Gothic" w:eastAsia="맑은 고딕"/>
              </w:rPr>
              <w:t>17Ad-22(e)(15)</w:t>
            </w:r>
          </w:p>
        </w:tc>
        <w:tc>
          <w:tcPr>
            <w:tcW w:type="dxa" w:w="2880"/>
          </w:tcPr>
          <w:p>
            <w:pPr/>
            <w:r/>
            <w:r>
              <w:rPr>
                <w:rFonts w:ascii="Malgun Gothic" w:hAnsi="Malgun Gothic" w:eastAsia="맑은 고딕"/>
              </w:rPr>
              <w:t>원칙 15(일반 사업 리스크)</w:t>
            </w:r>
          </w:p>
        </w:tc>
        <w:tc>
          <w:tcPr>
            <w:tcW w:type="dxa" w:w="2880"/>
          </w:tcPr>
          <w:p>
            <w:pPr/>
            <w:r/>
            <w:r>
              <w:rPr>
                <w:rFonts w:ascii="Malgun Gothic" w:hAnsi="Malgun Gothic" w:eastAsia="맑은 고딕"/>
              </w:rPr>
              <w:t>일반 사업 리스크 식별, 모니터링 및 관리; 최소 6개월 운영비 상당 유동 순자산 보유</w:t>
            </w:r>
          </w:p>
        </w:tc>
      </w:tr>
      <w:tr>
        <w:tc>
          <w:tcPr>
            <w:tcW w:type="dxa" w:w="2880"/>
          </w:tcPr>
          <w:p>
            <w:pPr/>
            <w:r/>
            <w:r>
              <w:rPr>
                <w:rFonts w:ascii="Malgun Gothic" w:hAnsi="Malgun Gothic" w:eastAsia="맑은 고딕"/>
              </w:rPr>
              <w:t>17Ad-22(e)(16)</w:t>
            </w:r>
          </w:p>
        </w:tc>
        <w:tc>
          <w:tcPr>
            <w:tcW w:type="dxa" w:w="2880"/>
          </w:tcPr>
          <w:p>
            <w:pPr/>
            <w:r/>
            <w:r>
              <w:rPr>
                <w:rFonts w:ascii="Malgun Gothic" w:hAnsi="Malgun Gothic" w:eastAsia="맑은 고딕"/>
              </w:rPr>
              <w:t>원칙 16(보관 및 투자)</w:t>
            </w:r>
          </w:p>
        </w:tc>
        <w:tc>
          <w:tcPr>
            <w:tcW w:type="dxa" w:w="2880"/>
          </w:tcPr>
          <w:p>
            <w:pPr/>
            <w:r/>
            <w:r>
              <w:rPr>
                <w:rFonts w:ascii="Malgun Gothic" w:hAnsi="Malgun Gothic" w:eastAsia="맑은 고딕"/>
              </w:rPr>
              <w:t>자체 및 참가자 자산 보호; 리스크 최소화 투자 정책</w:t>
            </w:r>
          </w:p>
        </w:tc>
      </w:tr>
      <w:tr>
        <w:tc>
          <w:tcPr>
            <w:tcW w:type="dxa" w:w="2880"/>
          </w:tcPr>
          <w:p>
            <w:pPr/>
            <w:r/>
            <w:r>
              <w:rPr>
                <w:rFonts w:ascii="Malgun Gothic" w:hAnsi="Malgun Gothic" w:eastAsia="맑은 고딕"/>
              </w:rPr>
              <w:t>17Ad-22(e)(17)</w:t>
            </w:r>
          </w:p>
        </w:tc>
        <w:tc>
          <w:tcPr>
            <w:tcW w:type="dxa" w:w="2880"/>
          </w:tcPr>
          <w:p>
            <w:pPr/>
            <w:r/>
            <w:r>
              <w:rPr>
                <w:rFonts w:ascii="Malgun Gothic" w:hAnsi="Malgun Gothic" w:eastAsia="맑은 고딕"/>
              </w:rPr>
              <w:t>원칙 17(운영 리스크)</w:t>
            </w:r>
          </w:p>
        </w:tc>
        <w:tc>
          <w:tcPr>
            <w:tcW w:type="dxa" w:w="2880"/>
          </w:tcPr>
          <w:p>
            <w:pPr/>
            <w:r/>
            <w:r>
              <w:rPr>
                <w:rFonts w:ascii="Malgun Gothic" w:hAnsi="Malgun Gothic" w:eastAsia="맑은 고딕"/>
              </w:rPr>
              <w:t>실현 가능한 운영 리스크 원인 식별; 2시간 복구목표시간(RTO)을 갖는 업무연속성계획</w:t>
            </w:r>
          </w:p>
        </w:tc>
      </w:tr>
      <w:tr>
        <w:tc>
          <w:tcPr>
            <w:tcW w:type="dxa" w:w="2880"/>
          </w:tcPr>
          <w:p>
            <w:pPr/>
            <w:r/>
            <w:r>
              <w:rPr>
                <w:rFonts w:ascii="Malgun Gothic" w:hAnsi="Malgun Gothic" w:eastAsia="맑은 고딕"/>
              </w:rPr>
              <w:t>17Ad-22(e)(18)</w:t>
            </w:r>
          </w:p>
        </w:tc>
        <w:tc>
          <w:tcPr>
            <w:tcW w:type="dxa" w:w="2880"/>
          </w:tcPr>
          <w:p>
            <w:pPr/>
            <w:r/>
            <w:r>
              <w:rPr>
                <w:rFonts w:ascii="Malgun Gothic" w:hAnsi="Malgun Gothic" w:eastAsia="맑은 고딕"/>
              </w:rPr>
              <w:t>원칙 18(접근 및 참가)</w:t>
            </w:r>
          </w:p>
        </w:tc>
        <w:tc>
          <w:tcPr>
            <w:tcW w:type="dxa" w:w="2880"/>
          </w:tcPr>
          <w:p>
            <w:pPr/>
            <w:r/>
            <w:r>
              <w:rPr>
                <w:rFonts w:ascii="Malgun Gothic" w:hAnsi="Malgun Gothic" w:eastAsia="맑은 고딕"/>
              </w:rPr>
              <w:t>공정하고 개방적이며 리스크 기반의 참가 요건</w:t>
            </w:r>
          </w:p>
        </w:tc>
      </w:tr>
      <w:tr>
        <w:tc>
          <w:tcPr>
            <w:tcW w:type="dxa" w:w="2880"/>
          </w:tcPr>
          <w:p>
            <w:pPr/>
            <w:r/>
            <w:r>
              <w:rPr>
                <w:rFonts w:ascii="Malgun Gothic" w:hAnsi="Malgun Gothic" w:eastAsia="맑은 고딕"/>
              </w:rPr>
              <w:t>17Ad-22(e)(19)</w:t>
            </w:r>
          </w:p>
        </w:tc>
        <w:tc>
          <w:tcPr>
            <w:tcW w:type="dxa" w:w="2880"/>
          </w:tcPr>
          <w:p>
            <w:pPr/>
            <w:r/>
            <w:r>
              <w:rPr>
                <w:rFonts w:ascii="Malgun Gothic" w:hAnsi="Malgun Gothic" w:eastAsia="맑은 고딕"/>
              </w:rPr>
              <w:t>원칙 19(계층적 참가)</w:t>
            </w:r>
          </w:p>
        </w:tc>
        <w:tc>
          <w:tcPr>
            <w:tcW w:type="dxa" w:w="2880"/>
          </w:tcPr>
          <w:p>
            <w:pPr/>
            <w:r/>
            <w:r>
              <w:rPr>
                <w:rFonts w:ascii="Malgun Gothic" w:hAnsi="Malgun Gothic" w:eastAsia="맑은 고딕"/>
              </w:rPr>
              <w:t>간접/계층적 참가로 발생하는 리스크 식별, 모니터링 및 관리</w:t>
            </w:r>
          </w:p>
        </w:tc>
      </w:tr>
      <w:tr>
        <w:tc>
          <w:tcPr>
            <w:tcW w:type="dxa" w:w="2880"/>
          </w:tcPr>
          <w:p>
            <w:pPr/>
            <w:r/>
            <w:r>
              <w:rPr>
                <w:rFonts w:ascii="Malgun Gothic" w:hAnsi="Malgun Gothic" w:eastAsia="맑은 고딕"/>
              </w:rPr>
              <w:t>17Ad-22(e)(20)</w:t>
            </w:r>
          </w:p>
        </w:tc>
        <w:tc>
          <w:tcPr>
            <w:tcW w:type="dxa" w:w="2880"/>
          </w:tcPr>
          <w:p>
            <w:pPr/>
            <w:r/>
            <w:r>
              <w:rPr>
                <w:rFonts w:ascii="Malgun Gothic" w:hAnsi="Malgun Gothic" w:eastAsia="맑은 고딕"/>
              </w:rPr>
              <w:t>원칙 20(FMI 연계)</w:t>
            </w:r>
          </w:p>
        </w:tc>
        <w:tc>
          <w:tcPr>
            <w:tcW w:type="dxa" w:w="2880"/>
          </w:tcPr>
          <w:p>
            <w:pPr/>
            <w:r/>
            <w:r>
              <w:rPr>
                <w:rFonts w:ascii="Malgun Gothic" w:hAnsi="Malgun Gothic" w:eastAsia="맑은 고딕"/>
              </w:rPr>
              <w:t>다른 FMI와의 연계에서 발생하는 리스크 관리</w:t>
            </w:r>
          </w:p>
        </w:tc>
      </w:tr>
      <w:tr>
        <w:tc>
          <w:tcPr>
            <w:tcW w:type="dxa" w:w="2880"/>
          </w:tcPr>
          <w:p>
            <w:pPr/>
            <w:r/>
            <w:r>
              <w:rPr>
                <w:rFonts w:ascii="Malgun Gothic" w:hAnsi="Malgun Gothic" w:eastAsia="맑은 고딕"/>
              </w:rPr>
              <w:t>17Ad-22(e)(21)</w:t>
            </w:r>
          </w:p>
        </w:tc>
        <w:tc>
          <w:tcPr>
            <w:tcW w:type="dxa" w:w="2880"/>
          </w:tcPr>
          <w:p>
            <w:pPr/>
            <w:r/>
            <w:r>
              <w:rPr>
                <w:rFonts w:ascii="Malgun Gothic" w:hAnsi="Malgun Gothic" w:eastAsia="맑은 고딕"/>
              </w:rPr>
              <w:t>원칙 21(효율성)</w:t>
            </w:r>
          </w:p>
        </w:tc>
        <w:tc>
          <w:tcPr>
            <w:tcW w:type="dxa" w:w="2880"/>
          </w:tcPr>
          <w:p>
            <w:pPr/>
            <w:r/>
            <w:r>
              <w:rPr>
                <w:rFonts w:ascii="Malgun Gothic" w:hAnsi="Malgun Gothic" w:eastAsia="맑은 고딕"/>
              </w:rPr>
              <w:t>참가자 및 서비스 대상 시장의 필요를 충족하도록 정책 설계</w:t>
            </w:r>
          </w:p>
        </w:tc>
      </w:tr>
      <w:tr>
        <w:tc>
          <w:tcPr>
            <w:tcW w:type="dxa" w:w="2880"/>
          </w:tcPr>
          <w:p>
            <w:pPr/>
            <w:r/>
            <w:r>
              <w:rPr>
                <w:rFonts w:ascii="Malgun Gothic" w:hAnsi="Malgun Gothic" w:eastAsia="맑은 고딕"/>
              </w:rPr>
              <w:t>17Ad-22(e)(22)</w:t>
            </w:r>
          </w:p>
        </w:tc>
        <w:tc>
          <w:tcPr>
            <w:tcW w:type="dxa" w:w="2880"/>
          </w:tcPr>
          <w:p>
            <w:pPr/>
            <w:r/>
            <w:r>
              <w:rPr>
                <w:rFonts w:ascii="Malgun Gothic" w:hAnsi="Malgun Gothic" w:eastAsia="맑은 고딕"/>
              </w:rPr>
              <w:t>원칙 22(통신)</w:t>
            </w:r>
          </w:p>
        </w:tc>
        <w:tc>
          <w:tcPr>
            <w:tcW w:type="dxa" w:w="2880"/>
          </w:tcPr>
          <w:p>
            <w:pPr/>
            <w:r/>
            <w:r>
              <w:rPr>
                <w:rFonts w:ascii="Malgun Gothic" w:hAnsi="Malgun Gothic" w:eastAsia="맑은 고딕"/>
              </w:rPr>
              <w:t>관련 국제적으로 수용된 통신 절차 및 표준 사용</w:t>
            </w:r>
          </w:p>
        </w:tc>
      </w:tr>
      <w:tr>
        <w:tc>
          <w:tcPr>
            <w:tcW w:type="dxa" w:w="2880"/>
          </w:tcPr>
          <w:p>
            <w:pPr/>
            <w:r/>
            <w:r>
              <w:rPr>
                <w:rFonts w:ascii="Malgun Gothic" w:hAnsi="Malgun Gothic" w:eastAsia="맑은 고딕"/>
              </w:rPr>
              <w:t>17Ad-22(e)(23)</w:t>
            </w:r>
          </w:p>
        </w:tc>
        <w:tc>
          <w:tcPr>
            <w:tcW w:type="dxa" w:w="2880"/>
          </w:tcPr>
          <w:p>
            <w:pPr/>
            <w:r/>
            <w:r>
              <w:rPr>
                <w:rFonts w:ascii="Malgun Gothic" w:hAnsi="Malgun Gothic" w:eastAsia="맑은 고딕"/>
              </w:rPr>
              <w:t>원칙 23(공시)</w:t>
            </w:r>
          </w:p>
        </w:tc>
        <w:tc>
          <w:tcPr>
            <w:tcW w:type="dxa" w:w="2880"/>
          </w:tcPr>
          <w:p>
            <w:pPr/>
            <w:r/>
            <w:r>
              <w:rPr>
                <w:rFonts w:ascii="Malgun Gothic" w:hAnsi="Malgun Gothic" w:eastAsia="맑은 고딕"/>
              </w:rPr>
              <w:t>규칙, 주요 절차, 시장 데이터를 공개적으로 공시; PFMI Disclosure Framework 문서 발간</w:t>
            </w:r>
          </w:p>
        </w:tc>
      </w:tr>
    </w:tbl>
    <w:p/>
    <w:p>
      <w:r>
        <w:rPr>
          <w:rFonts w:ascii="Malgun Gothic" w:hAnsi="Malgun Gothic" w:eastAsia="맑은 고딕"/>
          <w:b/>
        </w:rPr>
        <w:t>2023년 개정 -- 국채 청산 기준(Rule 17Ad-22(e)(18)(iv)):</w:t>
      </w:r>
    </w:p>
    <w:p>
      <w:r>
        <w:rPr>
          <w:rFonts w:ascii="Malgun Gothic" w:hAnsi="Malgun Gothic" w:eastAsia="맑은 고딕"/>
        </w:rPr>
        <w:t>2023년 12월, SEC는 미국 국채에 대한 CCP 서비스를 제공하는 적용대상 청산기관에 대한 구체적 요건을 추가하기 위해 Rule 17Ad-22(e)(18)을 개정하였다(자세한 내용은 9.1절 국채 청산의무 참조).</w:t>
      </w:r>
    </w:p>
    <w:p>
      <w:r>
        <w:rPr>
          <w:rFonts w:ascii="Malgun Gothic" w:hAnsi="Malgun Gothic" w:eastAsia="맑은 고딕"/>
        </w:rPr>
        <w:t>[Source: SEC Release No. 34-78961 (September 2016), "Standards for Covered Clearing Agencies"; SEC Release No. 34-99149 (December 2023), "Standards for Covered Clearing Agencies for U.S. Treasury Securities"; 17 CFR 240.17Ad-22(e)]</w:t>
      </w:r>
    </w:p>
    <w:p>
      <w:pPr>
        <w:pStyle w:val="Heading3"/>
      </w:pPr>
      <w:r>
        <w:rPr>
          <w:rFonts w:ascii="Malgun Gothic" w:hAnsi="Malgun Gothic" w:eastAsia="맑은 고딕"/>
        </w:rPr>
        <w:t>Sub-Part D -- 증권기반 스왑 청산기관 기준 (Standards for Security-Based Swap Clearing Agencies)(Rule 17Ad-22(d))</w:t>
      </w:r>
    </w:p>
    <w:p>
      <w:r>
        <w:rPr>
          <w:rFonts w:ascii="Malgun Gothic" w:hAnsi="Malgun Gothic" w:eastAsia="맑은 고딕"/>
          <w:b/>
        </w:rPr>
        <w:t>증권기반 스왑(SBS)</w:t>
      </w:r>
      <w:r>
        <w:rPr>
          <w:rFonts w:ascii="Malgun Gothic" w:hAnsi="Malgun Gothic" w:eastAsia="맑은 고딕"/>
        </w:rPr>
        <w:t>을 청산하는 청산기관에 적용된다. 포함 요건:</w:t>
      </w:r>
    </w:p>
    <w:p>
      <w:pPr>
        <w:pStyle w:val="ListBullet"/>
      </w:pPr>
      <w:r>
        <w:rPr>
          <w:rFonts w:ascii="Malgun Gothic" w:hAnsi="Malgun Gothic" w:eastAsia="맑은 고딕"/>
        </w:rPr>
        <w:t>최대 순차변 참가자의 부도에도 불구하고 참가자에 대한 의무를 이행하기에 충분한 재무자원</w:t>
      </w:r>
    </w:p>
    <w:p>
      <w:pPr>
        <w:pStyle w:val="ListBullet"/>
      </w:pPr>
      <w:r>
        <w:rPr>
          <w:rFonts w:ascii="Malgun Gothic" w:hAnsi="Malgun Gothic" w:eastAsia="맑은 고딕"/>
        </w:rPr>
        <w:t>차감(netting) 약정에 대한 투명하고 집행 가능한 법적 체계</w:t>
      </w:r>
    </w:p>
    <w:p>
      <w:pPr>
        <w:pStyle w:val="ListBullet"/>
      </w:pPr>
      <w:r>
        <w:rPr>
          <w:rFonts w:ascii="Malgun Gothic" w:hAnsi="Malgun Gothic" w:eastAsia="맑은 고딕"/>
        </w:rPr>
        <w:t>충분한 재무자원 및 운영 능력에 기반한 참가자 적격 기준</w:t>
      </w:r>
    </w:p>
    <w:p>
      <w:r>
        <w:rPr>
          <w:rFonts w:ascii="Malgun Gothic" w:hAnsi="Malgun Gothic" w:eastAsia="맑은 고딕"/>
        </w:rPr>
        <w:t>[Source: SEC Rule 17Ad-22(d); Dodd-Frank Title VII]</w:t>
      </w:r>
    </w:p>
    <w:p>
      <w:pPr>
        <w:pStyle w:val="Heading3"/>
      </w:pPr>
      <w:r>
        <w:rPr>
          <w:rFonts w:ascii="Malgun Gothic" w:hAnsi="Malgun Gothic" w:eastAsia="맑은 고딕"/>
        </w:rPr>
        <w:t>2.4 Commodity Exchange Act (상품거래소법, CEA) 및 CFTC Part 39 규정</w:t>
      </w:r>
    </w:p>
    <w:p>
      <w:r>
        <w:rPr>
          <w:rFonts w:ascii="Malgun Gothic" w:hAnsi="Malgun Gothic" w:eastAsia="맑은 고딕"/>
        </w:rPr>
        <w:t>CEA는 Dodd-Frank Act로 개정된 바에 따라 CFTC의 파생상품청산기관(DCO) 규제 체계를 수립한다.</w:t>
      </w:r>
    </w:p>
    <w:p>
      <w:pPr>
        <w:pStyle w:val="Heading3"/>
      </w:pPr>
      <w:r>
        <w:rPr>
          <w:rFonts w:ascii="Malgun Gothic" w:hAnsi="Malgun Gothic" w:eastAsia="맑은 고딕"/>
        </w:rPr>
        <w:t>DCO 등록 요건 (CEA Section 5b)</w:t>
      </w:r>
    </w:p>
    <w:p>
      <w:pPr>
        <w:pStyle w:val="ListBullet"/>
      </w:pPr>
      <w:r>
        <w:rPr>
          <w:rFonts w:ascii="Malgun Gothic" w:hAnsi="Malgun Gothic" w:eastAsia="맑은 고딕"/>
        </w:rPr>
        <w:t>선물, 선물옵션 또는 스왑을 청산하고자 하는 기관은 CFTC에 DCO로 등록하여야 한다</w:t>
      </w:r>
    </w:p>
    <w:p>
      <w:pPr>
        <w:pStyle w:val="ListBullet"/>
      </w:pPr>
      <w:r>
        <w:rPr>
          <w:rFonts w:ascii="Malgun Gothic" w:hAnsi="Malgun Gothic" w:eastAsia="맑은 고딕"/>
        </w:rPr>
        <w:t>조직 문서, 규칙, 리스크 관리 체계, 재무제표, 준수 계획을 포함한 Form DCO를 제출하여 신청한다</w:t>
      </w:r>
    </w:p>
    <w:p>
      <w:pPr>
        <w:pStyle w:val="ListBullet"/>
      </w:pPr>
      <w:r>
        <w:rPr>
          <w:rFonts w:ascii="Malgun Gothic" w:hAnsi="Malgun Gothic" w:eastAsia="맑은 고딕"/>
        </w:rPr>
        <w:t>등록은 18개 Core Principles 준수를 조건으로 한다</w:t>
      </w:r>
    </w:p>
    <w:p>
      <w:pPr>
        <w:pStyle w:val="Heading3"/>
      </w:pPr>
      <w:r>
        <w:rPr>
          <w:rFonts w:ascii="Malgun Gothic" w:hAnsi="Malgun Gothic" w:eastAsia="맑은 고딕"/>
        </w:rPr>
        <w:t>DCO Core Principles(핵심원칙)(CEA Section 5b(c)(2))</w:t>
      </w:r>
    </w:p>
    <w:p>
      <w:r>
        <w:rPr>
          <w:rFonts w:ascii="Malgun Gothic" w:hAnsi="Malgun Gothic" w:eastAsia="맑은 고딕"/>
        </w:rPr>
        <w:t>18개 Core Principles는 DCO가 충족하여야 하는 기준을 수립한다. CFTC Part 39 규정은 준수를 위한 세부 요건을 규정한다.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Core Principle</w:t>
            </w:r>
          </w:p>
        </w:tc>
        <w:tc>
          <w:tcPr>
            <w:tcW w:type="dxa" w:w="2880"/>
            <w:shd w:fill="4472C4" w:val="clear"/>
          </w:tcPr>
          <w:p>
            <w:pPr/>
            <w:r>
              <w:rPr>
                <w:b/>
                <w:color w:val="FFFFFF"/>
              </w:rPr>
            </w:r>
            <w:r>
              <w:rPr>
                <w:rFonts w:ascii="Malgun Gothic" w:hAnsi="Malgun Gothic" w:eastAsia="맑은 고딕"/>
                <w:b/>
                <w:color w:val="FFFFFF"/>
              </w:rPr>
              <w:t>주제</w:t>
            </w:r>
          </w:p>
        </w:tc>
        <w:tc>
          <w:tcPr>
            <w:tcW w:type="dxa" w:w="2880"/>
            <w:shd w:fill="4472C4" w:val="clear"/>
          </w:tcPr>
          <w:p>
            <w:pPr/>
            <w:r>
              <w:rPr>
                <w:b/>
                <w:color w:val="FFFFFF"/>
              </w:rPr>
            </w:r>
            <w:r>
              <w:rPr>
                <w:rFonts w:ascii="Malgun Gothic" w:hAnsi="Malgun Gothic" w:eastAsia="맑은 고딕"/>
                <w:b/>
                <w:color w:val="FFFFFF"/>
              </w:rPr>
              <w:t>주요 요건</w:t>
            </w:r>
          </w:p>
        </w:tc>
      </w:tr>
      <w:tr>
        <w:tc>
          <w:tcPr>
            <w:tcW w:type="dxa" w:w="2880"/>
          </w:tcPr>
          <w:p>
            <w:pPr/>
            <w:r/>
            <w:r>
              <w:rPr>
                <w:rFonts w:ascii="Malgun Gothic" w:hAnsi="Malgun Gothic" w:eastAsia="맑은 고딕"/>
              </w:rPr>
              <w:t>A</w:t>
            </w:r>
          </w:p>
        </w:tc>
        <w:tc>
          <w:tcPr>
            <w:tcW w:type="dxa" w:w="2880"/>
          </w:tcPr>
          <w:p>
            <w:pPr/>
            <w:r/>
            <w:r>
              <w:rPr>
                <w:rFonts w:ascii="Malgun Gothic" w:hAnsi="Malgun Gothic" w:eastAsia="맑은 고딕"/>
              </w:rPr>
              <w:t>준수</w:t>
            </w:r>
          </w:p>
        </w:tc>
        <w:tc>
          <w:tcPr>
            <w:tcW w:type="dxa" w:w="2880"/>
          </w:tcPr>
          <w:p>
            <w:pPr/>
            <w:r/>
            <w:r>
              <w:rPr>
                <w:rFonts w:ascii="Malgun Gothic" w:hAnsi="Malgun Gothic" w:eastAsia="맑은 고딕"/>
              </w:rPr>
              <w:t>CEA 및 CFTC 규정 준수; 준수 정책 및 절차 수립</w:t>
            </w:r>
          </w:p>
        </w:tc>
      </w:tr>
      <w:tr>
        <w:tc>
          <w:tcPr>
            <w:tcW w:type="dxa" w:w="2880"/>
          </w:tcPr>
          <w:p>
            <w:pPr/>
            <w:r/>
            <w:r>
              <w:rPr>
                <w:rFonts w:ascii="Malgun Gothic" w:hAnsi="Malgun Gothic" w:eastAsia="맑은 고딕"/>
              </w:rPr>
              <w:t>B</w:t>
            </w:r>
          </w:p>
        </w:tc>
        <w:tc>
          <w:tcPr>
            <w:tcW w:type="dxa" w:w="2880"/>
          </w:tcPr>
          <w:p>
            <w:pPr/>
            <w:r/>
            <w:r>
              <w:rPr>
                <w:rFonts w:ascii="Malgun Gothic" w:hAnsi="Malgun Gothic" w:eastAsia="맑은 고딕"/>
              </w:rPr>
              <w:t>재무자원</w:t>
            </w:r>
          </w:p>
        </w:tc>
        <w:tc>
          <w:tcPr>
            <w:tcW w:type="dxa" w:w="2880"/>
          </w:tcPr>
          <w:p>
            <w:pPr/>
            <w:r/>
            <w:r>
              <w:rPr>
                <w:rFonts w:ascii="Malgun Gothic" w:hAnsi="Malgun Gothic" w:eastAsia="맑은 고딕"/>
              </w:rPr>
              <w:t>최대 익스포저 참가자 그룹의 부도를 충당하기에 충분한 자원 유지(Cover 1); 시스템적으로 중요한 DCO(SIDCO)의 경우 Cover 2</w:t>
            </w:r>
          </w:p>
        </w:tc>
      </w:tr>
      <w:tr>
        <w:tc>
          <w:tcPr>
            <w:tcW w:type="dxa" w:w="2880"/>
          </w:tcPr>
          <w:p>
            <w:pPr/>
            <w:r/>
            <w:r>
              <w:rPr>
                <w:rFonts w:ascii="Malgun Gothic" w:hAnsi="Malgun Gothic" w:eastAsia="맑은 고딕"/>
              </w:rPr>
              <w:t>C</w:t>
            </w:r>
          </w:p>
        </w:tc>
        <w:tc>
          <w:tcPr>
            <w:tcW w:type="dxa" w:w="2880"/>
          </w:tcPr>
          <w:p>
            <w:pPr/>
            <w:r/>
            <w:r>
              <w:rPr>
                <w:rFonts w:ascii="Malgun Gothic" w:hAnsi="Malgun Gothic" w:eastAsia="맑은 고딕"/>
              </w:rPr>
              <w:t>참가자 및 상품 적격</w:t>
            </w:r>
          </w:p>
        </w:tc>
        <w:tc>
          <w:tcPr>
            <w:tcW w:type="dxa" w:w="2880"/>
          </w:tcPr>
          <w:p>
            <w:pPr/>
            <w:r/>
            <w:r>
              <w:rPr>
                <w:rFonts w:ascii="Malgun Gothic" w:hAnsi="Malgun Gothic" w:eastAsia="맑은 고딕"/>
              </w:rPr>
              <w:t>리스크 기반 참가자 적격 기준 수립; 상품 적격 검토</w:t>
            </w:r>
          </w:p>
        </w:tc>
      </w:tr>
      <w:tr>
        <w:tc>
          <w:tcPr>
            <w:tcW w:type="dxa" w:w="2880"/>
          </w:tcPr>
          <w:p>
            <w:pPr/>
            <w:r/>
            <w:r>
              <w:rPr>
                <w:rFonts w:ascii="Malgun Gothic" w:hAnsi="Malgun Gothic" w:eastAsia="맑은 고딕"/>
              </w:rPr>
              <w:t>D</w:t>
            </w:r>
          </w:p>
        </w:tc>
        <w:tc>
          <w:tcPr>
            <w:tcW w:type="dxa" w:w="2880"/>
          </w:tcPr>
          <w:p>
            <w:pPr/>
            <w:r/>
            <w:r>
              <w:rPr>
                <w:rFonts w:ascii="Malgun Gothic" w:hAnsi="Malgun Gothic" w:eastAsia="맑은 고딕"/>
              </w:rPr>
              <w:t>리스크 관리</w:t>
            </w:r>
          </w:p>
        </w:tc>
        <w:tc>
          <w:tcPr>
            <w:tcW w:type="dxa" w:w="2880"/>
          </w:tcPr>
          <w:p>
            <w:pPr/>
            <w:r/>
            <w:r>
              <w:rPr>
                <w:rFonts w:ascii="Malgun Gothic" w:hAnsi="Malgun Gothic" w:eastAsia="맑은 고딕"/>
              </w:rPr>
              <w:t>포괄적 리스크 관리 체계; 증거금 방법론; 스트레스 테스트</w:t>
            </w:r>
          </w:p>
        </w:tc>
      </w:tr>
      <w:tr>
        <w:tc>
          <w:tcPr>
            <w:tcW w:type="dxa" w:w="2880"/>
          </w:tcPr>
          <w:p>
            <w:pPr/>
            <w:r/>
            <w:r>
              <w:rPr>
                <w:rFonts w:ascii="Malgun Gothic" w:hAnsi="Malgun Gothic" w:eastAsia="맑은 고딕"/>
              </w:rPr>
              <w:t>E</w:t>
            </w:r>
          </w:p>
        </w:tc>
        <w:tc>
          <w:tcPr>
            <w:tcW w:type="dxa" w:w="2880"/>
          </w:tcPr>
          <w:p>
            <w:pPr/>
            <w:r/>
            <w:r>
              <w:rPr>
                <w:rFonts w:ascii="Malgun Gothic" w:hAnsi="Malgun Gothic" w:eastAsia="맑은 고딕"/>
              </w:rPr>
              <w:t>결제 절차</w:t>
            </w:r>
          </w:p>
        </w:tc>
        <w:tc>
          <w:tcPr>
            <w:tcW w:type="dxa" w:w="2880"/>
          </w:tcPr>
          <w:p>
            <w:pPr/>
            <w:r/>
            <w:r>
              <w:rPr>
                <w:rFonts w:ascii="Malgun Gothic" w:hAnsi="Malgun Gothic" w:eastAsia="맑은 고딕"/>
              </w:rPr>
              <w:t>적시에 결제 완료(최소 일 1회 이상)</w:t>
            </w:r>
          </w:p>
        </w:tc>
      </w:tr>
      <w:tr>
        <w:tc>
          <w:tcPr>
            <w:tcW w:type="dxa" w:w="2880"/>
          </w:tcPr>
          <w:p>
            <w:pPr/>
            <w:r/>
            <w:r>
              <w:rPr>
                <w:rFonts w:ascii="Malgun Gothic" w:hAnsi="Malgun Gothic" w:eastAsia="맑은 고딕"/>
              </w:rPr>
              <w:t>F</w:t>
            </w:r>
          </w:p>
        </w:tc>
        <w:tc>
          <w:tcPr>
            <w:tcW w:type="dxa" w:w="2880"/>
          </w:tcPr>
          <w:p>
            <w:pPr/>
            <w:r/>
            <w:r>
              <w:rPr>
                <w:rFonts w:ascii="Malgun Gothic" w:hAnsi="Malgun Gothic" w:eastAsia="맑은 고딕"/>
              </w:rPr>
              <w:t>자금 취급</w:t>
            </w:r>
          </w:p>
        </w:tc>
        <w:tc>
          <w:tcPr>
            <w:tcW w:type="dxa" w:w="2880"/>
          </w:tcPr>
          <w:p>
            <w:pPr/>
            <w:r/>
            <w:r>
              <w:rPr>
                <w:rFonts w:ascii="Malgun Gothic" w:hAnsi="Malgun Gothic" w:eastAsia="맑은 고딕"/>
              </w:rPr>
              <w:t>고객 자금과 자기 자금의 분리보관; DCO 채권자의 청구로부터 보호</w:t>
            </w:r>
          </w:p>
        </w:tc>
      </w:tr>
      <w:tr>
        <w:tc>
          <w:tcPr>
            <w:tcW w:type="dxa" w:w="2880"/>
          </w:tcPr>
          <w:p>
            <w:pPr/>
            <w:r/>
            <w:r>
              <w:rPr>
                <w:rFonts w:ascii="Malgun Gothic" w:hAnsi="Malgun Gothic" w:eastAsia="맑은 고딕"/>
              </w:rPr>
              <w:t>G</w:t>
            </w:r>
          </w:p>
        </w:tc>
        <w:tc>
          <w:tcPr>
            <w:tcW w:type="dxa" w:w="2880"/>
          </w:tcPr>
          <w:p>
            <w:pPr/>
            <w:r/>
            <w:r>
              <w:rPr>
                <w:rFonts w:ascii="Malgun Gothic" w:hAnsi="Malgun Gothic" w:eastAsia="맑은 고딕"/>
              </w:rPr>
              <w:t>부도 규칙 및 절차</w:t>
            </w:r>
          </w:p>
        </w:tc>
        <w:tc>
          <w:tcPr>
            <w:tcW w:type="dxa" w:w="2880"/>
          </w:tcPr>
          <w:p>
            <w:pPr/>
            <w:r/>
            <w:r>
              <w:rPr>
                <w:rFonts w:ascii="Malgun Gothic" w:hAnsi="Malgun Gothic" w:eastAsia="맑은 고딕"/>
              </w:rPr>
              <w:t>청산, 경매, 손실 배분을 포함한 상세 부도 관리 절차</w:t>
            </w:r>
          </w:p>
        </w:tc>
      </w:tr>
      <w:tr>
        <w:tc>
          <w:tcPr>
            <w:tcW w:type="dxa" w:w="2880"/>
          </w:tcPr>
          <w:p>
            <w:pPr/>
            <w:r/>
            <w:r>
              <w:rPr>
                <w:rFonts w:ascii="Malgun Gothic" w:hAnsi="Malgun Gothic" w:eastAsia="맑은 고딕"/>
              </w:rPr>
              <w:t>H</w:t>
            </w:r>
          </w:p>
        </w:tc>
        <w:tc>
          <w:tcPr>
            <w:tcW w:type="dxa" w:w="2880"/>
          </w:tcPr>
          <w:p>
            <w:pPr/>
            <w:r/>
            <w:r>
              <w:rPr>
                <w:rFonts w:ascii="Malgun Gothic" w:hAnsi="Malgun Gothic" w:eastAsia="맑은 고딕"/>
              </w:rPr>
              <w:t>규칙 집행</w:t>
            </w:r>
          </w:p>
        </w:tc>
        <w:tc>
          <w:tcPr>
            <w:tcW w:type="dxa" w:w="2880"/>
          </w:tcPr>
          <w:p>
            <w:pPr/>
            <w:r/>
            <w:r>
              <w:rPr>
                <w:rFonts w:ascii="Malgun Gothic" w:hAnsi="Malgun Gothic" w:eastAsia="맑은 고딕"/>
              </w:rPr>
              <w:t>규칙 준수 시행; 감사 추적 능력 유지</w:t>
            </w:r>
          </w:p>
        </w:tc>
      </w:tr>
      <w:tr>
        <w:tc>
          <w:tcPr>
            <w:tcW w:type="dxa" w:w="2880"/>
          </w:tcPr>
          <w:p>
            <w:pPr/>
            <w:r/>
            <w:r>
              <w:rPr>
                <w:rFonts w:ascii="Malgun Gothic" w:hAnsi="Malgun Gothic" w:eastAsia="맑은 고딕"/>
              </w:rPr>
              <w:t>I</w:t>
            </w:r>
          </w:p>
        </w:tc>
        <w:tc>
          <w:tcPr>
            <w:tcW w:type="dxa" w:w="2880"/>
          </w:tcPr>
          <w:p>
            <w:pPr/>
            <w:r/>
            <w:r>
              <w:rPr>
                <w:rFonts w:ascii="Malgun Gothic" w:hAnsi="Malgun Gothic" w:eastAsia="맑은 고딕"/>
              </w:rPr>
              <w:t>시스템 안전장치</w:t>
            </w:r>
          </w:p>
        </w:tc>
        <w:tc>
          <w:tcPr>
            <w:tcW w:type="dxa" w:w="2880"/>
          </w:tcPr>
          <w:p>
            <w:pPr/>
            <w:r/>
            <w:r>
              <w:rPr>
                <w:rFonts w:ascii="Malgun Gothic" w:hAnsi="Malgun Gothic" w:eastAsia="맑은 고딕"/>
              </w:rPr>
              <w:t>견고한 IT 시스템; 업무연속성 계획; 사이버보안 요건</w:t>
            </w:r>
          </w:p>
        </w:tc>
      </w:tr>
      <w:tr>
        <w:tc>
          <w:tcPr>
            <w:tcW w:type="dxa" w:w="2880"/>
          </w:tcPr>
          <w:p>
            <w:pPr/>
            <w:r/>
            <w:r>
              <w:rPr>
                <w:rFonts w:ascii="Malgun Gothic" w:hAnsi="Malgun Gothic" w:eastAsia="맑은 고딕"/>
              </w:rPr>
              <w:t>J</w:t>
            </w:r>
          </w:p>
        </w:tc>
        <w:tc>
          <w:tcPr>
            <w:tcW w:type="dxa" w:w="2880"/>
          </w:tcPr>
          <w:p>
            <w:pPr/>
            <w:r/>
            <w:r>
              <w:rPr>
                <w:rFonts w:ascii="Malgun Gothic" w:hAnsi="Malgun Gothic" w:eastAsia="맑은 고딕"/>
              </w:rPr>
              <w:t>보고</w:t>
            </w:r>
          </w:p>
        </w:tc>
        <w:tc>
          <w:tcPr>
            <w:tcW w:type="dxa" w:w="2880"/>
          </w:tcPr>
          <w:p>
            <w:pPr/>
            <w:r/>
            <w:r>
              <w:rPr>
                <w:rFonts w:ascii="Malgun Gothic" w:hAnsi="Malgun Gothic" w:eastAsia="맑은 고딕"/>
              </w:rPr>
              <w:t>CFTC에 요구 사항 보고(일별, 분기별, 연간 보고, Part 39.19)</w:t>
            </w:r>
          </w:p>
        </w:tc>
      </w:tr>
      <w:tr>
        <w:tc>
          <w:tcPr>
            <w:tcW w:type="dxa" w:w="2880"/>
          </w:tcPr>
          <w:p>
            <w:pPr/>
            <w:r/>
            <w:r>
              <w:rPr>
                <w:rFonts w:ascii="Malgun Gothic" w:hAnsi="Malgun Gothic" w:eastAsia="맑은 고딕"/>
              </w:rPr>
              <w:t>K</w:t>
            </w:r>
          </w:p>
        </w:tc>
        <w:tc>
          <w:tcPr>
            <w:tcW w:type="dxa" w:w="2880"/>
          </w:tcPr>
          <w:p>
            <w:pPr/>
            <w:r/>
            <w:r>
              <w:rPr>
                <w:rFonts w:ascii="Malgun Gothic" w:hAnsi="Malgun Gothic" w:eastAsia="맑은 고딕"/>
              </w:rPr>
              <w:t>기록 보관</w:t>
            </w:r>
          </w:p>
        </w:tc>
        <w:tc>
          <w:tcPr>
            <w:tcW w:type="dxa" w:w="2880"/>
          </w:tcPr>
          <w:p>
            <w:pPr/>
            <w:r/>
            <w:r>
              <w:rPr>
                <w:rFonts w:ascii="Malgun Gothic" w:hAnsi="Malgun Gothic" w:eastAsia="맑은 고딕"/>
              </w:rPr>
              <w:t>최소 5년간 기록 유지</w:t>
            </w:r>
          </w:p>
        </w:tc>
      </w:tr>
      <w:tr>
        <w:tc>
          <w:tcPr>
            <w:tcW w:type="dxa" w:w="2880"/>
          </w:tcPr>
          <w:p>
            <w:pPr/>
            <w:r/>
            <w:r>
              <w:rPr>
                <w:rFonts w:ascii="Malgun Gothic" w:hAnsi="Malgun Gothic" w:eastAsia="맑은 고딕"/>
              </w:rPr>
              <w:t>L</w:t>
            </w:r>
          </w:p>
        </w:tc>
        <w:tc>
          <w:tcPr>
            <w:tcW w:type="dxa" w:w="2880"/>
          </w:tcPr>
          <w:p>
            <w:pPr/>
            <w:r/>
            <w:r>
              <w:rPr>
                <w:rFonts w:ascii="Malgun Gothic" w:hAnsi="Malgun Gothic" w:eastAsia="맑은 고딕"/>
              </w:rPr>
              <w:t>공개 정보</w:t>
            </w:r>
          </w:p>
        </w:tc>
        <w:tc>
          <w:tcPr>
            <w:tcW w:type="dxa" w:w="2880"/>
          </w:tcPr>
          <w:p>
            <w:pPr/>
            <w:r/>
            <w:r>
              <w:rPr>
                <w:rFonts w:ascii="Malgun Gothic" w:hAnsi="Malgun Gothic" w:eastAsia="맑은 고딕"/>
              </w:rPr>
              <w:t>규칙, 수수료, 절차 공개; 참가자에게 정보 제공</w:t>
            </w:r>
          </w:p>
        </w:tc>
      </w:tr>
      <w:tr>
        <w:tc>
          <w:tcPr>
            <w:tcW w:type="dxa" w:w="2880"/>
          </w:tcPr>
          <w:p>
            <w:pPr/>
            <w:r/>
            <w:r>
              <w:rPr>
                <w:rFonts w:ascii="Malgun Gothic" w:hAnsi="Malgun Gothic" w:eastAsia="맑은 고딕"/>
              </w:rPr>
              <w:t>M</w:t>
            </w:r>
          </w:p>
        </w:tc>
        <w:tc>
          <w:tcPr>
            <w:tcW w:type="dxa" w:w="2880"/>
          </w:tcPr>
          <w:p>
            <w:pPr/>
            <w:r/>
            <w:r>
              <w:rPr>
                <w:rFonts w:ascii="Malgun Gothic" w:hAnsi="Malgun Gothic" w:eastAsia="맑은 고딕"/>
              </w:rPr>
              <w:t>정보 공유</w:t>
            </w:r>
          </w:p>
        </w:tc>
        <w:tc>
          <w:tcPr>
            <w:tcW w:type="dxa" w:w="2880"/>
          </w:tcPr>
          <w:p>
            <w:pPr/>
            <w:r/>
            <w:r>
              <w:rPr>
                <w:rFonts w:ascii="Malgun Gothic" w:hAnsi="Malgun Gothic" w:eastAsia="맑은 고딕"/>
              </w:rPr>
              <w:t>CFTC 및 기타 규제기관과의 정보 공유 협력</w:t>
            </w:r>
          </w:p>
        </w:tc>
      </w:tr>
      <w:tr>
        <w:tc>
          <w:tcPr>
            <w:tcW w:type="dxa" w:w="2880"/>
          </w:tcPr>
          <w:p>
            <w:pPr/>
            <w:r/>
            <w:r>
              <w:rPr>
                <w:rFonts w:ascii="Malgun Gothic" w:hAnsi="Malgun Gothic" w:eastAsia="맑은 고딕"/>
              </w:rPr>
              <w:t>N</w:t>
            </w:r>
          </w:p>
        </w:tc>
        <w:tc>
          <w:tcPr>
            <w:tcW w:type="dxa" w:w="2880"/>
          </w:tcPr>
          <w:p>
            <w:pPr/>
            <w:r/>
            <w:r>
              <w:rPr>
                <w:rFonts w:ascii="Malgun Gothic" w:hAnsi="Malgun Gothic" w:eastAsia="맑은 고딕"/>
              </w:rPr>
              <w:t>반독점 고려사항</w:t>
            </w:r>
          </w:p>
        </w:tc>
        <w:tc>
          <w:tcPr>
            <w:tcW w:type="dxa" w:w="2880"/>
          </w:tcPr>
          <w:p>
            <w:pPr/>
            <w:r/>
            <w:r>
              <w:rPr>
                <w:rFonts w:ascii="Malgun Gothic" w:hAnsi="Malgun Gothic" w:eastAsia="맑은 고딕"/>
              </w:rPr>
              <w:t>경쟁 또는 접근을 저해하는 행위 방지</w:t>
            </w:r>
          </w:p>
        </w:tc>
      </w:tr>
      <w:tr>
        <w:tc>
          <w:tcPr>
            <w:tcW w:type="dxa" w:w="2880"/>
          </w:tcPr>
          <w:p>
            <w:pPr/>
            <w:r/>
            <w:r>
              <w:rPr>
                <w:rFonts w:ascii="Malgun Gothic" w:hAnsi="Malgun Gothic" w:eastAsia="맑은 고딕"/>
              </w:rPr>
              <w:t>O</w:t>
            </w:r>
          </w:p>
        </w:tc>
        <w:tc>
          <w:tcPr>
            <w:tcW w:type="dxa" w:w="2880"/>
          </w:tcPr>
          <w:p>
            <w:pPr/>
            <w:r/>
            <w:r>
              <w:rPr>
                <w:rFonts w:ascii="Malgun Gothic" w:hAnsi="Malgun Gothic" w:eastAsia="맑은 고딕"/>
              </w:rPr>
              <w:t>지배구조 적격 기준</w:t>
            </w:r>
          </w:p>
        </w:tc>
        <w:tc>
          <w:tcPr>
            <w:tcW w:type="dxa" w:w="2880"/>
          </w:tcPr>
          <w:p>
            <w:pPr/>
            <w:r/>
            <w:r>
              <w:rPr>
                <w:rFonts w:ascii="Malgun Gothic" w:hAnsi="Malgun Gothic" w:eastAsia="맑은 고딕"/>
              </w:rPr>
              <w:t>이사, 임원, 핵심 인력의 적격 기준</w:t>
            </w:r>
          </w:p>
        </w:tc>
      </w:tr>
      <w:tr>
        <w:tc>
          <w:tcPr>
            <w:tcW w:type="dxa" w:w="2880"/>
          </w:tcPr>
          <w:p>
            <w:pPr/>
            <w:r/>
            <w:r>
              <w:rPr>
                <w:rFonts w:ascii="Malgun Gothic" w:hAnsi="Malgun Gothic" w:eastAsia="맑은 고딕"/>
              </w:rPr>
              <w:t>P</w:t>
            </w:r>
          </w:p>
        </w:tc>
        <w:tc>
          <w:tcPr>
            <w:tcW w:type="dxa" w:w="2880"/>
          </w:tcPr>
          <w:p>
            <w:pPr/>
            <w:r/>
            <w:r>
              <w:rPr>
                <w:rFonts w:ascii="Malgun Gothic" w:hAnsi="Malgun Gothic" w:eastAsia="맑은 고딕"/>
              </w:rPr>
              <w:t>이해충돌</w:t>
            </w:r>
          </w:p>
        </w:tc>
        <w:tc>
          <w:tcPr>
            <w:tcW w:type="dxa" w:w="2880"/>
          </w:tcPr>
          <w:p>
            <w:pPr/>
            <w:r/>
            <w:r>
              <w:rPr>
                <w:rFonts w:ascii="Malgun Gothic" w:hAnsi="Malgun Gothic" w:eastAsia="맑은 고딕"/>
              </w:rPr>
              <w:t>이해충돌 최소화 절차 수립</w:t>
            </w:r>
          </w:p>
        </w:tc>
      </w:tr>
      <w:tr>
        <w:tc>
          <w:tcPr>
            <w:tcW w:type="dxa" w:w="2880"/>
          </w:tcPr>
          <w:p>
            <w:pPr/>
            <w:r/>
            <w:r>
              <w:rPr>
                <w:rFonts w:ascii="Malgun Gothic" w:hAnsi="Malgun Gothic" w:eastAsia="맑은 고딕"/>
              </w:rPr>
              <w:t>Q</w:t>
            </w:r>
          </w:p>
        </w:tc>
        <w:tc>
          <w:tcPr>
            <w:tcW w:type="dxa" w:w="2880"/>
          </w:tcPr>
          <w:p>
            <w:pPr/>
            <w:r/>
            <w:r>
              <w:rPr>
                <w:rFonts w:ascii="Malgun Gothic" w:hAnsi="Malgun Gothic" w:eastAsia="맑은 고딕"/>
              </w:rPr>
              <w:t>이사회 구성</w:t>
            </w:r>
          </w:p>
        </w:tc>
        <w:tc>
          <w:tcPr>
            <w:tcW w:type="dxa" w:w="2880"/>
          </w:tcPr>
          <w:p>
            <w:pPr/>
            <w:r/>
            <w:r>
              <w:rPr>
                <w:rFonts w:ascii="Malgun Gothic" w:hAnsi="Malgun Gothic" w:eastAsia="맑은 고딕"/>
              </w:rPr>
              <w:t>공익을 고려한 지배구조 요건</w:t>
            </w:r>
          </w:p>
        </w:tc>
      </w:tr>
      <w:tr>
        <w:tc>
          <w:tcPr>
            <w:tcW w:type="dxa" w:w="2880"/>
          </w:tcPr>
          <w:p>
            <w:pPr/>
            <w:r/>
            <w:r>
              <w:rPr>
                <w:rFonts w:ascii="Malgun Gothic" w:hAnsi="Malgun Gothic" w:eastAsia="맑은 고딕"/>
              </w:rPr>
              <w:t>R</w:t>
            </w:r>
          </w:p>
        </w:tc>
        <w:tc>
          <w:tcPr>
            <w:tcW w:type="dxa" w:w="2880"/>
          </w:tcPr>
          <w:p>
            <w:pPr/>
            <w:r/>
            <w:r>
              <w:rPr>
                <w:rFonts w:ascii="Malgun Gothic" w:hAnsi="Malgun Gothic" w:eastAsia="맑은 고딕"/>
              </w:rPr>
              <w:t>법적 리스크</w:t>
            </w:r>
          </w:p>
        </w:tc>
        <w:tc>
          <w:tcPr>
            <w:tcW w:type="dxa" w:w="2880"/>
          </w:tcPr>
          <w:p>
            <w:pPr/>
            <w:r/>
            <w:r>
              <w:rPr>
                <w:rFonts w:ascii="Malgun Gothic" w:hAnsi="Malgun Gothic" w:eastAsia="맑은 고딕"/>
              </w:rPr>
              <w:t>모든 관련 관할권에서 활동에 대한 확고한 법적 기반</w:t>
            </w:r>
          </w:p>
        </w:tc>
      </w:tr>
    </w:tbl>
    <w:p/>
    <w:p>
      <w:pPr>
        <w:pStyle w:val="Heading3"/>
      </w:pPr>
      <w:r>
        <w:rPr>
          <w:rFonts w:ascii="Malgun Gothic" w:hAnsi="Malgun Gothic" w:eastAsia="맑은 고딕"/>
        </w:rPr>
        <w:t>CFTC Part 39 -- 주요 규제 Sub-Part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Sub-Part</w:t>
            </w:r>
          </w:p>
        </w:tc>
        <w:tc>
          <w:tcPr>
            <w:tcW w:type="dxa" w:w="2880"/>
            <w:shd w:fill="4472C4" w:val="clear"/>
          </w:tcPr>
          <w:p>
            <w:pPr/>
            <w:r>
              <w:rPr>
                <w:b/>
                <w:color w:val="FFFFFF"/>
              </w:rPr>
            </w:r>
            <w:r>
              <w:rPr>
                <w:rFonts w:ascii="Malgun Gothic" w:hAnsi="Malgun Gothic" w:eastAsia="맑은 고딕"/>
                <w:b/>
                <w:color w:val="FFFFFF"/>
              </w:rPr>
              <w:t>범위</w:t>
            </w:r>
          </w:p>
        </w:tc>
        <w:tc>
          <w:tcPr>
            <w:tcW w:type="dxa" w:w="2880"/>
            <w:shd w:fill="4472C4" w:val="clear"/>
          </w:tcPr>
          <w:p>
            <w:pPr/>
            <w:r>
              <w:rPr>
                <w:b/>
                <w:color w:val="FFFFFF"/>
              </w:rPr>
            </w:r>
            <w:r>
              <w:rPr>
                <w:rFonts w:ascii="Malgun Gothic" w:hAnsi="Malgun Gothic" w:eastAsia="맑은 고딕"/>
                <w:b/>
                <w:color w:val="FFFFFF"/>
              </w:rPr>
              <w:t>주요 조항</w:t>
            </w:r>
          </w:p>
        </w:tc>
      </w:tr>
      <w:tr>
        <w:tc>
          <w:tcPr>
            <w:tcW w:type="dxa" w:w="2880"/>
          </w:tcPr>
          <w:p>
            <w:pPr/>
            <w:r/>
            <w:r>
              <w:rPr>
                <w:rFonts w:ascii="Malgun Gothic" w:hAnsi="Malgun Gothic" w:eastAsia="맑은 고딕"/>
              </w:rPr>
              <w:t>A (39.1-39.6)</w:t>
            </w:r>
          </w:p>
        </w:tc>
        <w:tc>
          <w:tcPr>
            <w:tcW w:type="dxa" w:w="2880"/>
          </w:tcPr>
          <w:p>
            <w:pPr/>
            <w:r/>
            <w:r>
              <w:rPr>
                <w:rFonts w:ascii="Malgun Gothic" w:hAnsi="Malgun Gothic" w:eastAsia="맑은 고딕"/>
              </w:rPr>
              <w:t>총칙</w:t>
            </w:r>
          </w:p>
        </w:tc>
        <w:tc>
          <w:tcPr>
            <w:tcW w:type="dxa" w:w="2880"/>
          </w:tcPr>
          <w:p>
            <w:pPr/>
            <w:r/>
            <w:r>
              <w:rPr>
                <w:rFonts w:ascii="Malgun Gothic" w:hAnsi="Malgun Gothic" w:eastAsia="맑은 고딕"/>
              </w:rPr>
              <w:t>정의, 등록 절차, 수정</w:t>
            </w:r>
          </w:p>
        </w:tc>
      </w:tr>
      <w:tr>
        <w:tc>
          <w:tcPr>
            <w:tcW w:type="dxa" w:w="2880"/>
          </w:tcPr>
          <w:p>
            <w:pPr/>
            <w:r/>
            <w:r>
              <w:rPr>
                <w:rFonts w:ascii="Malgun Gothic" w:hAnsi="Malgun Gothic" w:eastAsia="맑은 고딕"/>
              </w:rPr>
              <w:t>B (39.10-39.22)</w:t>
            </w:r>
          </w:p>
        </w:tc>
        <w:tc>
          <w:tcPr>
            <w:tcW w:type="dxa" w:w="2880"/>
          </w:tcPr>
          <w:p>
            <w:pPr/>
            <w:r/>
            <w:r>
              <w:rPr>
                <w:rFonts w:ascii="Malgun Gothic" w:hAnsi="Malgun Gothic" w:eastAsia="맑은 고딕"/>
              </w:rPr>
              <w:t>Core Principles 준수</w:t>
            </w:r>
          </w:p>
        </w:tc>
        <w:tc>
          <w:tcPr>
            <w:tcW w:type="dxa" w:w="2880"/>
          </w:tcPr>
          <w:p>
            <w:pPr/>
            <w:r/>
            <w:r>
              <w:rPr>
                <w:rFonts w:ascii="Malgun Gothic" w:hAnsi="Malgun Gothic" w:eastAsia="맑은 고딕"/>
              </w:rPr>
              <w:t>각 핵심원칙에 대한 세부 요건</w:t>
            </w:r>
          </w:p>
        </w:tc>
      </w:tr>
      <w:tr>
        <w:tc>
          <w:tcPr>
            <w:tcW w:type="dxa" w:w="2880"/>
          </w:tcPr>
          <w:p>
            <w:pPr/>
            <w:r/>
            <w:r>
              <w:rPr>
                <w:rFonts w:ascii="Malgun Gothic" w:hAnsi="Malgun Gothic" w:eastAsia="맑은 고딕"/>
              </w:rPr>
              <w:t>C (39.29-39.40)</w:t>
            </w:r>
          </w:p>
        </w:tc>
        <w:tc>
          <w:tcPr>
            <w:tcW w:type="dxa" w:w="2880"/>
          </w:tcPr>
          <w:p>
            <w:pPr/>
            <w:r/>
            <w:r>
              <w:rPr>
                <w:rFonts w:ascii="Malgun Gothic" w:hAnsi="Malgun Gothic" w:eastAsia="맑은 고딕"/>
              </w:rPr>
              <w:t>SIDCO 및 Subpart C DCO 적용 조항</w:t>
            </w:r>
          </w:p>
        </w:tc>
        <w:tc>
          <w:tcPr>
            <w:tcW w:type="dxa" w:w="2880"/>
          </w:tcPr>
          <w:p>
            <w:pPr/>
            <w:r/>
            <w:r>
              <w:rPr>
                <w:rFonts w:ascii="Malgun Gothic" w:hAnsi="Malgun Gothic" w:eastAsia="맑은 고딕"/>
              </w:rPr>
              <w:t>시스템적으로 중요한 DCO에 대한 강화 요건(예: Cover 2, 강화된 유동성, 회복/정리 계획 수립)</w:t>
            </w:r>
          </w:p>
        </w:tc>
      </w:tr>
      <w:tr>
        <w:tc>
          <w:tcPr>
            <w:tcW w:type="dxa" w:w="2880"/>
          </w:tcPr>
          <w:p>
            <w:pPr/>
            <w:r/>
            <w:r>
              <w:rPr>
                <w:rFonts w:ascii="Malgun Gothic" w:hAnsi="Malgun Gothic" w:eastAsia="맑은 고딕"/>
              </w:rPr>
              <w:t>D (39.41-39.42)</w:t>
            </w:r>
          </w:p>
        </w:tc>
        <w:tc>
          <w:tcPr>
            <w:tcW w:type="dxa" w:w="2880"/>
          </w:tcPr>
          <w:p>
            <w:pPr/>
            <w:r/>
            <w:r>
              <w:rPr>
                <w:rFonts w:ascii="Malgun Gothic" w:hAnsi="Malgun Gothic" w:eastAsia="맑은 고딕"/>
              </w:rPr>
              <w:t>대체준수 선택 DCO 적용 조항</w:t>
            </w:r>
          </w:p>
        </w:tc>
        <w:tc>
          <w:tcPr>
            <w:tcW w:type="dxa" w:w="2880"/>
          </w:tcPr>
          <w:p>
            <w:pPr/>
            <w:r/>
            <w:r>
              <w:rPr>
                <w:rFonts w:ascii="Malgun Gothic" w:hAnsi="Malgun Gothic" w:eastAsia="맑은 고딕"/>
              </w:rPr>
              <w:t>비미국 DCO가 자국 규제를 통해 준수할 수 있는 체계</w:t>
            </w:r>
          </w:p>
        </w:tc>
      </w:tr>
    </w:tbl>
    <w:p/>
    <w:p>
      <w:r>
        <w:rPr>
          <w:rFonts w:ascii="Malgun Gothic" w:hAnsi="Malgun Gothic" w:eastAsia="맑은 고딕"/>
        </w:rPr>
        <w:t>[Source: CEA, Section 5b; CFTC Part 39, 17 CFR Part 39; CFTC, "DCOs -- Rulemakings," accessed 2026-04-07]</w:t>
      </w:r>
    </w:p>
    <w:p>
      <w:pPr>
        <w:pBdr>
          <w:bottom w:val="single" w:sz="4" w:space="1" w:color="auto"/>
        </w:pBdr>
      </w:pPr>
    </w:p>
    <w:p>
      <w:pPr>
        <w:pStyle w:val="Heading2"/>
      </w:pPr>
      <w:r>
        <w:rPr>
          <w:rFonts w:ascii="Malgun Gothic" w:hAnsi="Malgun Gothic" w:eastAsia="맑은 고딕"/>
        </w:rPr>
        <w:t>3. CCP 인가 및 자본 요건 (CCP Authorization &amp; Capital Requirements)</w:t>
      </w:r>
    </w:p>
    <w:p>
      <w:pPr>
        <w:pStyle w:val="Heading3"/>
      </w:pPr>
      <w:r>
        <w:rPr>
          <w:rFonts w:ascii="Malgun Gothic" w:hAnsi="Malgun Gothic" w:eastAsia="맑은 고딕"/>
        </w:rPr>
        <w:t>3.1 SEC 등록 청산기관 (SEC-Registered Clearing Agencies)</w:t>
      </w:r>
    </w:p>
    <w:p>
      <w:pPr>
        <w:pStyle w:val="Heading3"/>
      </w:pPr>
      <w:r>
        <w:rPr>
          <w:rFonts w:ascii="Malgun Gothic" w:hAnsi="Malgun Gothic" w:eastAsia="맑은 고딕"/>
        </w:rPr>
        <w:t>등록 절차 (Registration Process)</w:t>
      </w:r>
    </w:p>
    <w:p>
      <w:pPr>
        <w:pStyle w:val="ListBullet"/>
      </w:pPr>
      <w:r>
        <w:rPr>
          <w:rFonts w:ascii="Malgun Gothic" w:hAnsi="Malgun Gothic" w:eastAsia="맑은 고딕"/>
          <w:b/>
        </w:rPr>
        <w:t>신청:</w:t>
      </w:r>
      <w:r>
        <w:rPr>
          <w:rFonts w:ascii="Malgun Gothic" w:hAnsi="Malgun Gothic" w:eastAsia="맑은 고딕"/>
        </w:rPr>
        <w:t xml:space="preserve"> SEC에 Form CA-1 제출(증권거래법 Section 17A(b)(1))</w:t>
      </w:r>
    </w:p>
    <w:p>
      <w:pPr>
        <w:pStyle w:val="ListBullet"/>
      </w:pPr>
      <w:r>
        <w:rPr>
          <w:rFonts w:ascii="Malgun Gothic" w:hAnsi="Malgun Gothic" w:eastAsia="맑은 고딕"/>
          <w:b/>
        </w:rPr>
        <w:t>검토 기간:</w:t>
      </w:r>
      <w:r>
        <w:rPr>
          <w:rFonts w:ascii="Malgun Gothic" w:hAnsi="Malgun Gothic" w:eastAsia="맑은 고딕"/>
        </w:rPr>
        <w:t xml:space="preserve"> SEC가 법정 기준 준수 여부를 검토; 신청에 대한 공개 의견 수렴 기회 제공</w:t>
      </w:r>
    </w:p>
    <w:p>
      <w:pPr>
        <w:pStyle w:val="ListBullet"/>
      </w:pPr>
      <w:r>
        <w:rPr>
          <w:rFonts w:ascii="Malgun Gothic" w:hAnsi="Malgun Gothic" w:eastAsia="맑은 고딕"/>
          <w:b/>
        </w:rPr>
        <w:t>승인/거부:</w:t>
      </w:r>
      <w:r>
        <w:rPr>
          <w:rFonts w:ascii="Malgun Gothic" w:hAnsi="Malgun Gothic" w:eastAsia="맑은 고딕"/>
        </w:rPr>
        <w:t xml:space="preserve"> 청산기관이 Section 17A 요건 및 관련 규칙을 충족하면 SEC가 등록 승인</w:t>
      </w:r>
    </w:p>
    <w:p>
      <w:pPr>
        <w:pStyle w:val="ListBullet"/>
      </w:pPr>
      <w:r>
        <w:rPr>
          <w:rFonts w:ascii="Malgun Gothic" w:hAnsi="Malgun Gothic" w:eastAsia="맑은 고딕"/>
          <w:b/>
        </w:rPr>
        <w:t>지속적 SRO 의무:</w:t>
      </w:r>
      <w:r>
        <w:rPr>
          <w:rFonts w:ascii="Malgun Gothic" w:hAnsi="Malgun Gothic" w:eastAsia="맑은 고딕"/>
        </w:rPr>
        <w:t xml:space="preserve"> 등록 후 청산기관은 SEC에 규칙 변경 제안을 제출(Rule 19b-4); SEC는 45일 이내 승인/불승인(90일까지 연장 가능)</w:t>
      </w:r>
    </w:p>
    <w:p>
      <w:pPr>
        <w:pStyle w:val="Heading3"/>
      </w:pPr>
      <w:r>
        <w:rPr>
          <w:rFonts w:ascii="Malgun Gothic" w:hAnsi="Malgun Gothic" w:eastAsia="맑은 고딕"/>
        </w:rPr>
        <w:t>자본/재무자원 요건 (Capital / Financial Resource Requirements)</w:t>
      </w:r>
    </w:p>
    <w:p>
      <w:pPr>
        <w:pStyle w:val="ListBullet"/>
      </w:pPr>
      <w:r>
        <w:rPr>
          <w:rFonts w:ascii="Malgun Gothic" w:hAnsi="Malgun Gothic" w:eastAsia="맑은 고딕"/>
          <w:b/>
        </w:rPr>
        <w:t>적용대상 청산기관(SIFMU):</w:t>
      </w:r>
    </w:p>
    <w:p>
      <w:pPr>
        <w:pStyle w:val="ListBullet"/>
      </w:pPr>
      <w:r>
        <w:rPr>
          <w:rFonts w:ascii="Malgun Gothic" w:hAnsi="Malgun Gothic" w:eastAsia="맑은 고딕"/>
          <w:b/>
        </w:rPr>
        <w:t>신용 리스크(17Ad-22(e)(4)):</w:t>
      </w:r>
      <w:r>
        <w:rPr>
          <w:rFonts w:ascii="Malgun Gothic" w:hAnsi="Malgun Gothic" w:eastAsia="맑은 고딕"/>
        </w:rPr>
        <w:t xml:space="preserve"> 극단적이지만 실현 가능한 조건에서 최대 익스포저 참가자 그룹의 부도를 충당하기에 충분한 재무자원 유지(Cover 1). 복수 관할권에서 시스템적으로 중요하거나 복잡한 리스크 프로필을 가진 CCP의 경우 Cover 2가 기대됨</w:t>
      </w:r>
    </w:p>
    <w:p>
      <w:pPr>
        <w:pStyle w:val="ListBullet"/>
      </w:pPr>
      <w:r>
        <w:rPr>
          <w:rFonts w:ascii="Malgun Gothic" w:hAnsi="Malgun Gothic" w:eastAsia="맑은 고딕"/>
          <w:b/>
        </w:rPr>
        <w:t>유동성(17Ad-22(e)(7)):</w:t>
      </w:r>
      <w:r>
        <w:rPr>
          <w:rFonts w:ascii="Malgun Gothic" w:hAnsi="Malgun Gothic" w:eastAsia="맑은 고딕"/>
        </w:rPr>
        <w:t xml:space="preserve"> 극단적이지만 실현 가능한 조건에서 최대 단일 참가자 그룹 부도 시 발생하는 유동성 익스포저를 충당하기에 충분한 적격 유동 자원 유지. 적격 자원에는 Federal Reserve 또는 신용도 높은 상업은행 예치금, 확약된 신용한도, 유동성 높은 담보 등 포함</w:t>
      </w:r>
    </w:p>
    <w:p>
      <w:pPr>
        <w:pStyle w:val="ListBullet"/>
      </w:pPr>
      <w:r>
        <w:rPr>
          <w:rFonts w:ascii="Malgun Gothic" w:hAnsi="Malgun Gothic" w:eastAsia="맑은 고딕"/>
          <w:b/>
        </w:rPr>
        <w:t>일반 사업 리스크(17Ad-22(e)(3) 및 (e)(15)):</w:t>
      </w:r>
      <w:r>
        <w:rPr>
          <w:rFonts w:ascii="Malgun Gothic" w:hAnsi="Malgun Gothic" w:eastAsia="맑은 고딕"/>
        </w:rPr>
        <w:t xml:space="preserve"> 지속적 운영을 위해 현재 운영비의 최소 6개월에 해당하는 자기자본으로 조달된 유동 순자산 보유 및 회복/정리 계획 수립</w:t>
      </w:r>
    </w:p>
    <w:p>
      <w:pPr>
        <w:pStyle w:val="ListBullet"/>
      </w:pPr>
      <w:r>
        <w:rPr>
          <w:rFonts w:ascii="Malgun Gothic" w:hAnsi="Malgun Gothic" w:eastAsia="맑은 고딕"/>
          <w:b/>
        </w:rPr>
        <w:t>비SIFMU 청산기관:</w:t>
      </w:r>
    </w:p>
    <w:p>
      <w:pPr>
        <w:pStyle w:val="ListBullet"/>
      </w:pPr>
      <w:r>
        <w:rPr>
          <w:rFonts w:ascii="Malgun Gothic" w:hAnsi="Malgun Gothic" w:eastAsia="맑은 고딕"/>
        </w:rPr>
        <w:t>Rule 17Ad-22 Sub-Part B(일반 기준) 준수 필요, 최대 참가자 그룹 부도를 견딜 수 있는 충분한 재무자원 포함</w:t>
      </w:r>
    </w:p>
    <w:p>
      <w:r>
        <w:rPr>
          <w:rFonts w:ascii="Malgun Gothic" w:hAnsi="Malgun Gothic" w:eastAsia="맑은 고딕"/>
        </w:rPr>
        <w:t>[Source: SEC Rule 17Ad-22(e)(3), (e)(4), (e)(7), (e)(15); SEC Release No. 34-78961]</w:t>
      </w:r>
    </w:p>
    <w:p>
      <w:pPr>
        <w:pStyle w:val="Heading3"/>
      </w:pPr>
      <w:r>
        <w:rPr>
          <w:rFonts w:ascii="Malgun Gothic" w:hAnsi="Malgun Gothic" w:eastAsia="맑은 고딕"/>
        </w:rPr>
        <w:t>3.2 CFTC 등록 DCO (CFTC-Registered DCOs)</w:t>
      </w:r>
    </w:p>
    <w:p>
      <w:pPr>
        <w:pStyle w:val="Heading3"/>
      </w:pPr>
      <w:r>
        <w:rPr>
          <w:rFonts w:ascii="Malgun Gothic" w:hAnsi="Malgun Gothic" w:eastAsia="맑은 고딕"/>
        </w:rPr>
        <w:t>등록 절차 (Registration Process)</w:t>
      </w:r>
    </w:p>
    <w:p>
      <w:pPr>
        <w:pStyle w:val="ListBullet"/>
      </w:pPr>
      <w:r>
        <w:rPr>
          <w:rFonts w:ascii="Malgun Gothic" w:hAnsi="Malgun Gothic" w:eastAsia="맑은 고딕"/>
          <w:b/>
        </w:rPr>
        <w:t>신청:</w:t>
      </w:r>
      <w:r>
        <w:rPr>
          <w:rFonts w:ascii="Malgun Gothic" w:hAnsi="Malgun Gothic" w:eastAsia="맑은 고딕"/>
        </w:rPr>
        <w:t xml:space="preserve"> CFTC Portal을 통해 전자적으로 Form DCO 제출(Part 39, Appendix A)</w:t>
      </w:r>
    </w:p>
    <w:p>
      <w:pPr>
        <w:pStyle w:val="ListBullet"/>
      </w:pPr>
      <w:r>
        <w:rPr>
          <w:rFonts w:ascii="Malgun Gothic" w:hAnsi="Malgun Gothic" w:eastAsia="맑은 고딕"/>
          <w:b/>
        </w:rPr>
        <w:t>검토 기간:</w:t>
      </w:r>
      <w:r>
        <w:rPr>
          <w:rFonts w:ascii="Malgun Gothic" w:hAnsi="Malgun Gothic" w:eastAsia="맑은 고딕"/>
        </w:rPr>
        <w:t xml:space="preserve"> CFTC가 18개 Core Principles 준수 여부를 검토; 추가 정보 요청 가능</w:t>
      </w:r>
    </w:p>
    <w:p>
      <w:pPr>
        <w:pStyle w:val="ListBullet"/>
      </w:pPr>
      <w:r>
        <w:rPr>
          <w:rFonts w:ascii="Malgun Gothic" w:hAnsi="Malgun Gothic" w:eastAsia="맑은 고딕"/>
          <w:b/>
        </w:rPr>
        <w:t>승인:</w:t>
      </w:r>
      <w:r>
        <w:rPr>
          <w:rFonts w:ascii="Malgun Gothic" w:hAnsi="Malgun Gothic" w:eastAsia="맑은 고딕"/>
        </w:rPr>
        <w:t xml:space="preserve"> Core Principles가 충족되면 CFTC가 등록 명령 발부</w:t>
      </w:r>
    </w:p>
    <w:p>
      <w:pPr>
        <w:pStyle w:val="ListBullet"/>
      </w:pPr>
      <w:r>
        <w:rPr>
          <w:rFonts w:ascii="Malgun Gothic" w:hAnsi="Malgun Gothic" w:eastAsia="맑은 고딕"/>
          <w:b/>
        </w:rPr>
        <w:t>지속적 준수:</w:t>
      </w:r>
      <w:r>
        <w:rPr>
          <w:rFonts w:ascii="Malgun Gothic" w:hAnsi="Malgun Gothic" w:eastAsia="맑은 고딕"/>
        </w:rPr>
        <w:t xml:space="preserve"> DCO는 규칙 및 절차 수정 사항을 CFTC에 제출하여야 하며, 정기 검사를 받아야 한다</w:t>
      </w:r>
    </w:p>
    <w:p>
      <w:pPr>
        <w:pStyle w:val="Heading3"/>
      </w:pPr>
      <w:r>
        <w:rPr>
          <w:rFonts w:ascii="Malgun Gothic" w:hAnsi="Malgun Gothic" w:eastAsia="맑은 고딕"/>
        </w:rPr>
        <w:t>재무자원 요건 (Financial Resource Requirements)</w:t>
      </w:r>
    </w:p>
    <w:p>
      <w:pPr>
        <w:pStyle w:val="ListBullet"/>
      </w:pPr>
      <w:r>
        <w:rPr>
          <w:rFonts w:ascii="Malgun Gothic" w:hAnsi="Malgun Gothic" w:eastAsia="맑은 고딕"/>
          <w:b/>
        </w:rPr>
        <w:t>일반 DCO(Part 39, Subpart B):</w:t>
      </w:r>
    </w:p>
    <w:p>
      <w:pPr>
        <w:pStyle w:val="ListBullet"/>
      </w:pPr>
      <w:r>
        <w:rPr>
          <w:rFonts w:ascii="Malgun Gothic" w:hAnsi="Malgun Gothic" w:eastAsia="맑은 고딕"/>
          <w:b/>
        </w:rPr>
        <w:t>Core Principle B(재무자원):</w:t>
      </w:r>
      <w:r>
        <w:rPr>
          <w:rFonts w:ascii="Malgun Gothic" w:hAnsi="Malgun Gothic" w:eastAsia="맑은 고딕"/>
        </w:rPr>
        <w:t xml:space="preserve"> 극단적이지만 실현 가능한 조건에서 최대 재무 익스포저 참가자 그룹의 부도를 충당하기에 충분한 재무자원 유지(Cover 1)</w:t>
      </w:r>
    </w:p>
    <w:p>
      <w:pPr>
        <w:pStyle w:val="ListBullet"/>
      </w:pPr>
      <w:r>
        <w:rPr>
          <w:rFonts w:ascii="Malgun Gothic" w:hAnsi="Malgun Gothic" w:eastAsia="맑은 고딕"/>
        </w:rPr>
        <w:t>재무자원은 청산회원 분담금(공동기금), DCO 자기자본, 기타 승인된 자원의 형태로 보유</w:t>
      </w:r>
    </w:p>
    <w:p>
      <w:pPr>
        <w:pStyle w:val="ListBullet"/>
      </w:pPr>
      <w:r>
        <w:rPr>
          <w:rFonts w:ascii="Malgun Gothic" w:hAnsi="Malgun Gothic" w:eastAsia="맑은 고딕"/>
        </w:rPr>
        <w:t>최소 1개월 예상 운영비를 일반 사업 리스크 자본으로 보유</w:t>
      </w:r>
    </w:p>
    <w:p>
      <w:pPr>
        <w:pStyle w:val="ListBullet"/>
      </w:pPr>
      <w:r>
        <w:rPr>
          <w:rFonts w:ascii="Malgun Gothic" w:hAnsi="Malgun Gothic" w:eastAsia="맑은 고딕"/>
          <w:b/>
        </w:rPr>
        <w:t>시스템적으로 중요한 DCO(SIDCO) 및 Subpart C DCO(Part 39, Subpart C):</w:t>
      </w:r>
    </w:p>
    <w:p>
      <w:pPr>
        <w:pStyle w:val="ListBullet"/>
      </w:pPr>
      <w:r>
        <w:rPr>
          <w:rFonts w:ascii="Malgun Gothic" w:hAnsi="Malgun Gothic" w:eastAsia="맑은 고딕"/>
          <w:b/>
        </w:rPr>
        <w:t>Cover 2:</w:t>
      </w:r>
      <w:r>
        <w:rPr>
          <w:rFonts w:ascii="Malgun Gothic" w:hAnsi="Malgun Gothic" w:eastAsia="맑은 고딕"/>
        </w:rPr>
        <w:t xml:space="preserve"> 극단적이지만 실현 가능한 조건에서 최대 결합 익스포저의 2개 참가자 그룹의 부도를 충당하기에 충분한 자원 유지</w:t>
      </w:r>
    </w:p>
    <w:p>
      <w:pPr>
        <w:pStyle w:val="ListBullet"/>
      </w:pPr>
      <w:r>
        <w:rPr>
          <w:rFonts w:ascii="Malgun Gothic" w:hAnsi="Malgun Gothic" w:eastAsia="맑은 고딕"/>
        </w:rPr>
        <w:t>강화된 유동성 요건</w:t>
      </w:r>
    </w:p>
    <w:p>
      <w:pPr>
        <w:pStyle w:val="ListBullet"/>
      </w:pPr>
      <w:r>
        <w:rPr>
          <w:rFonts w:ascii="Malgun Gothic" w:hAnsi="Malgun Gothic" w:eastAsia="맑은 고딕"/>
        </w:rPr>
        <w:t>회복 및 질서 있는 정리 계획 수립 의무</w:t>
      </w:r>
    </w:p>
    <w:p>
      <w:pPr>
        <w:pStyle w:val="ListBullet"/>
      </w:pPr>
      <w:r>
        <w:rPr>
          <w:rFonts w:ascii="Malgun Gothic" w:hAnsi="Malgun Gothic" w:eastAsia="맑은 고딕"/>
        </w:rPr>
        <w:t>DCO의 사전 적립 자원이 소진될 경우 추가 재무자원 조달을 위한 실행 가능한 계획을 이사회 승인하에 유지</w:t>
      </w:r>
    </w:p>
    <w:p>
      <w:r>
        <w:rPr>
          <w:rFonts w:ascii="Malgun Gothic" w:hAnsi="Malgun Gothic" w:eastAsia="맑은 고딕"/>
          <w:b/>
        </w:rPr>
        <w:t>현재 CFTC 등록 DCO(주요 기관):</w:t>
      </w:r>
      <w:r>
        <w:rPr>
          <w:rFonts w:ascii="Malgun Gothic" w:hAnsi="Malgun Gothic" w:eastAsia="맑은 고딕"/>
        </w:rPr>
        <w:t xml:space="preserve"> CME Clearing(SIDCO), ICE Clear Credit(SIDCO), ICE Clear US, LCH Ltd, LCH SA, Eurex Clearing, JSCC, SGX-DC, ASX Clear(Futures), Nodal Clear 등. 2026년 초 기준 약 15개의 완전 등록 DCO 및 여러 면제 DCO가 있다.</w:t>
      </w:r>
    </w:p>
    <w:p>
      <w:r>
        <w:rPr>
          <w:rFonts w:ascii="Malgun Gothic" w:hAnsi="Malgun Gothic" w:eastAsia="맑은 고딕"/>
        </w:rPr>
        <w:t>[Source: CFTC Part 39; CFTC, "Clearing Organizations," accessed 2026-04-07]</w:t>
      </w:r>
    </w:p>
    <w:p>
      <w:pPr>
        <w:pStyle w:val="Heading3"/>
      </w:pPr>
      <w:r>
        <w:rPr>
          <w:rFonts w:ascii="Malgun Gothic" w:hAnsi="Malgun Gothic" w:eastAsia="맑은 고딕"/>
        </w:rPr>
        <w:t>3.3 이중 등록 CCP (Dual-Registered CCPs)</w:t>
      </w:r>
    </w:p>
    <w:p>
      <w:r>
        <w:rPr>
          <w:rFonts w:ascii="Malgun Gothic" w:hAnsi="Malgun Gothic" w:eastAsia="맑은 고딕"/>
        </w:rPr>
        <w:t xml:space="preserve">여러 미국 CCP가 청산하는 상품의 특성으로 인해 SEC와 CFTC </w:t>
      </w:r>
      <w:r>
        <w:rPr>
          <w:rFonts w:ascii="Malgun Gothic" w:hAnsi="Malgun Gothic" w:eastAsia="맑은 고딕"/>
          <w:b/>
        </w:rPr>
        <w:t>모두</w:t>
      </w:r>
      <w:r>
        <w:rPr>
          <w:rFonts w:ascii="Malgun Gothic" w:hAnsi="Malgun Gothic" w:eastAsia="맑은 고딕"/>
        </w:rPr>
        <w:t>에 등록되어 있다: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기관</w:t>
            </w:r>
          </w:p>
        </w:tc>
        <w:tc>
          <w:tcPr>
            <w:tcW w:type="dxa" w:w="2160"/>
            <w:shd w:fill="4472C4" w:val="clear"/>
          </w:tcPr>
          <w:p>
            <w:pPr/>
            <w:r>
              <w:rPr>
                <w:b/>
                <w:color w:val="FFFFFF"/>
              </w:rPr>
            </w:r>
            <w:r>
              <w:rPr>
                <w:rFonts w:ascii="Malgun Gothic" w:hAnsi="Malgun Gothic" w:eastAsia="맑은 고딕"/>
                <w:b/>
                <w:color w:val="FFFFFF"/>
              </w:rPr>
              <w:t>SEC 등록</w:t>
            </w:r>
          </w:p>
        </w:tc>
        <w:tc>
          <w:tcPr>
            <w:tcW w:type="dxa" w:w="2160"/>
            <w:shd w:fill="4472C4" w:val="clear"/>
          </w:tcPr>
          <w:p>
            <w:pPr/>
            <w:r>
              <w:rPr>
                <w:b/>
                <w:color w:val="FFFFFF"/>
              </w:rPr>
            </w:r>
            <w:r>
              <w:rPr>
                <w:rFonts w:ascii="Malgun Gothic" w:hAnsi="Malgun Gothic" w:eastAsia="맑은 고딕"/>
                <w:b/>
                <w:color w:val="FFFFFF"/>
              </w:rPr>
              <w:t>CFTC 등록</w:t>
            </w:r>
          </w:p>
        </w:tc>
        <w:tc>
          <w:tcPr>
            <w:tcW w:type="dxa" w:w="2160"/>
            <w:shd w:fill="4472C4" w:val="clear"/>
          </w:tcPr>
          <w:p>
            <w:pPr/>
            <w:r>
              <w:rPr>
                <w:b/>
                <w:color w:val="FFFFFF"/>
              </w:rPr>
            </w:r>
            <w:r>
              <w:rPr>
                <w:rFonts w:ascii="Malgun Gothic" w:hAnsi="Malgun Gothic" w:eastAsia="맑은 고딕"/>
                <w:b/>
                <w:color w:val="FFFFFF"/>
              </w:rPr>
              <w:t>청산 상품</w:t>
            </w:r>
          </w:p>
        </w:tc>
      </w:tr>
      <w:tr>
        <w:tc>
          <w:tcPr>
            <w:tcW w:type="dxa" w:w="2160"/>
          </w:tcPr>
          <w:p>
            <w:pPr/>
            <w:r/>
            <w:r>
              <w:rPr>
                <w:rFonts w:ascii="Malgun Gothic" w:hAnsi="Malgun Gothic" w:eastAsia="맑은 고딕"/>
                <w:b/>
              </w:rPr>
              <w:t>OCC</w:t>
            </w:r>
          </w:p>
        </w:tc>
        <w:tc>
          <w:tcPr>
            <w:tcW w:type="dxa" w:w="2160"/>
          </w:tcPr>
          <w:p>
            <w:pPr/>
            <w:r/>
            <w:r>
              <w:rPr>
                <w:rFonts w:ascii="Malgun Gothic" w:hAnsi="Malgun Gothic" w:eastAsia="맑은 고딕"/>
              </w:rPr>
              <w:t>청산기관(Section 17A)</w:t>
            </w:r>
          </w:p>
        </w:tc>
        <w:tc>
          <w:tcPr>
            <w:tcW w:type="dxa" w:w="2160"/>
          </w:tcPr>
          <w:p>
            <w:pPr/>
            <w:r/>
            <w:r>
              <w:rPr>
                <w:rFonts w:ascii="Malgun Gothic" w:hAnsi="Malgun Gothic" w:eastAsia="맑은 고딕"/>
              </w:rPr>
              <w:t>DCO(Section 5b)</w:t>
            </w:r>
          </w:p>
        </w:tc>
        <w:tc>
          <w:tcPr>
            <w:tcW w:type="dxa" w:w="2160"/>
          </w:tcPr>
          <w:p>
            <w:pPr/>
            <w:r/>
            <w:r>
              <w:rPr>
                <w:rFonts w:ascii="Malgun Gothic" w:hAnsi="Malgun Gothic" w:eastAsia="맑은 고딕"/>
              </w:rPr>
              <w:t>상장 주식옵션(SEC 관할), 증권 및 주가지수 선물(CFTC 관할)</w:t>
            </w:r>
          </w:p>
        </w:tc>
      </w:tr>
      <w:tr>
        <w:tc>
          <w:tcPr>
            <w:tcW w:type="dxa" w:w="2160"/>
          </w:tcPr>
          <w:p>
            <w:pPr/>
            <w:r/>
            <w:r>
              <w:rPr>
                <w:rFonts w:ascii="Malgun Gothic" w:hAnsi="Malgun Gothic" w:eastAsia="맑은 고딕"/>
                <w:b/>
              </w:rPr>
              <w:t>ICE Clear Credit</w:t>
            </w:r>
          </w:p>
        </w:tc>
        <w:tc>
          <w:tcPr>
            <w:tcW w:type="dxa" w:w="2160"/>
          </w:tcPr>
          <w:p>
            <w:pPr/>
            <w:r/>
            <w:r>
              <w:rPr>
                <w:rFonts w:ascii="Malgun Gothic" w:hAnsi="Malgun Gothic" w:eastAsia="맑은 고딕"/>
              </w:rPr>
              <w:t>SBS 청산기관(Section 17A)</w:t>
            </w:r>
          </w:p>
        </w:tc>
        <w:tc>
          <w:tcPr>
            <w:tcW w:type="dxa" w:w="2160"/>
          </w:tcPr>
          <w:p>
            <w:pPr/>
            <w:r/>
            <w:r>
              <w:rPr>
                <w:rFonts w:ascii="Malgun Gothic" w:hAnsi="Malgun Gothic" w:eastAsia="맑은 고딕"/>
              </w:rPr>
              <w:t>DCO(Section 5b)</w:t>
            </w:r>
          </w:p>
        </w:tc>
        <w:tc>
          <w:tcPr>
            <w:tcW w:type="dxa" w:w="2160"/>
          </w:tcPr>
          <w:p>
            <w:pPr/>
            <w:r/>
            <w:r>
              <w:rPr>
                <w:rFonts w:ascii="Malgun Gothic" w:hAnsi="Malgun Gothic" w:eastAsia="맑은 고딕"/>
              </w:rPr>
              <w:t>CDS 지수(CFTC 관할, 스왑), 단일 종목 CDS(SEC 관할, SBS)</w:t>
            </w:r>
          </w:p>
        </w:tc>
      </w:tr>
      <w:tr>
        <w:tc>
          <w:tcPr>
            <w:tcW w:type="dxa" w:w="2160"/>
          </w:tcPr>
          <w:p>
            <w:pPr/>
            <w:r/>
            <w:r>
              <w:rPr>
                <w:rFonts w:ascii="Malgun Gothic" w:hAnsi="Malgun Gothic" w:eastAsia="맑은 고딕"/>
                <w:b/>
              </w:rPr>
              <w:t>CME Clearing</w:t>
            </w:r>
          </w:p>
        </w:tc>
        <w:tc>
          <w:tcPr>
            <w:tcW w:type="dxa" w:w="2160"/>
          </w:tcPr>
          <w:p>
            <w:pPr/>
            <w:r/>
            <w:r>
              <w:rPr>
                <w:rFonts w:ascii="Malgun Gothic" w:hAnsi="Malgun Gothic" w:eastAsia="맑은 고딕"/>
              </w:rPr>
              <w:t>증권 청산 미등록(별도 자회사 CME Securities Clearing Inc.가 2025년 12월 등록)</w:t>
            </w:r>
          </w:p>
        </w:tc>
        <w:tc>
          <w:tcPr>
            <w:tcW w:type="dxa" w:w="2160"/>
          </w:tcPr>
          <w:p>
            <w:pPr/>
            <w:r/>
            <w:r>
              <w:rPr>
                <w:rFonts w:ascii="Malgun Gothic" w:hAnsi="Malgun Gothic" w:eastAsia="맑은 고딕"/>
              </w:rPr>
              <w:t>DCO 및 SIDCO</w:t>
            </w:r>
          </w:p>
        </w:tc>
        <w:tc>
          <w:tcPr>
            <w:tcW w:type="dxa" w:w="2160"/>
          </w:tcPr>
          <w:p>
            <w:pPr/>
            <w:r/>
            <w:r>
              <w:rPr>
                <w:rFonts w:ascii="Malgun Gothic" w:hAnsi="Malgun Gothic" w:eastAsia="맑은 고딕"/>
              </w:rPr>
              <w:t>선물, 선물옵션, OTC 스왑; 국채(SEC 등록 CMESC를 통해)</w:t>
            </w:r>
          </w:p>
        </w:tc>
      </w:tr>
    </w:tbl>
    <w:p/>
    <w:p>
      <w:r>
        <w:rPr>
          <w:rFonts w:ascii="Malgun Gothic" w:hAnsi="Malgun Gothic" w:eastAsia="맑은 고딕"/>
          <w:b/>
        </w:rPr>
        <w:t>이중 등록 운영 방식:</w:t>
      </w:r>
    </w:p>
    <w:p>
      <w:pPr>
        <w:pStyle w:val="ListBullet"/>
      </w:pPr>
      <w:r>
        <w:rPr>
          <w:rFonts w:ascii="Malgun Gothic" w:hAnsi="Malgun Gothic" w:eastAsia="맑은 고딕"/>
        </w:rPr>
        <w:t>SEC와 CFTC는 이중 등록 청산기관/DCO 감독에 관한 양해각서(MOU)를 체결</w:t>
      </w:r>
    </w:p>
    <w:p>
      <w:pPr>
        <w:pStyle w:val="ListBullet"/>
      </w:pPr>
      <w:r>
        <w:rPr>
          <w:rFonts w:ascii="Malgun Gothic" w:hAnsi="Malgun Gothic" w:eastAsia="맑은 고딕"/>
        </w:rPr>
        <w:t>각 기관은 해당 상품 범주에 대해 자체 규칙(SEC는 Rule 17Ad-22, CFTC는 Part 39)을 적용</w:t>
      </w:r>
    </w:p>
    <w:p>
      <w:pPr>
        <w:pStyle w:val="ListBullet"/>
      </w:pPr>
      <w:r>
        <w:rPr>
          <w:rFonts w:ascii="Malgun Gothic" w:hAnsi="Malgun Gothic" w:eastAsia="맑은 고딕"/>
        </w:rPr>
        <w:t>양 기관은 중복 및 규제 부담을 최소화하기 위해 검사 및 규칙 제정을 조율</w:t>
      </w:r>
    </w:p>
    <w:p>
      <w:pPr>
        <w:pStyle w:val="ListBullet"/>
      </w:pPr>
      <w:r>
        <w:rPr>
          <w:rFonts w:ascii="Malgun Gothic" w:hAnsi="Malgun Gothic" w:eastAsia="맑은 고딕"/>
        </w:rPr>
        <w:t>OCC의 경우 특히 SEC가 Title VIII에 따른 "감독기관"이지만, CFTC는 OCC를 통해 청산되는 선물 및 선물옵션에 대한 완전한 DCO 감독 권한을 유지</w:t>
      </w:r>
    </w:p>
    <w:p>
      <w:r>
        <w:rPr>
          <w:rFonts w:ascii="Malgun Gothic" w:hAnsi="Malgun Gothic" w:eastAsia="맑은 고딕"/>
        </w:rPr>
        <w:t>[Source: SEC/CFTC MOU on Oversight of Dual-Registered Clearing Agencies; OCC PFMI Disclosure Framework, accessed 2026-04-07]</w:t>
      </w:r>
    </w:p>
    <w:p>
      <w:pPr>
        <w:pBdr>
          <w:bottom w:val="single" w:sz="4" w:space="1" w:color="auto"/>
        </w:pBdr>
      </w:pPr>
    </w:p>
    <w:p>
      <w:pPr>
        <w:pStyle w:val="Heading2"/>
      </w:pPr>
      <w:r>
        <w:rPr>
          <w:rFonts w:ascii="Malgun Gothic" w:hAnsi="Malgun Gothic" w:eastAsia="맑은 고딕"/>
        </w:rPr>
        <w:t>4. PFMI 준수 (PFMI Compliance)</w:t>
      </w:r>
    </w:p>
    <w:p>
      <w:pPr>
        <w:pStyle w:val="Heading3"/>
      </w:pPr>
      <w:r>
        <w:rPr>
          <w:rFonts w:ascii="Malgun Gothic" w:hAnsi="Malgun Gothic" w:eastAsia="맑은 고딕"/>
        </w:rPr>
        <w:t>4.1 미국의 PFMI 도입 (U.S. Adoption of PFMI)</w:t>
      </w:r>
    </w:p>
    <w:p>
      <w:r>
        <w:rPr>
          <w:rFonts w:ascii="Malgun Gothic" w:hAnsi="Malgun Gothic" w:eastAsia="맑은 고딕"/>
        </w:rPr>
        <w:t xml:space="preserve">PFMI (금융시장인프라에 관한 원칙)는 CPMI-IOSCO (지급결제 및 시장인프라 위원회 / 국제증권감독기구)가 2012년 4월 발표한 것으로, FMI에 대한 24개 원칙과 당국에 대한 5개 책무로 구성된다. 미국은 직접 전환이 아닌 </w:t>
      </w:r>
      <w:r>
        <w:rPr>
          <w:rFonts w:ascii="Malgun Gothic" w:hAnsi="Malgun Gothic" w:eastAsia="맑은 고딕"/>
          <w:b/>
        </w:rPr>
        <w:t>국내 규정</w:t>
      </w:r>
      <w:r>
        <w:rPr>
          <w:rFonts w:ascii="Malgun Gothic" w:hAnsi="Malgun Gothic" w:eastAsia="맑은 고딕"/>
        </w:rPr>
        <w:t>을 통해 PFMI를 도입하였다:</w:t>
      </w:r>
    </w:p>
    <w:p>
      <w:r>
        <w:rPr>
          <w:rFonts w:ascii="Malgun Gothic" w:hAnsi="Malgun Gothic" w:eastAsia="맑은 고딕"/>
          <w:b/>
        </w:rPr>
        <w:t>SEC 이행:</w:t>
      </w:r>
    </w:p>
    <w:p>
      <w:pPr>
        <w:pStyle w:val="ListBullet"/>
      </w:pPr>
      <w:r>
        <w:rPr>
          <w:rFonts w:ascii="Malgun Gothic" w:hAnsi="Malgun Gothic" w:eastAsia="맑은 고딕"/>
        </w:rPr>
        <w:t>Rule 17Ad-22(e)(Sub-Part C, 2016년 9월 채택) -- "적용대상 청산기관" 기준은 PFMI 원칙 1-24에 밀접하게 정합. SEC는 이 기준이 "관련 PFMI와 일관되도록 설계"되었다고 밝혔다</w:t>
      </w:r>
    </w:p>
    <w:p>
      <w:pPr>
        <w:pStyle w:val="ListBullet"/>
      </w:pPr>
      <w:r>
        <w:rPr>
          <w:rFonts w:ascii="Malgun Gothic" w:hAnsi="Malgun Gothic" w:eastAsia="맑은 고딕"/>
        </w:rPr>
        <w:t>대응 관계는 거의 일대일: 17Ad-22(e)(1)~(e)(23)의 각 조항이 특정 PFMI 원칙에 대응(2.3절 상세 표 참조)</w:t>
      </w:r>
    </w:p>
    <w:p>
      <w:r>
        <w:rPr>
          <w:rFonts w:ascii="Malgun Gothic" w:hAnsi="Malgun Gothic" w:eastAsia="맑은 고딕"/>
          <w:b/>
        </w:rPr>
        <w:t>CFTC 이행:</w:t>
      </w:r>
    </w:p>
    <w:p>
      <w:pPr>
        <w:pStyle w:val="ListBullet"/>
      </w:pPr>
      <w:r>
        <w:rPr>
          <w:rFonts w:ascii="Malgun Gothic" w:hAnsi="Malgun Gothic" w:eastAsia="맑은 고딕"/>
        </w:rPr>
        <w:t>CFTC 규정 Part 39 -- CFTC는 Part 39, 특히 SIDCO에 대한 Subpart C의 강화 요건 준수가 PFMI 준수를 나타낸다고 밝혔다</w:t>
      </w:r>
    </w:p>
    <w:p>
      <w:pPr>
        <w:pStyle w:val="ListBullet"/>
      </w:pPr>
      <w:r>
        <w:rPr>
          <w:rFonts w:ascii="Malgun Gothic" w:hAnsi="Malgun Gothic" w:eastAsia="맑은 고딕"/>
        </w:rPr>
        <w:t>CFTC는 PFMI 요건에 정합하기 위해 2011년에서 2020년 사이 여러 차례의 규칙 제정을 통해 Part 39를 갱신</w:t>
      </w:r>
    </w:p>
    <w:p>
      <w:r>
        <w:rPr>
          <w:rFonts w:ascii="Malgun Gothic" w:hAnsi="Malgun Gothic" w:eastAsia="맑은 고딕"/>
          <w:b/>
        </w:rPr>
        <w:t>공동 성명:</w:t>
      </w:r>
      <w:r>
        <w:rPr>
          <w:rFonts w:ascii="Malgun Gothic" w:hAnsi="Malgun Gothic" w:eastAsia="맑은 고딕"/>
        </w:rPr>
        <w:t xml:space="preserve"> 2012년 SEC와 CFTC는 각각의 규칙 제정이 PFMI와 일관되도록 의도되었으며, 포괄적 이행을 보장하기 위해 조율할 것이라는 공동 성명을 발표</w:t>
      </w:r>
    </w:p>
    <w:p>
      <w:r>
        <w:rPr>
          <w:rFonts w:ascii="Malgun Gothic" w:hAnsi="Malgun Gothic" w:eastAsia="맑은 고딕"/>
        </w:rPr>
        <w:t>[Source: SEC Release No. 34-78961 (September 2016); CFTC Part 39; CPMI-IOSCO, "Implementation monitoring of PFMI: Level 1 assessment -- United States," 2015]</w:t>
      </w:r>
    </w:p>
    <w:p>
      <w:pPr>
        <w:pStyle w:val="Heading3"/>
      </w:pPr>
      <w:r>
        <w:rPr>
          <w:rFonts w:ascii="Malgun Gothic" w:hAnsi="Malgun Gothic" w:eastAsia="맑은 고딕"/>
        </w:rPr>
        <w:t>4.2 국제 기준과의 차이 (Gaps and Differences from International Standards)</w:t>
      </w:r>
    </w:p>
    <w:p>
      <w:r>
        <w:rPr>
          <w:rFonts w:ascii="Malgun Gothic" w:hAnsi="Malgun Gothic" w:eastAsia="맑은 고딕"/>
        </w:rPr>
        <w:t>미국 규정은 PFMI와 광범위하게 일관되지만, 일부 차이가 존재한다: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영역</w:t>
            </w:r>
          </w:p>
        </w:tc>
        <w:tc>
          <w:tcPr>
            <w:tcW w:type="dxa" w:w="2160"/>
            <w:shd w:fill="4472C4" w:val="clear"/>
          </w:tcPr>
          <w:p>
            <w:pPr/>
            <w:r>
              <w:rPr>
                <w:b/>
                <w:color w:val="FFFFFF"/>
              </w:rPr>
            </w:r>
            <w:r>
              <w:rPr>
                <w:rFonts w:ascii="Malgun Gothic" w:hAnsi="Malgun Gothic" w:eastAsia="맑은 고딕"/>
                <w:b/>
                <w:color w:val="FFFFFF"/>
              </w:rPr>
              <w:t>PFMI 기준</w:t>
            </w:r>
          </w:p>
        </w:tc>
        <w:tc>
          <w:tcPr>
            <w:tcW w:type="dxa" w:w="2160"/>
            <w:shd w:fill="4472C4" w:val="clear"/>
          </w:tcPr>
          <w:p>
            <w:pPr/>
            <w:r>
              <w:rPr>
                <w:b/>
                <w:color w:val="FFFFFF"/>
              </w:rPr>
            </w:r>
            <w:r>
              <w:rPr>
                <w:rFonts w:ascii="Malgun Gothic" w:hAnsi="Malgun Gothic" w:eastAsia="맑은 고딕"/>
                <w:b/>
                <w:color w:val="FFFFFF"/>
              </w:rPr>
              <w:t>미국 접근 방식</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b/>
              </w:rPr>
              <w:t>CCP Cover 2</w:t>
            </w:r>
          </w:p>
        </w:tc>
        <w:tc>
          <w:tcPr>
            <w:tcW w:type="dxa" w:w="2160"/>
          </w:tcPr>
          <w:p>
            <w:pPr/>
            <w:r/>
            <w:r>
              <w:rPr>
                <w:rFonts w:ascii="Malgun Gothic" w:hAnsi="Malgun Gothic" w:eastAsia="맑은 고딕"/>
              </w:rPr>
              <w:t>PFMI 원칙 4: "복수 관할권에서 시스템적으로 중요한" CCP는 Cover 2 적용 필요</w:t>
            </w:r>
          </w:p>
        </w:tc>
        <w:tc>
          <w:tcPr>
            <w:tcW w:type="dxa" w:w="2160"/>
          </w:tcPr>
          <w:p>
            <w:pPr/>
            <w:r/>
            <w:r>
              <w:rPr>
                <w:rFonts w:ascii="Malgun Gothic" w:hAnsi="Malgun Gothic" w:eastAsia="맑은 고딕"/>
              </w:rPr>
              <w:t>SEC 17Ad-22(e)(4): Cover 1이 기본, 보다 복잡한 리스크 프로필에 대해 Cover 2 기대; CFTC Subpart C: SIDCO에 Cover 2</w:t>
            </w:r>
          </w:p>
        </w:tc>
        <w:tc>
          <w:tcPr>
            <w:tcW w:type="dxa" w:w="2160"/>
          </w:tcPr>
          <w:p>
            <w:pPr/>
            <w:r/>
            <w:r>
              <w:rPr>
                <w:rFonts w:ascii="Malgun Gothic" w:hAnsi="Malgun Gothic" w:eastAsia="맑은 고딕"/>
              </w:rPr>
              <w:t>모든 적용대상 청산기관이 SEC 규칙하에서 명시적으로 Cover 2를 충족할 의무가 있는 것은 아님</w:t>
            </w:r>
          </w:p>
        </w:tc>
      </w:tr>
      <w:tr>
        <w:tc>
          <w:tcPr>
            <w:tcW w:type="dxa" w:w="2160"/>
          </w:tcPr>
          <w:p>
            <w:pPr/>
            <w:r/>
            <w:r>
              <w:rPr>
                <w:rFonts w:ascii="Malgun Gothic" w:hAnsi="Malgun Gothic" w:eastAsia="맑은 고딕"/>
                <w:b/>
              </w:rPr>
              <w:t>중앙은행 화폐 결제</w:t>
            </w:r>
          </w:p>
        </w:tc>
        <w:tc>
          <w:tcPr>
            <w:tcW w:type="dxa" w:w="2160"/>
          </w:tcPr>
          <w:p>
            <w:pPr/>
            <w:r/>
            <w:r>
              <w:rPr>
                <w:rFonts w:ascii="Malgun Gothic" w:hAnsi="Malgun Gothic" w:eastAsia="맑은 고딕"/>
              </w:rPr>
              <w:t>PFMI 원칙 9: 실무적으로 가능하고 이용 가능한 경우 중앙은행 화폐로 자금 결제 수행</w:t>
            </w:r>
          </w:p>
        </w:tc>
        <w:tc>
          <w:tcPr>
            <w:tcW w:type="dxa" w:w="2160"/>
          </w:tcPr>
          <w:p>
            <w:pPr/>
            <w:r/>
            <w:r>
              <w:rPr>
                <w:rFonts w:ascii="Malgun Gothic" w:hAnsi="Malgun Gothic" w:eastAsia="맑은 고딕"/>
              </w:rPr>
              <w:t>DTC 및 NSCC는 Federal Reserve(Fedwire)를 통해 결제; FICC는 레포에 대해 주로 BNYM을 통한 삼자간 결제은행을 통해 결제</w:t>
            </w:r>
          </w:p>
        </w:tc>
        <w:tc>
          <w:tcPr>
            <w:tcW w:type="dxa" w:w="2160"/>
          </w:tcPr>
          <w:p>
            <w:pPr/>
            <w:r/>
            <w:r>
              <w:rPr>
                <w:rFonts w:ascii="Malgun Gothic" w:hAnsi="Malgun Gothic" w:eastAsia="맑은 고딕"/>
              </w:rPr>
              <w:t>FICC GSD 레포 결제는 상당한 상업은행 화폐 익스포저를 수반</w:t>
            </w:r>
          </w:p>
        </w:tc>
      </w:tr>
      <w:tr>
        <w:tc>
          <w:tcPr>
            <w:tcW w:type="dxa" w:w="2160"/>
          </w:tcPr>
          <w:p>
            <w:pPr/>
            <w:r/>
            <w:r>
              <w:rPr>
                <w:rFonts w:ascii="Malgun Gothic" w:hAnsi="Malgun Gothic" w:eastAsia="맑은 고딕"/>
                <w:b/>
              </w:rPr>
              <w:t>회복 계획</w:t>
            </w:r>
          </w:p>
        </w:tc>
        <w:tc>
          <w:tcPr>
            <w:tcW w:type="dxa" w:w="2160"/>
          </w:tcPr>
          <w:p>
            <w:pPr/>
            <w:r/>
            <w:r>
              <w:rPr>
                <w:rFonts w:ascii="Malgun Gothic" w:hAnsi="Malgun Gothic" w:eastAsia="맑은 고딕"/>
              </w:rPr>
              <w:t>PFMI 회복 지침(2017): 포괄적 회복 계획 도구</w:t>
            </w:r>
          </w:p>
        </w:tc>
        <w:tc>
          <w:tcPr>
            <w:tcW w:type="dxa" w:w="2160"/>
          </w:tcPr>
          <w:p>
            <w:pPr/>
            <w:r/>
            <w:r>
              <w:rPr>
                <w:rFonts w:ascii="Malgun Gothic" w:hAnsi="Malgun Gothic" w:eastAsia="맑은 고딕"/>
              </w:rPr>
              <w:t>SEC와 CFTC는 회복 및 정리 계획을 요구; 기관별 이행 정도 상이</w:t>
            </w:r>
          </w:p>
        </w:tc>
        <w:tc>
          <w:tcPr>
            <w:tcW w:type="dxa" w:w="2160"/>
          </w:tcPr>
          <w:p>
            <w:pPr/>
            <w:r/>
            <w:r>
              <w:rPr>
                <w:rFonts w:ascii="Malgun Gothic" w:hAnsi="Malgun Gothic" w:eastAsia="맑은 고딕"/>
              </w:rPr>
              <w:t>독립적인 "CCP 회복" 규정 없음; 기존 규칙에 내재된 요건</w:t>
            </w:r>
          </w:p>
        </w:tc>
      </w:tr>
      <w:tr>
        <w:tc>
          <w:tcPr>
            <w:tcW w:type="dxa" w:w="2160"/>
          </w:tcPr>
          <w:p>
            <w:pPr/>
            <w:r/>
            <w:r>
              <w:rPr>
                <w:rFonts w:ascii="Malgun Gothic" w:hAnsi="Malgun Gothic" w:eastAsia="맑은 고딕"/>
                <w:b/>
              </w:rPr>
              <w:t>정리 체계</w:t>
            </w:r>
          </w:p>
        </w:tc>
        <w:tc>
          <w:tcPr>
            <w:tcW w:type="dxa" w:w="2160"/>
          </w:tcPr>
          <w:p>
            <w:pPr/>
            <w:r/>
            <w:r>
              <w:rPr>
                <w:rFonts w:ascii="Malgun Gothic" w:hAnsi="Malgun Gothic" w:eastAsia="맑은 고딕"/>
              </w:rPr>
              <w:t>PFMI: 당국은 적절한 정리 체계를 보유하여야 함</w:t>
            </w:r>
          </w:p>
        </w:tc>
        <w:tc>
          <w:tcPr>
            <w:tcW w:type="dxa" w:w="2160"/>
          </w:tcPr>
          <w:p>
            <w:pPr/>
            <w:r/>
            <w:r>
              <w:rPr>
                <w:rFonts w:ascii="Malgun Gothic" w:hAnsi="Malgun Gothic" w:eastAsia="맑은 고딕"/>
              </w:rPr>
              <w:t>미국에 전용 CCP 정리 법률 없음(Dodd-Frank Title II의 OLA가 주요 체계이나, CCP 전용으로 설계되지 않음)</w:t>
            </w:r>
          </w:p>
        </w:tc>
        <w:tc>
          <w:tcPr>
            <w:tcW w:type="dxa" w:w="2160"/>
          </w:tcPr>
          <w:p>
            <w:pPr/>
            <w:r/>
            <w:r>
              <w:rPr>
                <w:rFonts w:ascii="Malgun Gothic" w:hAnsi="Malgun Gothic" w:eastAsia="맑은 고딕"/>
              </w:rPr>
              <w:t>입법 공백 -- 여러 법안이 제안되었으나 2026년 초 기준 미제정</w:t>
            </w:r>
          </w:p>
        </w:tc>
      </w:tr>
      <w:tr>
        <w:tc>
          <w:tcPr>
            <w:tcW w:type="dxa" w:w="2160"/>
          </w:tcPr>
          <w:p>
            <w:pPr/>
            <w:r/>
            <w:r>
              <w:rPr>
                <w:rFonts w:ascii="Malgun Gothic" w:hAnsi="Malgun Gothic" w:eastAsia="맑은 고딕"/>
                <w:b/>
              </w:rPr>
              <w:t>PQD 준수</w:t>
            </w:r>
          </w:p>
        </w:tc>
        <w:tc>
          <w:tcPr>
            <w:tcW w:type="dxa" w:w="2160"/>
          </w:tcPr>
          <w:p>
            <w:pPr/>
            <w:r/>
            <w:r>
              <w:rPr>
                <w:rFonts w:ascii="Malgun Gothic" w:hAnsi="Malgun Gothic" w:eastAsia="맑은 고딕"/>
              </w:rPr>
              <w:t>CPMI-IOSCO 공개정량공시(PQD)</w:t>
            </w:r>
          </w:p>
        </w:tc>
        <w:tc>
          <w:tcPr>
            <w:tcW w:type="dxa" w:w="2160"/>
          </w:tcPr>
          <w:p>
            <w:pPr/>
            <w:r/>
            <w:r>
              <w:rPr>
                <w:rFonts w:ascii="Malgun Gothic" w:hAnsi="Malgun Gothic" w:eastAsia="맑은 고딕"/>
              </w:rPr>
              <w:t>8개 지정 SIFMU 모두 분기별 PQD 보고서 발간; CPMI-IOSCO PQD 체계 준수</w:t>
            </w:r>
          </w:p>
        </w:tc>
        <w:tc>
          <w:tcPr>
            <w:tcW w:type="dxa" w:w="2160"/>
          </w:tcPr>
          <w:p>
            <w:pPr/>
            <w:r/>
            <w:r>
              <w:rPr>
                <w:rFonts w:ascii="Malgun Gothic" w:hAnsi="Malgun Gothic" w:eastAsia="맑은 고딕"/>
              </w:rPr>
              <w:t>완전 준수</w:t>
            </w:r>
          </w:p>
        </w:tc>
      </w:tr>
    </w:tbl>
    <w:p/>
    <w:p>
      <w:r>
        <w:rPr>
          <w:rFonts w:ascii="Malgun Gothic" w:hAnsi="Malgun Gothic" w:eastAsia="맑은 고딕"/>
        </w:rPr>
        <w:t>[Source: CPMI-IOSCO, "Implementation monitoring of PFMI: Second update to Level 1 Assessment Report," 2015; SEC Release No. 34-78961; industry commentary]</w:t>
      </w:r>
    </w:p>
    <w:p>
      <w:pPr>
        <w:pBdr>
          <w:bottom w:val="single" w:sz="4" w:space="1" w:color="auto"/>
        </w:pBdr>
      </w:pPr>
    </w:p>
    <w:p>
      <w:pPr>
        <w:pStyle w:val="Heading2"/>
      </w:pPr>
      <w:r>
        <w:rPr>
          <w:rFonts w:ascii="Malgun Gothic" w:hAnsi="Malgun Gothic" w:eastAsia="맑은 고딕"/>
        </w:rPr>
        <w:t>5. 회복 및 정리 체계 (Recovery &amp; Resolution Framework)</w:t>
      </w:r>
    </w:p>
    <w:p>
      <w:pPr>
        <w:pStyle w:val="Heading3"/>
      </w:pPr>
      <w:r>
        <w:rPr>
          <w:rFonts w:ascii="Malgun Gothic" w:hAnsi="Malgun Gothic" w:eastAsia="맑은 고딕"/>
        </w:rPr>
        <w:t>5.1 회복 계획 (Recovery Plans, CCP 생전유언)</w:t>
      </w:r>
    </w:p>
    <w:p>
      <w:r>
        <w:rPr>
          <w:rFonts w:ascii="Malgun Gothic" w:hAnsi="Malgun Gothic" w:eastAsia="맑은 고딕"/>
        </w:rPr>
        <w:t>PFMI 및 미국 규정에 따라, SIFMU 및 SIDCO는 실행 가능한 회복 및 질서 있는 정리 계획을 유지할 것이 기대된다.</w:t>
      </w:r>
    </w:p>
    <w:p>
      <w:r>
        <w:rPr>
          <w:rFonts w:ascii="Malgun Gothic" w:hAnsi="Malgun Gothic" w:eastAsia="맑은 고딕"/>
          <w:b/>
        </w:rPr>
        <w:t>SEC 요건(적용대상 청산기관):</w:t>
      </w:r>
    </w:p>
    <w:p>
      <w:pPr>
        <w:pStyle w:val="ListBullet"/>
      </w:pPr>
      <w:r>
        <w:rPr>
          <w:rFonts w:ascii="Malgun Gothic" w:hAnsi="Malgun Gothic" w:eastAsia="맑은 고딕"/>
        </w:rPr>
        <w:t>Rule 17Ad-22(e)(3)(ii)는 적용대상 청산기관이 기존 자원으로 청산회원 부도 손실을 충당하기에 부족한 경우 추가 재무자원 조달을 위한 실행 가능한 계획을 이사회 승인하에 유지하도록 요구</w:t>
      </w:r>
    </w:p>
    <w:p>
      <w:pPr>
        <w:pStyle w:val="ListBullet"/>
      </w:pPr>
      <w:r>
        <w:rPr>
          <w:rFonts w:ascii="Malgun Gothic" w:hAnsi="Malgun Gothic" w:eastAsia="맑은 고딕"/>
        </w:rPr>
        <w:t>Rule 17Ad-22(e)(15)(ii)는 일반 사업 손실(부도 손실과 구분) 시나리오를 고려한 회복 또는 질서 있는 정리 계획 수립을 요구</w:t>
      </w:r>
    </w:p>
    <w:p>
      <w:pPr>
        <w:pStyle w:val="ListBullet"/>
      </w:pPr>
      <w:r>
        <w:rPr>
          <w:rFonts w:ascii="Malgun Gothic" w:hAnsi="Malgun Gothic" w:eastAsia="맑은 고딕"/>
        </w:rPr>
        <w:t>각 적용대상 청산기관의 회복 도구에는 일반적으로 다음이 포함:</w:t>
      </w:r>
    </w:p>
    <w:p>
      <w:pPr>
        <w:pStyle w:val="ListBullet"/>
      </w:pPr>
      <w:r>
        <w:rPr>
          <w:rFonts w:ascii="Malgun Gothic" w:hAnsi="Malgun Gothic" w:eastAsia="맑은 고딕"/>
        </w:rPr>
        <w:t>추가분담금 부과 권한(assessment powers, 청산회원에 대한 추가 분담금 요구 능력)</w:t>
      </w:r>
    </w:p>
    <w:p>
      <w:pPr>
        <w:pStyle w:val="ListBullet"/>
      </w:pPr>
      <w:r>
        <w:rPr>
          <w:rFonts w:ascii="Malgun Gothic" w:hAnsi="Malgun Gothic" w:eastAsia="맑은 고딕"/>
        </w:rPr>
        <w:t>자발적 포지션 청산 / 부분 포지션 청산(voluntary tear-up / partial tear-up)</w:t>
      </w:r>
    </w:p>
    <w:p>
      <w:pPr>
        <w:pStyle w:val="ListBullet"/>
      </w:pPr>
      <w:r>
        <w:rPr>
          <w:rFonts w:ascii="Malgun Gothic" w:hAnsi="Malgun Gothic" w:eastAsia="맑은 고딕"/>
        </w:rPr>
        <w:t>변동증거금 삭감(VMGH, Variation Margin Gains Haircutting) -- 비부도 회원에게 지급할 이익 감소</w:t>
      </w:r>
    </w:p>
    <w:p>
      <w:pPr>
        <w:pStyle w:val="ListBullet"/>
      </w:pPr>
      <w:r>
        <w:rPr>
          <w:rFonts w:ascii="Malgun Gothic" w:hAnsi="Malgun Gothic" w:eastAsia="맑은 고딕"/>
        </w:rPr>
        <w:t>포지션 강제 배분(forced allocation)</w:t>
      </w:r>
    </w:p>
    <w:p>
      <w:pPr>
        <w:pStyle w:val="ListBullet"/>
      </w:pPr>
      <w:r>
        <w:rPr>
          <w:rFonts w:ascii="Malgun Gothic" w:hAnsi="Malgun Gothic" w:eastAsia="맑은 고딕"/>
        </w:rPr>
        <w:t>서비스 범위 축소</w:t>
      </w:r>
    </w:p>
    <w:p>
      <w:r>
        <w:rPr>
          <w:rFonts w:ascii="Malgun Gothic" w:hAnsi="Malgun Gothic" w:eastAsia="맑은 고딕"/>
          <w:b/>
        </w:rPr>
        <w:t>CFTC 요건(SIDCO 및 Subpart C DCO):</w:t>
      </w:r>
    </w:p>
    <w:p>
      <w:pPr>
        <w:pStyle w:val="ListBullet"/>
      </w:pPr>
      <w:r>
        <w:rPr>
          <w:rFonts w:ascii="Malgun Gothic" w:hAnsi="Malgun Gothic" w:eastAsia="맑은 고딕"/>
        </w:rPr>
        <w:t>Part 39.39(c)는 SIDCO 및 Subpart C DCO가 회복 또는 질서 있는 정리를 위한 실행 가능한 계획을 이사회 승인하에 유지하도록 요구</w:t>
      </w:r>
    </w:p>
    <w:p>
      <w:pPr>
        <w:pStyle w:val="ListBullet"/>
      </w:pPr>
      <w:r>
        <w:rPr>
          <w:rFonts w:ascii="Malgun Gothic" w:hAnsi="Malgun Gothic" w:eastAsia="맑은 고딕"/>
        </w:rPr>
        <w:t>계획은 DCO가 계속기업(going concern)으로 존속할 수 없게 하는 시나리오(미충당 신용 손실, 유동성 부족, 일반 사업 손실 포함)를 식별하여야 한다</w:t>
      </w:r>
    </w:p>
    <w:p>
      <w:pPr>
        <w:pStyle w:val="ListBullet"/>
      </w:pPr>
      <w:r>
        <w:rPr>
          <w:rFonts w:ascii="Malgun Gothic" w:hAnsi="Malgun Gothic" w:eastAsia="맑은 고딕"/>
        </w:rPr>
        <w:t>계획은 DCO가 회복하여 운영을 계속하거나 질서 있게 정리할 수 있게 하는 도구 및 절차를 식별하여야 한다</w:t>
      </w:r>
    </w:p>
    <w:p>
      <w:r>
        <w:rPr>
          <w:rFonts w:ascii="Malgun Gothic" w:hAnsi="Malgun Gothic" w:eastAsia="맑은 고딕"/>
          <w:b/>
        </w:rPr>
        <w:t>미국 CCP가 사용하는 회복 도구:</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Malgun Gothic" w:hAnsi="Malgun Gothic" w:eastAsia="맑은 고딕"/>
                <w:b/>
                <w:color w:val="FFFFFF"/>
              </w:rPr>
              <w:t>CCP</w:t>
            </w:r>
          </w:p>
        </w:tc>
        <w:tc>
          <w:tcPr>
            <w:tcW w:type="dxa" w:w="1728"/>
            <w:shd w:fill="4472C4" w:val="clear"/>
          </w:tcPr>
          <w:p>
            <w:pPr/>
            <w:r>
              <w:rPr>
                <w:b/>
                <w:color w:val="FFFFFF"/>
              </w:rPr>
            </w:r>
            <w:r>
              <w:rPr>
                <w:rFonts w:ascii="Malgun Gothic" w:hAnsi="Malgun Gothic" w:eastAsia="맑은 고딕"/>
                <w:b/>
                <w:color w:val="FFFFFF"/>
              </w:rPr>
              <w:t>추가분담금 부과 권한</w:t>
            </w:r>
          </w:p>
        </w:tc>
        <w:tc>
          <w:tcPr>
            <w:tcW w:type="dxa" w:w="1728"/>
            <w:shd w:fill="4472C4" w:val="clear"/>
          </w:tcPr>
          <w:p>
            <w:pPr/>
            <w:r>
              <w:rPr>
                <w:b/>
                <w:color w:val="FFFFFF"/>
              </w:rPr>
            </w:r>
            <w:r>
              <w:rPr>
                <w:rFonts w:ascii="Malgun Gothic" w:hAnsi="Malgun Gothic" w:eastAsia="맑은 고딕"/>
                <w:b/>
                <w:color w:val="FFFFFF"/>
              </w:rPr>
              <w:t>VMGH</w:t>
            </w:r>
          </w:p>
        </w:tc>
        <w:tc>
          <w:tcPr>
            <w:tcW w:type="dxa" w:w="1728"/>
            <w:shd w:fill="4472C4" w:val="clear"/>
          </w:tcPr>
          <w:p>
            <w:pPr/>
            <w:r>
              <w:rPr>
                <w:b/>
                <w:color w:val="FFFFFF"/>
              </w:rPr>
            </w:r>
            <w:r>
              <w:rPr>
                <w:rFonts w:ascii="Malgun Gothic" w:hAnsi="Malgun Gothic" w:eastAsia="맑은 고딕"/>
                <w:b/>
                <w:color w:val="FFFFFF"/>
              </w:rPr>
              <w:t>포지션 청산</w:t>
            </w:r>
          </w:p>
        </w:tc>
        <w:tc>
          <w:tcPr>
            <w:tcW w:type="dxa" w:w="1728"/>
            <w:shd w:fill="4472C4" w:val="clear"/>
          </w:tcPr>
          <w:p>
            <w:pPr/>
            <w:r>
              <w:rPr>
                <w:b/>
                <w:color w:val="FFFFFF"/>
              </w:rPr>
            </w:r>
            <w:r>
              <w:rPr>
                <w:rFonts w:ascii="Malgun Gothic" w:hAnsi="Malgun Gothic" w:eastAsia="맑은 고딕"/>
                <w:b/>
                <w:color w:val="FFFFFF"/>
              </w:rPr>
              <w:t>기타 도구</w:t>
            </w:r>
          </w:p>
        </w:tc>
      </w:tr>
      <w:tr>
        <w:tc>
          <w:tcPr>
            <w:tcW w:type="dxa" w:w="1728"/>
          </w:tcPr>
          <w:p>
            <w:pPr/>
            <w:r/>
            <w:r>
              <w:rPr>
                <w:rFonts w:ascii="Malgun Gothic" w:hAnsi="Malgun Gothic" w:eastAsia="맑은 고딕"/>
              </w:rPr>
              <w:t>NSCC</w:t>
            </w:r>
          </w:p>
        </w:tc>
        <w:tc>
          <w:tcPr>
            <w:tcW w:type="dxa" w:w="1728"/>
          </w:tcPr>
          <w:p>
            <w:pPr/>
            <w:r/>
            <w:r>
              <w:rPr>
                <w:rFonts w:ascii="Malgun Gothic" w:hAnsi="Malgun Gothic" w:eastAsia="맑은 고딕"/>
              </w:rPr>
              <w:t>있음(손실부담순서)</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있음(부분 청산)</w:t>
            </w:r>
          </w:p>
        </w:tc>
        <w:tc>
          <w:tcPr>
            <w:tcW w:type="dxa" w:w="1728"/>
          </w:tcPr>
          <w:p>
            <w:pPr/>
            <w:r/>
            <w:r>
              <w:rPr>
                <w:rFonts w:ascii="Malgun Gothic" w:hAnsi="Malgun Gothic" w:eastAsia="맑은 고딕"/>
              </w:rPr>
              <w:t>서비스 종료</w:t>
            </w:r>
          </w:p>
        </w:tc>
      </w:tr>
      <w:tr>
        <w:tc>
          <w:tcPr>
            <w:tcW w:type="dxa" w:w="1728"/>
          </w:tcPr>
          <w:p>
            <w:pPr/>
            <w:r/>
            <w:r>
              <w:rPr>
                <w:rFonts w:ascii="Malgun Gothic" w:hAnsi="Malgun Gothic" w:eastAsia="맑은 고딕"/>
              </w:rPr>
              <w:t>FICC</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서비스 축소</w:t>
            </w:r>
          </w:p>
        </w:tc>
      </w:tr>
      <w:tr>
        <w:tc>
          <w:tcPr>
            <w:tcW w:type="dxa" w:w="1728"/>
          </w:tcPr>
          <w:p>
            <w:pPr/>
            <w:r/>
            <w:r>
              <w:rPr>
                <w:rFonts w:ascii="Malgun Gothic" w:hAnsi="Malgun Gothic" w:eastAsia="맑은 고딕"/>
              </w:rPr>
              <w:t>OCC</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주주에 대한 자본 요청 [unverified]</w:t>
            </w:r>
          </w:p>
        </w:tc>
      </w:tr>
      <w:tr>
        <w:tc>
          <w:tcPr>
            <w:tcW w:type="dxa" w:w="1728"/>
          </w:tcPr>
          <w:p>
            <w:pPr/>
            <w:r/>
            <w:r>
              <w:rPr>
                <w:rFonts w:ascii="Malgun Gothic" w:hAnsi="Malgun Gothic" w:eastAsia="맑은 고딕"/>
              </w:rPr>
              <w:t>CME Clearing</w:t>
            </w:r>
          </w:p>
        </w:tc>
        <w:tc>
          <w:tcPr>
            <w:tcW w:type="dxa" w:w="1728"/>
          </w:tcPr>
          <w:p>
            <w:pPr/>
            <w:r/>
            <w:r>
              <w:rPr>
                <w:rFonts w:ascii="Malgun Gothic" w:hAnsi="Malgun Gothic" w:eastAsia="맑은 고딕"/>
              </w:rPr>
              <w:t>있음(추가분담금 청구권)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보증기금에 대한 제한적 청구; CME Group 자본 출연 활용</w:t>
            </w:r>
          </w:p>
        </w:tc>
      </w:tr>
      <w:tr>
        <w:tc>
          <w:tcPr>
            <w:tcW w:type="dxa" w:w="1728"/>
          </w:tcPr>
          <w:p>
            <w:pPr/>
            <w:r/>
            <w:r>
              <w:rPr>
                <w:rFonts w:ascii="Malgun Gothic" w:hAnsi="Malgun Gothic" w:eastAsia="맑은 고딕"/>
              </w:rPr>
              <w:t>ICE Clear Credit</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w:t>
            </w:r>
          </w:p>
        </w:tc>
        <w:tc>
          <w:tcPr>
            <w:tcW w:type="dxa" w:w="1728"/>
          </w:tcPr>
          <w:p>
            <w:pPr/>
            <w:r/>
            <w:r>
              <w:rPr>
                <w:rFonts w:ascii="Malgun Gothic" w:hAnsi="Malgun Gothic" w:eastAsia="맑은 고딕"/>
              </w:rPr>
              <w:t>있음(강제 배분)</w:t>
            </w:r>
          </w:p>
        </w:tc>
        <w:tc>
          <w:tcPr>
            <w:tcW w:type="dxa" w:w="1728"/>
          </w:tcPr>
          <w:p>
            <w:pPr/>
            <w:r/>
            <w:r>
              <w:rPr>
                <w:rFonts w:ascii="Malgun Gothic" w:hAnsi="Malgun Gothic" w:eastAsia="맑은 고딕"/>
              </w:rPr>
              <w:t>서비스 축소</w:t>
            </w:r>
          </w:p>
        </w:tc>
      </w:tr>
    </w:tbl>
    <w:p/>
    <w:p>
      <w:r>
        <w:rPr>
          <w:rFonts w:ascii="Malgun Gothic" w:hAnsi="Malgun Gothic" w:eastAsia="맑은 고딕"/>
        </w:rPr>
        <w:t>[Source: NSCC Rules &amp; Procedures; FICC Rules; OCC Rules; CME Clearing PFMI Disclosure; ICE Clear Credit Rules; SEC Rule 17Ad-22(e)(3), (e)(15); CFTC Part 39.39]</w:t>
      </w:r>
    </w:p>
    <w:p>
      <w:pPr>
        <w:pStyle w:val="Heading3"/>
      </w:pPr>
      <w:r>
        <w:rPr>
          <w:rFonts w:ascii="Malgun Gothic" w:hAnsi="Malgun Gothic" w:eastAsia="맑은 고딕"/>
        </w:rPr>
        <w:t>5.2 정리 체계 (Resolution Framework)</w:t>
      </w:r>
    </w:p>
    <w:p>
      <w:r>
        <w:rPr>
          <w:rFonts w:ascii="Malgun Gothic" w:hAnsi="Malgun Gothic" w:eastAsia="맑은 고딕"/>
          <w:b/>
        </w:rPr>
        <w:t>Orderly Liquidation Authority(OLA, 질서 있는 청산 권한) -- Dodd-Frank Act Title II:</w:t>
      </w:r>
    </w:p>
    <w:p>
      <w:pPr>
        <w:pStyle w:val="ListBullet"/>
      </w:pPr>
      <w:r>
        <w:rPr>
          <w:rFonts w:ascii="Malgun Gothic" w:hAnsi="Malgun Gothic" w:eastAsia="맑은 고딕"/>
        </w:rPr>
        <w:t>Dodd-Frank Act Title II는 실패가 미국 금융 안정성에 심각한 악영향을 미칠 "금융회사(financial companies)"에 대한 정리 체계로서 OLA를 수립</w:t>
      </w:r>
    </w:p>
    <w:p>
      <w:pPr>
        <w:pStyle w:val="ListBullet"/>
      </w:pPr>
      <w:r>
        <w:rPr>
          <w:rFonts w:ascii="Malgun Gothic" w:hAnsi="Malgun Gothic" w:eastAsia="맑은 고딕"/>
        </w:rPr>
        <w:t>FDIC(연방예금보험공사)가 OLA에 따른 관재인(receiver)으로 지정</w:t>
      </w:r>
    </w:p>
    <w:p>
      <w:pPr>
        <w:pStyle w:val="ListBullet"/>
      </w:pPr>
      <w:r>
        <w:rPr>
          <w:rFonts w:ascii="Malgun Gothic" w:hAnsi="Malgun Gothic" w:eastAsia="맑은 고딕"/>
          <w:b/>
        </w:rPr>
        <w:t>CCP에 대한 적용 가능성:</w:t>
      </w:r>
      <w:r>
        <w:rPr>
          <w:rFonts w:ascii="Malgun Gothic" w:hAnsi="Malgun Gothic" w:eastAsia="맑은 고딕"/>
        </w:rPr>
        <w:t xml:space="preserve"> Title II는 "금융회사"에 광범위하게 적용되며, 그 정의는 청산기관 및 DCO를 포괄할 수 있다. 그러나 Title II는 주로 은행지주회사 및 대형 금융기관을 위해 설계되었으며, CCP 정리에 특화되지 않았다</w:t>
      </w:r>
    </w:p>
    <w:p>
      <w:pPr>
        <w:pStyle w:val="ListBullet"/>
      </w:pPr>
      <w:r>
        <w:rPr>
          <w:rFonts w:ascii="Malgun Gothic" w:hAnsi="Malgun Gothic" w:eastAsia="맑은 고딕"/>
          <w:b/>
        </w:rPr>
        <w:t>3대 결정 요건:</w:t>
      </w:r>
      <w:r>
        <w:rPr>
          <w:rFonts w:ascii="Malgun Gothic" w:hAnsi="Malgun Gothic" w:eastAsia="맑은 고딕"/>
        </w:rPr>
        <w:t xml:space="preserve"> OLA를 발동하기 위해서는 재무장관이(대통령과 협의하여) Federal Reserve Board 위원 2/3 및 SEC 또는 CFTC(기관의 주요 규제기관에 따라) 위원 2/3의 권고에 따라 다음을 결정하여야 한다:</w:t>
      </w:r>
    </w:p>
    <w:p>
      <w:pPr>
        <w:pStyle w:val="ListBullet"/>
      </w:pPr>
      <w:r>
        <w:rPr>
          <w:rFonts w:ascii="Malgun Gothic" w:hAnsi="Malgun Gothic" w:eastAsia="맑은 고딕"/>
        </w:rPr>
        <w:t>금융회사가 부도 상태이거나 부도 위험에 처해 있다</w:t>
      </w:r>
    </w:p>
    <w:p>
      <w:pPr>
        <w:pStyle w:val="ListBullet"/>
      </w:pPr>
      <w:r>
        <w:rPr>
          <w:rFonts w:ascii="Malgun Gothic" w:hAnsi="Malgun Gothic" w:eastAsia="맑은 고딕"/>
        </w:rPr>
        <w:t>기타 적용 법률에 따른 해당 회사의 실패 및 정리가 미국 금융 안정성에 심각한 악영향을 미칠 것이다</w:t>
      </w:r>
    </w:p>
    <w:p>
      <w:pPr>
        <w:pStyle w:val="ListBullet"/>
      </w:pPr>
      <w:r>
        <w:rPr>
          <w:rFonts w:ascii="Malgun Gothic" w:hAnsi="Malgun Gothic" w:eastAsia="맑은 고딕"/>
        </w:rPr>
        <w:t>실행 가능한 민간 부문 대안이 없다</w:t>
      </w:r>
    </w:p>
    <w:p>
      <w:r>
        <w:rPr>
          <w:rFonts w:ascii="Malgun Gothic" w:hAnsi="Malgun Gothic" w:eastAsia="맑은 고딕"/>
          <w:b/>
        </w:rPr>
        <w:t>FDIC 역할:</w:t>
      </w:r>
    </w:p>
    <w:p>
      <w:pPr>
        <w:pStyle w:val="ListBullet"/>
      </w:pPr>
      <w:r>
        <w:rPr>
          <w:rFonts w:ascii="Malgun Gothic" w:hAnsi="Malgun Gothic" w:eastAsia="맑은 고딕"/>
        </w:rPr>
        <w:t>FDIC는 OLA에 따라 관재인 역할을 수행</w:t>
      </w:r>
    </w:p>
    <w:p>
      <w:pPr>
        <w:pStyle w:val="ListBullet"/>
      </w:pPr>
      <w:r>
        <w:rPr>
          <w:rFonts w:ascii="Malgun Gothic" w:hAnsi="Malgun Gothic" w:eastAsia="맑은 고딕"/>
        </w:rPr>
        <w:t>FDIC는 CCP 정리 시나리오를 연구하였으나, 전용 CCP 정리 체계는 발표하지 않았다</w:t>
      </w:r>
    </w:p>
    <w:p>
      <w:pPr>
        <w:pStyle w:val="ListBullet"/>
      </w:pPr>
      <w:r>
        <w:rPr>
          <w:rFonts w:ascii="Malgun Gothic" w:hAnsi="Malgun Gothic" w:eastAsia="맑은 고딕"/>
        </w:rPr>
        <w:t>2024년 FDIC와 Federal Reserve는 대형 금융기관의 정리 계획(Title I 생전유언)에 대한 갱신된 지침을 발표하였으나, 이는 주로 은행지주회사를 대상으로 하며 CCP를 대상으로 하지 않는다</w:t>
      </w:r>
    </w:p>
    <w:p>
      <w:r>
        <w:rPr>
          <w:rFonts w:ascii="Malgun Gothic" w:hAnsi="Malgun Gothic" w:eastAsia="맑은 고딕"/>
          <w:b/>
        </w:rPr>
        <w:t>입법 공백:</w:t>
      </w:r>
    </w:p>
    <w:p>
      <w:pPr>
        <w:pStyle w:val="ListBullet"/>
      </w:pPr>
      <w:r>
        <w:rPr>
          <w:rFonts w:ascii="Malgun Gothic" w:hAnsi="Malgun Gothic" w:eastAsia="맑은 고딕"/>
        </w:rPr>
        <w:t>미국에는 EU의 CCP Recovery and Resolution Regulation(EU 2021/23)에 상응하는 전용 CCP 정리 체계가 없다</w:t>
      </w:r>
    </w:p>
    <w:p>
      <w:pPr>
        <w:pStyle w:val="ListBullet"/>
      </w:pPr>
      <w:r>
        <w:rPr>
          <w:rFonts w:ascii="Malgun Gothic" w:hAnsi="Malgun Gothic" w:eastAsia="맑은 고딕"/>
        </w:rPr>
        <w:t>의회에 CCP 전용 정리 체계를 수립하기 위한 복수의 법안이 제출되었으나, 2026년 초 기준 제정된 것은 없다</w:t>
      </w:r>
    </w:p>
    <w:p>
      <w:pPr>
        <w:pStyle w:val="ListBullet"/>
      </w:pPr>
      <w:r>
        <w:rPr>
          <w:rFonts w:ascii="Malgun Gothic" w:hAnsi="Malgun Gothic" w:eastAsia="맑은 고딕"/>
        </w:rPr>
        <w:t>업계 단체(SIFMA, FIA 등)는 CCP의 고유한 손실부담순서(waterfall) 구조 및 손실배분 도구를 고려한 맞춤형 CCP 정리 권한을 옹호하였다</w:t>
      </w:r>
    </w:p>
    <w:p>
      <w:pPr>
        <w:ind w:left="720"/>
        <w:shd w:fill="F0F0F0" w:val="clear"/>
      </w:pPr>
      <w:r>
        <w:rPr>
          <w:rFonts w:ascii="Malgun Gothic" w:hAnsi="Malgun Gothic" w:eastAsia="맑은 고딕"/>
          <w:i/>
        </w:rPr>
        <w:t>**KRX/FSC 비교:** 한국도 전용 CCP 정리 법률이 없으며, FSCMA(자본시장법)가 FSC 개입에 일부 권한을 부여한다. 미국과 한국 모두 CCP 정리 체계의 입법적 공백이 존재하는 점에서 유사하다. EU가 이 분야에서 가장 앞서 있다.</w:t>
      </w:r>
    </w:p>
    <w:p>
      <w:r>
        <w:rPr>
          <w:rFonts w:ascii="Malgun Gothic" w:hAnsi="Malgun Gothic" w:eastAsia="맑은 고딕"/>
        </w:rPr>
        <w:t>[Source: Dodd-Frank Act, Title II; FDIC, "Overview of Resolution Under Title II of the Dodd-Frank Act," April 2024; Georgetown Financial Policy Institute, "An Overview of the Dodd-Frank Act and its Evolution," 2025]</w:t>
      </w:r>
    </w:p>
    <w:p>
      <w:pPr>
        <w:pBdr>
          <w:bottom w:val="single" w:sz="4" w:space="1" w:color="auto"/>
        </w:pBdr>
      </w:pPr>
    </w:p>
    <w:p>
      <w:pPr>
        <w:pStyle w:val="Heading2"/>
      </w:pPr>
      <w:r>
        <w:rPr>
          <w:rFonts w:ascii="Malgun Gothic" w:hAnsi="Malgun Gothic" w:eastAsia="맑은 고딕"/>
        </w:rPr>
        <w:t>6. 결제 규제 (Settlement Regulation)</w:t>
      </w:r>
    </w:p>
    <w:p>
      <w:pPr>
        <w:pStyle w:val="Heading3"/>
      </w:pPr>
      <w:r>
        <w:rPr>
          <w:rFonts w:ascii="Malgun Gothic" w:hAnsi="Malgun Gothic" w:eastAsia="맑은 고딕"/>
        </w:rPr>
        <w:t>6.1 T+1 결제 (T+1 Settlement)</w:t>
      </w:r>
    </w:p>
    <w:p>
      <w:pPr>
        <w:pStyle w:val="Heading3"/>
      </w:pPr>
      <w:r>
        <w:rPr>
          <w:rFonts w:ascii="Malgun Gothic" w:hAnsi="Malgun Gothic" w:eastAsia="맑은 고딕"/>
        </w:rPr>
        <w:t>배경 및 규제 연혁 (Background and Regulatory History)</w:t>
      </w:r>
    </w:p>
    <w:p>
      <w:r>
        <w:rPr>
          <w:rFonts w:ascii="Malgun Gothic" w:hAnsi="Malgun Gothic" w:eastAsia="맑은 고딕"/>
        </w:rPr>
        <w:t>미국의 결제주기는 수십 년에 걸쳐 점진적으로 단축되어 왔다: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기간</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규제 근거</w:t>
            </w:r>
          </w:p>
        </w:tc>
      </w:tr>
      <w:tr>
        <w:tc>
          <w:tcPr>
            <w:tcW w:type="dxa" w:w="2880"/>
          </w:tcPr>
          <w:p>
            <w:pPr/>
            <w:r/>
            <w:r>
              <w:rPr>
                <w:rFonts w:ascii="Malgun Gothic" w:hAnsi="Malgun Gothic" w:eastAsia="맑은 고딕"/>
              </w:rPr>
              <w:t>1993년 이전</w:t>
            </w:r>
          </w:p>
        </w:tc>
        <w:tc>
          <w:tcPr>
            <w:tcW w:type="dxa" w:w="2880"/>
          </w:tcPr>
          <w:p>
            <w:pPr/>
            <w:r/>
            <w:r>
              <w:rPr>
                <w:rFonts w:ascii="Malgun Gothic" w:hAnsi="Malgun Gothic" w:eastAsia="맑은 고딕"/>
              </w:rPr>
              <w:t>T+5</w:t>
            </w:r>
          </w:p>
        </w:tc>
        <w:tc>
          <w:tcPr>
            <w:tcW w:type="dxa" w:w="2880"/>
          </w:tcPr>
          <w:p>
            <w:pPr/>
            <w:r/>
            <w:r>
              <w:rPr>
                <w:rFonts w:ascii="Malgun Gothic" w:hAnsi="Malgun Gothic" w:eastAsia="맑은 고딕"/>
              </w:rPr>
              <w:t>업계 관행</w:t>
            </w:r>
          </w:p>
        </w:tc>
      </w:tr>
      <w:tr>
        <w:tc>
          <w:tcPr>
            <w:tcW w:type="dxa" w:w="2880"/>
          </w:tcPr>
          <w:p>
            <w:pPr/>
            <w:r/>
            <w:r>
              <w:rPr>
                <w:rFonts w:ascii="Malgun Gothic" w:hAnsi="Malgun Gothic" w:eastAsia="맑은 고딕"/>
              </w:rPr>
              <w:t>1993-2017</w:t>
            </w:r>
          </w:p>
        </w:tc>
        <w:tc>
          <w:tcPr>
            <w:tcW w:type="dxa" w:w="2880"/>
          </w:tcPr>
          <w:p>
            <w:pPr/>
            <w:r/>
            <w:r>
              <w:rPr>
                <w:rFonts w:ascii="Malgun Gothic" w:hAnsi="Malgun Gothic" w:eastAsia="맑은 고딕"/>
              </w:rPr>
              <w:t>T+3</w:t>
            </w:r>
          </w:p>
        </w:tc>
        <w:tc>
          <w:tcPr>
            <w:tcW w:type="dxa" w:w="2880"/>
          </w:tcPr>
          <w:p>
            <w:pPr/>
            <w:r/>
            <w:r>
              <w:rPr>
                <w:rFonts w:ascii="Malgun Gothic" w:hAnsi="Malgun Gothic" w:eastAsia="맑은 고딕"/>
              </w:rPr>
              <w:t>SEC Rule 15c6-1(1993년 6월 채택, 1995년 6월 시행)</w:t>
            </w:r>
          </w:p>
        </w:tc>
      </w:tr>
      <w:tr>
        <w:tc>
          <w:tcPr>
            <w:tcW w:type="dxa" w:w="2880"/>
          </w:tcPr>
          <w:p>
            <w:pPr/>
            <w:r/>
            <w:r>
              <w:rPr>
                <w:rFonts w:ascii="Malgun Gothic" w:hAnsi="Malgun Gothic" w:eastAsia="맑은 고딕"/>
              </w:rPr>
              <w:t>2017년 9월 - 2024년 5월</w:t>
            </w:r>
          </w:p>
        </w:tc>
        <w:tc>
          <w:tcPr>
            <w:tcW w:type="dxa" w:w="2880"/>
          </w:tcPr>
          <w:p>
            <w:pPr/>
            <w:r/>
            <w:r>
              <w:rPr>
                <w:rFonts w:ascii="Malgun Gothic" w:hAnsi="Malgun Gothic" w:eastAsia="맑은 고딕"/>
              </w:rPr>
              <w:t>T+2</w:t>
            </w:r>
          </w:p>
        </w:tc>
        <w:tc>
          <w:tcPr>
            <w:tcW w:type="dxa" w:w="2880"/>
          </w:tcPr>
          <w:p>
            <w:pPr/>
            <w:r/>
            <w:r>
              <w:rPr>
                <w:rFonts w:ascii="Malgun Gothic" w:hAnsi="Malgun Gothic" w:eastAsia="맑은 고딕"/>
              </w:rPr>
              <w:t>SEC Rule 15c6-1 개정(2017년 3월 채택, 2017년 9월 5일 시행)</w:t>
            </w:r>
          </w:p>
        </w:tc>
      </w:tr>
      <w:tr>
        <w:tc>
          <w:tcPr>
            <w:tcW w:type="dxa" w:w="2880"/>
          </w:tcPr>
          <w:p>
            <w:pPr/>
            <w:r/>
            <w:r>
              <w:rPr>
                <w:rFonts w:ascii="Malgun Gothic" w:hAnsi="Malgun Gothic" w:eastAsia="맑은 고딕"/>
              </w:rPr>
              <w:t>2024년 5월 28일 - 현재</w:t>
            </w:r>
          </w:p>
        </w:tc>
        <w:tc>
          <w:tcPr>
            <w:tcW w:type="dxa" w:w="2880"/>
          </w:tcPr>
          <w:p>
            <w:pPr/>
            <w:r/>
            <w:r>
              <w:rPr>
                <w:rFonts w:ascii="Malgun Gothic" w:hAnsi="Malgun Gothic" w:eastAsia="맑은 고딕"/>
              </w:rPr>
              <w:t>T+1</w:t>
            </w:r>
          </w:p>
        </w:tc>
        <w:tc>
          <w:tcPr>
            <w:tcW w:type="dxa" w:w="2880"/>
          </w:tcPr>
          <w:p>
            <w:pPr/>
            <w:r/>
            <w:r>
              <w:rPr>
                <w:rFonts w:ascii="Malgun Gothic" w:hAnsi="Malgun Gothic" w:eastAsia="맑은 고딕"/>
              </w:rPr>
              <w:t>SEC Rule 15c6-1 개정(2023년 2월 채택, 2024년 5월 28일 시행)</w:t>
            </w:r>
          </w:p>
        </w:tc>
      </w:tr>
    </w:tbl>
    <w:p/>
    <w:p>
      <w:pPr>
        <w:pStyle w:val="Heading3"/>
      </w:pPr>
      <w:r>
        <w:rPr>
          <w:rFonts w:ascii="Malgun Gothic" w:hAnsi="Malgun Gothic" w:eastAsia="맑은 고딕"/>
        </w:rPr>
        <w:t>SEC Rule 15c6-1 (T+1 개정)</w:t>
      </w:r>
    </w:p>
    <w:p>
      <w:r>
        <w:rPr>
          <w:rFonts w:ascii="Malgun Gothic" w:hAnsi="Malgun Gothic" w:eastAsia="맑은 고딕"/>
        </w:rPr>
        <w:t>2023년 2월 SEC는 표준 결제주기를 T+2에서 T+1로 단축하는 최종 규칙을 채택하였다:</w:t>
      </w:r>
    </w:p>
    <w:p>
      <w:pPr>
        <w:pStyle w:val="ListBullet"/>
      </w:pPr>
      <w:r>
        <w:rPr>
          <w:rFonts w:ascii="Malgun Gothic" w:hAnsi="Malgun Gothic" w:eastAsia="맑은 고딕"/>
          <w:b/>
        </w:rPr>
        <w:t>Rule 15c6-1(a):</w:t>
      </w:r>
      <w:r>
        <w:rPr>
          <w:rFonts w:ascii="Malgun Gothic" w:hAnsi="Malgun Gothic" w:eastAsia="맑은 고딕"/>
        </w:rPr>
        <w:t xml:space="preserve"> 당사자가 명시적으로 달리 합의하지 않는 한, 브로커 또는 딜러가 T+1 이후 자금 결제 및 증권 인도를 규정하는 증권 매매 계약을 체결하는 것을 금지</w:t>
      </w:r>
    </w:p>
    <w:p>
      <w:pPr>
        <w:pStyle w:val="ListBullet"/>
      </w:pPr>
      <w:r>
        <w:rPr>
          <w:rFonts w:ascii="Malgun Gothic" w:hAnsi="Malgun Gothic" w:eastAsia="맑은 고딕"/>
          <w:b/>
        </w:rPr>
        <w:t>Rule 15c6-1(b):</w:t>
      </w:r>
      <w:r>
        <w:rPr>
          <w:rFonts w:ascii="Malgun Gothic" w:hAnsi="Malgun Gothic" w:eastAsia="맑은 고딕"/>
        </w:rPr>
        <w:t xml:space="preserve"> 오후 4:30 ET 이후 가격이 결정된 확정공모(firm commitment offering)는 T+4에서 T+2로 단축</w:t>
      </w:r>
    </w:p>
    <w:p>
      <w:pPr>
        <w:pStyle w:val="ListBullet"/>
      </w:pPr>
      <w:r>
        <w:rPr>
          <w:rFonts w:ascii="Malgun Gothic" w:hAnsi="Malgun Gothic" w:eastAsia="맑은 고딕"/>
          <w:b/>
        </w:rPr>
        <w:t>Rule 15c6-2(신설):</w:t>
      </w:r>
      <w:r>
        <w:rPr>
          <w:rFonts w:ascii="Malgun Gothic" w:hAnsi="Malgun Gothic" w:eastAsia="맑은 고딕"/>
        </w:rPr>
        <w:t xml:space="preserve"> 배분, 확인, 또는 확약에 관여하는 브로커-딜러가 이러한 프로세스를 기술적으로 가능한 한 신속하게, 최소한 거래일(T+0) 종료 이전까지 완료하도록 관련 당사자와 서면 합의 또는 구속력 있는 약정을 체결하도록 요구</w:t>
      </w:r>
    </w:p>
    <w:p>
      <w:pPr>
        <w:pStyle w:val="ListBullet"/>
      </w:pPr>
      <w:r>
        <w:rPr>
          <w:rFonts w:ascii="Malgun Gothic" w:hAnsi="Malgun Gothic" w:eastAsia="맑은 고딕"/>
          <w:b/>
        </w:rPr>
        <w:t>시행일:</w:t>
      </w:r>
      <w:r>
        <w:rPr>
          <w:rFonts w:ascii="Malgun Gothic" w:hAnsi="Malgun Gothic" w:eastAsia="맑은 고딕"/>
        </w:rPr>
        <w:t xml:space="preserve"> 2024년 5월 28일</w:t>
      </w:r>
    </w:p>
    <w:p>
      <w:r>
        <w:rPr>
          <w:rFonts w:ascii="Malgun Gothic" w:hAnsi="Malgun Gothic" w:eastAsia="맑은 고딕"/>
        </w:rPr>
        <w:t>[Source: SEC Release No. 34-96930 (February 2023); SEC, "Shortening the Securities Transaction Settlement Cycle -- Compliance Guide," accessed 2026-04-07]</w:t>
      </w:r>
    </w:p>
    <w:p>
      <w:pPr>
        <w:pStyle w:val="Heading3"/>
      </w:pPr>
      <w:r>
        <w:rPr>
          <w:rFonts w:ascii="Malgun Gothic" w:hAnsi="Malgun Gothic" w:eastAsia="맑은 고딕"/>
        </w:rPr>
        <w:t>시행 결과 (Implementation Results)</w:t>
      </w:r>
    </w:p>
    <w:p>
      <w:r>
        <w:rPr>
          <w:rFonts w:ascii="Malgun Gothic" w:hAnsi="Malgun Gothic" w:eastAsia="맑은 고딕"/>
        </w:rPr>
        <w:t>T+1 전환은 전반적으로 성공적이었으며, 여러 측정 가능한 효과가 나타났다:</w:t>
      </w:r>
    </w:p>
    <w:p>
      <w:r>
        <w:rPr>
          <w:rFonts w:ascii="Malgun Gothic" w:hAnsi="Malgun Gothic" w:eastAsia="맑은 고딕"/>
          <w:b/>
        </w:rPr>
        <w:t>청산기금 감소:</w:t>
      </w:r>
    </w:p>
    <w:p>
      <w:pPr>
        <w:pStyle w:val="ListBullet"/>
      </w:pPr>
      <w:r>
        <w:rPr>
          <w:rFonts w:ascii="Malgun Gothic" w:hAnsi="Malgun Gothic" w:eastAsia="맑은 고딕"/>
        </w:rPr>
        <w:t xml:space="preserve">NSCC 청산기금은 전환 직후 기간에 전월 평균 122억 달러(T+2)에서 98억 달러(T+1)로 평균 </w:t>
      </w:r>
      <w:r>
        <w:rPr>
          <w:rFonts w:ascii="Malgun Gothic" w:hAnsi="Malgun Gothic" w:eastAsia="맑은 고딕"/>
          <w:b/>
        </w:rPr>
        <w:t>24억 달러(20%)</w:t>
      </w:r>
      <w:r>
        <w:rPr>
          <w:rFonts w:ascii="Malgun Gothic" w:hAnsi="Malgun Gothic" w:eastAsia="맑은 고딕"/>
        </w:rPr>
        <w:t xml:space="preserve"> 감소</w:t>
      </w:r>
    </w:p>
    <w:p>
      <w:pPr>
        <w:pStyle w:val="ListBullet"/>
      </w:pPr>
      <w:r>
        <w:rPr>
          <w:rFonts w:ascii="Malgun Gothic" w:hAnsi="Malgun Gothic" w:eastAsia="맑은 고딕"/>
        </w:rPr>
        <w:t xml:space="preserve">첫 분기(2024년 3분기) 전체로는 전 분기 평균 128억 달러에서 91억 달러로 약 </w:t>
      </w:r>
      <w:r>
        <w:rPr>
          <w:rFonts w:ascii="Malgun Gothic" w:hAnsi="Malgun Gothic" w:eastAsia="맑은 고딕"/>
          <w:b/>
        </w:rPr>
        <w:t>37억 달러(29%)</w:t>
      </w:r>
      <w:r>
        <w:rPr>
          <w:rFonts w:ascii="Malgun Gothic" w:hAnsi="Malgun Gothic" w:eastAsia="맑은 고딕"/>
        </w:rPr>
        <w:t xml:space="preserve"> 감소</w:t>
      </w:r>
    </w:p>
    <w:p>
      <w:pPr>
        <w:pStyle w:val="ListBullet"/>
      </w:pPr>
      <w:r>
        <w:rPr>
          <w:rFonts w:ascii="Malgun Gothic" w:hAnsi="Malgun Gothic" w:eastAsia="맑은 고딕"/>
        </w:rPr>
        <w:t>이 감소는 청산회원에 대한 상당한 자본 절감을 의미</w:t>
      </w:r>
    </w:p>
    <w:p>
      <w:r>
        <w:rPr>
          <w:rFonts w:ascii="Malgun Gothic" w:hAnsi="Malgun Gothic" w:eastAsia="맑은 고딕"/>
          <w:b/>
        </w:rPr>
        <w:t>결제 실패율:</w:t>
      </w:r>
    </w:p>
    <w:p>
      <w:pPr>
        <w:pStyle w:val="ListBullet"/>
      </w:pPr>
      <w:r>
        <w:rPr>
          <w:rFonts w:ascii="Malgun Gothic" w:hAnsi="Malgun Gothic" w:eastAsia="맑은 고딕"/>
        </w:rPr>
        <w:t xml:space="preserve">실패율 증가에 대한 초기 업계 우려와 달리, 결제 실패율은 </w:t>
      </w:r>
      <w:r>
        <w:rPr>
          <w:rFonts w:ascii="Malgun Gothic" w:hAnsi="Malgun Gothic" w:eastAsia="맑은 고딕"/>
          <w:b/>
        </w:rPr>
        <w:t>안정적</w:t>
      </w:r>
      <w:r>
        <w:rPr>
          <w:rFonts w:ascii="Malgun Gothic" w:hAnsi="Malgun Gothic" w:eastAsia="맑은 고딕"/>
        </w:rPr>
        <w:t xml:space="preserve"> 유지</w:t>
      </w:r>
    </w:p>
    <w:p>
      <w:pPr>
        <w:pStyle w:val="ListBullet"/>
      </w:pPr>
      <w:r>
        <w:rPr>
          <w:rFonts w:ascii="Malgun Gothic" w:hAnsi="Malgun Gothic" w:eastAsia="맑은 고딕"/>
        </w:rPr>
        <w:t>T+1 첫 날(2024년 5월 28일): CNS 실패율 1.9%(T+1 이전 2.01%); DTC 비CNS 실패율 2.92%(T+1 이전 3.24%)</w:t>
      </w:r>
    </w:p>
    <w:p>
      <w:pPr>
        <w:pStyle w:val="ListBullet"/>
      </w:pPr>
      <w:r>
        <w:rPr>
          <w:rFonts w:ascii="Malgun Gothic" w:hAnsi="Malgun Gothic" w:eastAsia="맑은 고딕"/>
        </w:rPr>
        <w:t>2024년 7월 월평균: CNS 실패율 2.12%, DTC 비CNS 실패율 3.31% -- 모두 T+2 과거 평균과 일치</w:t>
      </w:r>
    </w:p>
    <w:p>
      <w:r>
        <w:rPr>
          <w:rFonts w:ascii="Malgun Gothic" w:hAnsi="Malgun Gothic" w:eastAsia="맑은 고딕"/>
          <w:b/>
        </w:rPr>
        <w:t>확약률:</w:t>
      </w:r>
    </w:p>
    <w:p>
      <w:pPr>
        <w:pStyle w:val="ListBullet"/>
      </w:pPr>
      <w:r>
        <w:rPr>
          <w:rFonts w:ascii="Malgun Gothic" w:hAnsi="Malgun Gothic" w:eastAsia="맑은 고딕"/>
        </w:rPr>
        <w:t>당일 확약률(same-day affirmation rate)이 약 74%(T+1 이전)에서 시행 후 수개월 내 90% 이상으로 크게 증가</w:t>
      </w:r>
    </w:p>
    <w:p>
      <w:pPr>
        <w:pStyle w:val="ListBullet"/>
      </w:pPr>
      <w:r>
        <w:rPr>
          <w:rFonts w:ascii="Malgun Gothic" w:hAnsi="Malgun Gothic" w:eastAsia="맑은 고딕"/>
        </w:rPr>
        <w:t>DTCC의 CTM(Central Trade Manager) 및 ITP(Institutional Trade Processing) 플랫폼에 대한 업계 투자가 개선을 견인</w:t>
      </w:r>
    </w:p>
    <w:p>
      <w:r>
        <w:rPr>
          <w:rFonts w:ascii="Malgun Gothic" w:hAnsi="Malgun Gothic" w:eastAsia="맑은 고딕"/>
          <w:b/>
        </w:rPr>
        <w:t>신규 과제:</w:t>
      </w:r>
    </w:p>
    <w:p>
      <w:pPr>
        <w:pStyle w:val="ListBullet"/>
      </w:pPr>
      <w:r>
        <w:rPr>
          <w:rFonts w:ascii="Malgun Gothic" w:hAnsi="Malgun Gothic" w:eastAsia="맑은 고딕"/>
          <w:b/>
        </w:rPr>
        <w:t>유동성 부족:</w:t>
      </w:r>
      <w:r>
        <w:rPr>
          <w:rFonts w:ascii="Malgun Gothic" w:hAnsi="Malgun Gothic" w:eastAsia="맑은 고딕"/>
        </w:rPr>
        <w:t xml:space="preserve"> NSCC는 T+1 축소된 일정 하에서의 연말 인덱스 리밸런싱 활동으로 인해 </w:t>
      </w:r>
      <w:r>
        <w:rPr>
          <w:rFonts w:ascii="Malgun Gothic" w:hAnsi="Malgun Gothic" w:eastAsia="맑은 고딕"/>
          <w:b/>
        </w:rPr>
        <w:t>2024년 4분기에 71억 달러의 유동성 부족</w:t>
      </w:r>
      <w:r>
        <w:rPr>
          <w:rFonts w:ascii="Malgun Gothic" w:hAnsi="Malgun Gothic" w:eastAsia="맑은 고딕"/>
        </w:rPr>
        <w:t>을 보고. 이는 피크 거래량 기간 중 NSCC의 유동성 자원에 대한 우려를 제기</w:t>
      </w:r>
    </w:p>
    <w:p>
      <w:pPr>
        <w:pStyle w:val="ListBullet"/>
      </w:pPr>
      <w:r>
        <w:rPr>
          <w:rFonts w:ascii="Malgun Gothic" w:hAnsi="Malgun Gothic" w:eastAsia="맑은 고딕"/>
          <w:b/>
        </w:rPr>
        <w:t>외환 자금조달:</w:t>
      </w:r>
      <w:r>
        <w:rPr>
          <w:rFonts w:ascii="Malgun Gothic" w:hAnsi="Malgun Gothic" w:eastAsia="맑은 고딕"/>
        </w:rPr>
        <w:t xml:space="preserve"> 특히 아시아-태평양 시간대의 해외 투자자가 축소된 결제 창구 및 CLS 결제 마감 시간으로 인한 외환 자금조달 과제에 직면</w:t>
      </w:r>
    </w:p>
    <w:p>
      <w:pPr>
        <w:pStyle w:val="ListBullet"/>
      </w:pPr>
      <w:r>
        <w:rPr>
          <w:rFonts w:ascii="Malgun Gothic" w:hAnsi="Malgun Gothic" w:eastAsia="맑은 고딕"/>
          <w:b/>
        </w:rPr>
        <w:t>증권대차 회수 타이밍:</w:t>
      </w:r>
      <w:r>
        <w:rPr>
          <w:rFonts w:ascii="Malgun Gothic" w:hAnsi="Malgun Gothic" w:eastAsia="맑은 고딕"/>
        </w:rPr>
        <w:t xml:space="preserve"> 축소된 일정으로 인해 증권대차 회수 및 반환 프로세스에 운영상 과제 발생</w:t>
      </w:r>
    </w:p>
    <w:p>
      <w:pPr>
        <w:ind w:left="720"/>
        <w:shd w:fill="F0F0F0" w:val="clear"/>
      </w:pPr>
      <w:r>
        <w:rPr>
          <w:rFonts w:ascii="Malgun Gothic" w:hAnsi="Malgun Gothic" w:eastAsia="맑은 고딕"/>
          <w:i/>
        </w:rPr>
        <w:t>**KRX/FSC 비교:** 한국은 현재 T+2 결제주기를 유지하고 있으며, 2025년 10월 KSD와 KRX가 T+1 전환을 탐색하기 위한 공동 워킹그룹을 구성하였다. 미국의 T+1 경험은 한국에 유용한 참고 사례를 제공한다. 특히 청산기금 20-29% 감소 효과, 해외 투자자의 외환 자금조달 과제, 당일 확약률 향상의 중요성이 주목할 만하다.</w:t>
      </w:r>
    </w:p>
    <w:p>
      <w:r>
        <w:rPr>
          <w:rFonts w:ascii="Malgun Gothic" w:hAnsi="Malgun Gothic" w:eastAsia="맑은 고딕"/>
        </w:rPr>
        <w:t>[Source: SIFMA/ICI/DTCC, "T+1 After Action Report," October 2024; DTCC, "Comments on Industry's T+1 Progress," May 2024; Risk.net, "NSCC liquidity shortfalls raise T+1 concerns," 2025; Finadium, "DTCC analysis shows clearing fund drops $4bn after T+1 starts," 2024]</w:t>
      </w:r>
    </w:p>
    <w:p>
      <w:pPr>
        <w:pStyle w:val="Heading3"/>
      </w:pPr>
      <w:r>
        <w:rPr>
          <w:rFonts w:ascii="Malgun Gothic" w:hAnsi="Malgun Gothic" w:eastAsia="맑은 고딕"/>
        </w:rPr>
        <w:t>6.2 DVP (Delivery-versus-Payment, 증권과대금의 동시결제) 요건</w:t>
      </w:r>
    </w:p>
    <w:p>
      <w:r>
        <w:rPr>
          <w:rFonts w:ascii="Malgun Gothic" w:hAnsi="Malgun Gothic" w:eastAsia="맑은 고딕"/>
        </w:rPr>
        <w:t>SEC는 적용대상 청산기관이 적절한 DVP 메커니즘을 통해 원본 리스크를 제거하도록 요구한다:</w:t>
      </w:r>
    </w:p>
    <w:p>
      <w:pPr>
        <w:pStyle w:val="ListBullet"/>
      </w:pPr>
      <w:r>
        <w:rPr>
          <w:rFonts w:ascii="Malgun Gothic" w:hAnsi="Malgun Gothic" w:eastAsia="맑은 고딕"/>
          <w:b/>
        </w:rPr>
        <w:t>Rule 17Ad-22(e)(12):</w:t>
      </w:r>
      <w:r>
        <w:rPr>
          <w:rFonts w:ascii="Malgun Gothic" w:hAnsi="Malgun Gothic" w:eastAsia="맑은 고딕"/>
        </w:rPr>
        <w:t xml:space="preserve"> 적용대상 청산기관은 하나의 의무에 대한 최종 결제를 연계된 의무의 최종 결제를 조건으로 하여 원본 리스크를 제거하도록 합리적으로 설계된 서면 정책 및 절차를 수립, 시행, 유지, 집행하여야 한다</w:t>
      </w:r>
    </w:p>
    <w:p>
      <w:pPr>
        <w:pStyle w:val="ListBullet"/>
      </w:pPr>
      <w:r>
        <w:rPr>
          <w:rFonts w:ascii="Malgun Gothic" w:hAnsi="Malgun Gothic" w:eastAsia="맑은 고딕"/>
          <w:b/>
        </w:rPr>
        <w:t>실무 이행:</w:t>
      </w:r>
    </w:p>
    <w:p>
      <w:pPr>
        <w:pStyle w:val="ListBullet"/>
      </w:pPr>
      <w:r>
        <w:rPr>
          <w:rFonts w:ascii="Malgun Gothic" w:hAnsi="Malgun Gothic" w:eastAsia="맑은 고딕"/>
          <w:b/>
        </w:rPr>
        <w:t>DTC:</w:t>
      </w:r>
      <w:r>
        <w:rPr>
          <w:rFonts w:ascii="Malgun Gothic" w:hAnsi="Malgun Gothic" w:eastAsia="맑은 고딕"/>
        </w:rPr>
        <w:t xml:space="preserve"> 주식 및 회사채에 대한 DVP 결제 시스템을 운영. 증권 이동이 Federal Reserve의 Fedwire 시스템을 통한 결제 의무와 연계. DTC의 CNS(Continuous Net Settlement) 및 비CNS 결제 프로세스 모두 DVP 기반으로 운영</w:t>
      </w:r>
    </w:p>
    <w:p>
      <w:pPr>
        <w:pStyle w:val="ListBullet"/>
      </w:pPr>
      <w:r>
        <w:rPr>
          <w:rFonts w:ascii="Malgun Gothic" w:hAnsi="Malgun Gothic" w:eastAsia="맑은 고딕"/>
          <w:b/>
        </w:rPr>
        <w:t>FICC GSD:</w:t>
      </w:r>
      <w:r>
        <w:rPr>
          <w:rFonts w:ascii="Malgun Gothic" w:hAnsi="Malgun Gothic" w:eastAsia="맑은 고딕"/>
        </w:rPr>
        <w:t xml:space="preserve"> 미국 국채거래 결제는 Fedwire Securities(직접 결제)를 통한 DVP 또는 삼자간 결제(주로 Bank of New York Mellon)를 통해 레포거래에 대해 이루어진다</w:t>
      </w:r>
    </w:p>
    <w:p>
      <w:pPr>
        <w:pStyle w:val="ListBullet"/>
      </w:pPr>
      <w:r>
        <w:rPr>
          <w:rFonts w:ascii="Malgun Gothic" w:hAnsi="Malgun Gothic" w:eastAsia="맑은 고딕"/>
          <w:b/>
        </w:rPr>
        <w:t>NSCC:</w:t>
      </w:r>
      <w:r>
        <w:rPr>
          <w:rFonts w:ascii="Malgun Gothic" w:hAnsi="Malgun Gothic" w:eastAsia="맑은 고딕"/>
        </w:rPr>
        <w:t xml:space="preserve"> 순결제가 DVP 기반으로 DTC를 통해 이루어진다; NSCC의 CNS 시스템이 모든 매수 및 매도 의무를 차감하고 DTC를 통해 DVP 기반으로 순액을 결제</w:t>
      </w:r>
    </w:p>
    <w:p>
      <w:r>
        <w:rPr>
          <w:rFonts w:ascii="Malgun Gothic" w:hAnsi="Malgun Gothic" w:eastAsia="맑은 고딕"/>
        </w:rPr>
        <w:t>[Source: SEC Rule 17Ad-22(e)(12); DTC Settlement Guide; FICC GSD Rules; NSCC Rules]</w:t>
      </w:r>
    </w:p>
    <w:p>
      <w:pPr>
        <w:pBdr>
          <w:bottom w:val="single" w:sz="4" w:space="1" w:color="auto"/>
        </w:pBdr>
      </w:pPr>
    </w:p>
    <w:p>
      <w:pPr>
        <w:pStyle w:val="Heading2"/>
      </w:pPr>
      <w:r>
        <w:rPr>
          <w:rFonts w:ascii="Malgun Gothic" w:hAnsi="Malgun Gothic" w:eastAsia="맑은 고딕"/>
        </w:rPr>
        <w:t>7. 시장 데이터 및 보고 (Market Data &amp; Reporting)</w:t>
      </w:r>
    </w:p>
    <w:p>
      <w:pPr>
        <w:pStyle w:val="Heading3"/>
      </w:pPr>
      <w:r>
        <w:rPr>
          <w:rFonts w:ascii="Malgun Gothic" w:hAnsi="Malgun Gothic" w:eastAsia="맑은 고딕"/>
        </w:rPr>
        <w:t>7.1 거래 보고(Dodd-Frank Act) (Trade Reporting)</w:t>
      </w:r>
    </w:p>
    <w:p>
      <w:r>
        <w:rPr>
          <w:rFonts w:ascii="Malgun Gothic" w:hAnsi="Malgun Gothic" w:eastAsia="맑은 고딕"/>
        </w:rPr>
        <w:t>Dodd-Frank Act Title VII는 모든 스왑 거래에 대한 포괄적 거래 보고를 요구한다:</w:t>
      </w:r>
    </w:p>
    <w:p>
      <w:r>
        <w:rPr>
          <w:rFonts w:ascii="Malgun Gothic" w:hAnsi="Malgun Gothic" w:eastAsia="맑은 고딕"/>
          <w:b/>
        </w:rPr>
        <w:t>CFTC 스왑 보고(Part 43 및 Part 45):</w:t>
      </w:r>
    </w:p>
    <w:p>
      <w:pPr>
        <w:pStyle w:val="ListBullet"/>
      </w:pPr>
      <w:r>
        <w:rPr>
          <w:rFonts w:ascii="Malgun Gothic" w:hAnsi="Malgun Gothic" w:eastAsia="맑은 고딕"/>
          <w:b/>
        </w:rPr>
        <w:t>Part 43 -- 실시간 공개 보고:</w:t>
      </w:r>
      <w:r>
        <w:rPr>
          <w:rFonts w:ascii="Malgun Gothic" w:hAnsi="Malgun Gothic" w:eastAsia="맑은 고딕"/>
        </w:rPr>
        <w:t xml:space="preserve"> 모든 공개 보고 대상 스왑 거래는 등록된 SDR에 보고되고 체결 후 기술적으로 가능한 한 신속하게(실시간) 공개 전파되어야 한다. 보고에는 가격, 규모(블록거래 지연 적용), 기초자산, 기타 조건이 포함</w:t>
      </w:r>
    </w:p>
    <w:p>
      <w:pPr>
        <w:pStyle w:val="ListBullet"/>
      </w:pPr>
      <w:r>
        <w:rPr>
          <w:rFonts w:ascii="Malgun Gothic" w:hAnsi="Malgun Gothic" w:eastAsia="맑은 고딕"/>
          <w:b/>
        </w:rPr>
        <w:t>Part 45 -- 스왑 데이터 기록 보관 및 보고:</w:t>
      </w:r>
      <w:r>
        <w:rPr>
          <w:rFonts w:ascii="Malgun Gothic" w:hAnsi="Malgun Gothic" w:eastAsia="맑은 고딕"/>
        </w:rPr>
        <w:t xml:space="preserve"> 상세 스왑 데이터(생성 데이터, 존속 데이터, 종료 데이터)가 규제 목적으로 등록된 SDR에 보고되어야 한다. CFTC는 글로벌 조화 노력에 부합하는 UTI(Unique Transaction Identifier) 및 UPI(Unique Product Identifier) 요건을 이행</w:t>
      </w:r>
    </w:p>
    <w:p>
      <w:pPr>
        <w:pStyle w:val="ListBullet"/>
      </w:pPr>
      <w:r>
        <w:rPr>
          <w:rFonts w:ascii="Malgun Gothic" w:hAnsi="Malgun Gothic" w:eastAsia="맑은 고딕"/>
          <w:b/>
        </w:rPr>
        <w:t>등록 SDR(CFTC):</w:t>
      </w:r>
      <w:r>
        <w:rPr>
          <w:rFonts w:ascii="Malgun Gothic" w:hAnsi="Malgun Gothic" w:eastAsia="맑은 고딕"/>
        </w:rPr>
        <w:t xml:space="preserve"> DTCC Data Repository(DDR), ICE Trade Vault, CME Global Repository Services 등</w:t>
      </w:r>
    </w:p>
    <w:p>
      <w:r>
        <w:rPr>
          <w:rFonts w:ascii="Malgun Gothic" w:hAnsi="Malgun Gothic" w:eastAsia="맑은 고딕"/>
          <w:b/>
        </w:rPr>
        <w:t>SEC SBS 보고(Regulation SBSR):</w:t>
      </w:r>
    </w:p>
    <w:p>
      <w:pPr>
        <w:pStyle w:val="ListBullet"/>
      </w:pPr>
      <w:r>
        <w:rPr>
          <w:rFonts w:ascii="Malgun Gothic" w:hAnsi="Malgun Gothic" w:eastAsia="맑은 고딕"/>
        </w:rPr>
        <w:t>증권기반 스왑 거래는 등록된 SBS data repository(SBSDR)에 보고되어야 한다</w:t>
      </w:r>
    </w:p>
    <w:p>
      <w:pPr>
        <w:pStyle w:val="ListBullet"/>
      </w:pPr>
      <w:r>
        <w:rPr>
          <w:rFonts w:ascii="Malgun Gothic" w:hAnsi="Malgun Gothic" w:eastAsia="맑은 고딕"/>
        </w:rPr>
        <w:t>CFTC 체계와 유사한 실시간 전파 요건 적용</w:t>
      </w:r>
    </w:p>
    <w:p>
      <w:pPr>
        <w:pStyle w:val="ListBullet"/>
      </w:pPr>
      <w:r>
        <w:rPr>
          <w:rFonts w:ascii="Malgun Gothic" w:hAnsi="Malgun Gothic" w:eastAsia="맑은 고딕"/>
        </w:rPr>
        <w:t>SEC의 SBS 보고 체계는 2022-2023년에 완전 시행</w:t>
      </w:r>
    </w:p>
    <w:p>
      <w:r>
        <w:rPr>
          <w:rFonts w:ascii="Malgun Gothic" w:hAnsi="Malgun Gothic" w:eastAsia="맑은 고딕"/>
          <w:b/>
        </w:rPr>
        <w:t>CCP 거래 보고:</w:t>
      </w:r>
    </w:p>
    <w:p>
      <w:pPr>
        <w:pStyle w:val="ListBullet"/>
      </w:pPr>
      <w:r>
        <w:rPr>
          <w:rFonts w:ascii="Malgun Gothic" w:hAnsi="Malgun Gothic" w:eastAsia="맑은 고딕"/>
        </w:rPr>
        <w:t>CCP 자체가 청산된 거래의 보고 주체이다. 스왑이 청산되면 CCP가 거래를 채무인수(novation)하고, 결과적으로 생성된 청산 스왑은 SDR에 보고되어야 한다</w:t>
      </w:r>
    </w:p>
    <w:p>
      <w:r>
        <w:rPr>
          <w:rFonts w:ascii="Malgun Gothic" w:hAnsi="Malgun Gothic" w:eastAsia="맑은 고딕"/>
        </w:rPr>
        <w:t>[Source: CFTC Part 43, Part 45; SEC Regulation SBSR; Dodd-Frank Title VII]</w:t>
      </w:r>
    </w:p>
    <w:p>
      <w:pPr>
        <w:pStyle w:val="Heading3"/>
      </w:pPr>
      <w:r>
        <w:rPr>
          <w:rFonts w:ascii="Malgun Gothic" w:hAnsi="Malgun Gothic" w:eastAsia="맑은 고딕"/>
        </w:rPr>
        <w:t>7.2 CPMI-IOSCO PQD 준수 (CPMI-IOSCO PQD Compliance)</w:t>
      </w:r>
    </w:p>
    <w:p>
      <w:r>
        <w:rPr>
          <w:rFonts w:ascii="Malgun Gothic" w:hAnsi="Malgun Gothic" w:eastAsia="맑은 고딕"/>
        </w:rPr>
        <w:t>미국의 8개 지정 SIFMU는 모두 CPMI-IOSCO PQD 체계에 따라 분기별 공개정량공시(PQD)를 발표한다:</w:t>
      </w:r>
    </w:p>
    <w:p>
      <w:pPr>
        <w:pStyle w:val="ListBullet"/>
      </w:pPr>
      <w:r>
        <w:rPr>
          <w:rFonts w:ascii="Malgun Gothic" w:hAnsi="Malgun Gothic" w:eastAsia="맑은 고딕"/>
          <w:b/>
        </w:rPr>
        <w:t>PQD 범위:</w:t>
      </w:r>
      <w:r>
        <w:rPr>
          <w:rFonts w:ascii="Malgun Gothic" w:hAnsi="Malgun Gothic" w:eastAsia="맑은 고딕"/>
        </w:rPr>
        <w:t xml:space="preserve"> 신용 리스크, 유동성 리스크, 담보, 증거금, 공동기금, 백테스팅 결과, 결제 데이터, 운영 리스크 지표 및 기타 정량적 지표를 포괄</w:t>
      </w:r>
    </w:p>
    <w:p>
      <w:pPr>
        <w:pStyle w:val="ListBullet"/>
      </w:pPr>
      <w:r>
        <w:rPr>
          <w:rFonts w:ascii="Malgun Gothic" w:hAnsi="Malgun Gothic" w:eastAsia="맑은 고딕"/>
          <w:b/>
        </w:rPr>
        <w:t>발표 주기:</w:t>
      </w:r>
      <w:r>
        <w:rPr>
          <w:rFonts w:ascii="Malgun Gothic" w:hAnsi="Malgun Gothic" w:eastAsia="맑은 고딕"/>
        </w:rPr>
        <w:t xml:space="preserve"> 분기별, 통상 1분기 지연</w:t>
      </w:r>
    </w:p>
    <w:p>
      <w:pPr>
        <w:pStyle w:val="ListBullet"/>
      </w:pPr>
      <w:r>
        <w:rPr>
          <w:rFonts w:ascii="Malgun Gothic" w:hAnsi="Malgun Gothic" w:eastAsia="맑은 고딕"/>
          <w:b/>
        </w:rPr>
        <w:t>PFMI Disclosure Framework:</w:t>
      </w:r>
      <w:r>
        <w:rPr>
          <w:rFonts w:ascii="Malgun Gothic" w:hAnsi="Malgun Gothic" w:eastAsia="맑은 고딕"/>
        </w:rPr>
        <w:t xml:space="preserve"> 각 SIFMU는 24개 PFMI 원칙 각각에 대한 준수 방법을 설명하는 포괄적 정성적 PFMI Disclosure Framework 문서도 발표(주기적 갱신)</w:t>
      </w:r>
    </w:p>
    <w:p>
      <w:pPr>
        <w:pStyle w:val="ListBullet"/>
      </w:pPr>
      <w:r>
        <w:rPr>
          <w:rFonts w:ascii="Malgun Gothic" w:hAnsi="Malgun Gothic" w:eastAsia="맑은 고딕"/>
          <w:b/>
        </w:rPr>
        <w:t>발표 위치:</w:t>
      </w:r>
      <w:r>
        <w:rPr>
          <w:rFonts w:ascii="Malgun Gothic" w:hAnsi="Malgun Gothic" w:eastAsia="맑은 고딕"/>
        </w:rPr>
        <w:t xml:space="preserve"> 통상 기관 웹사이트(예: DTCC는 NSCC, FICC, DTC에 대한 PQD를 dtcc.com/legal/policy-and-compliance에 게시)</w:t>
      </w:r>
    </w:p>
    <w:p>
      <w:r>
        <w:rPr>
          <w:rFonts w:ascii="Malgun Gothic" w:hAnsi="Malgun Gothic" w:eastAsia="맑은 고딕"/>
        </w:rPr>
        <w:t>[Source: CPMI-IOSCO, "Public quantitative disclosure standards for central counterparties," 2015; DTCC, OCC, CME Group respective PQD publications]</w:t>
      </w:r>
    </w:p>
    <w:p>
      <w:pPr>
        <w:pBdr>
          <w:bottom w:val="single" w:sz="4" w:space="1" w:color="auto"/>
        </w:pBdr>
      </w:pPr>
    </w:p>
    <w:p>
      <w:pPr>
        <w:pStyle w:val="Heading2"/>
      </w:pPr>
      <w:r>
        <w:rPr>
          <w:rFonts w:ascii="Malgun Gothic" w:hAnsi="Malgun Gothic" w:eastAsia="맑은 고딕"/>
        </w:rPr>
        <w:t>8. 국경 간 협정 (Cross-Border Arrangements)</w:t>
      </w:r>
    </w:p>
    <w:p>
      <w:pPr>
        <w:pStyle w:val="Heading3"/>
      </w:pPr>
      <w:r>
        <w:rPr>
          <w:rFonts w:ascii="Malgun Gothic" w:hAnsi="Malgun Gothic" w:eastAsia="맑은 고딕"/>
        </w:rPr>
        <w:t>8.1 SEC의 외국 CCP 동등성/승인 (SEC Equivalence / Recognition of Foreign CCPs)</w:t>
      </w:r>
    </w:p>
    <w:p>
      <w:r>
        <w:rPr>
          <w:rFonts w:ascii="Malgun Gothic" w:hAnsi="Malgun Gothic" w:eastAsia="맑은 고딕"/>
        </w:rPr>
        <w:t>SEC는 EU의 EMIR (유럽시장인프라규정) 동등성 체계에 상응하는 외국 CCP에 대한 공식적 "동등성" 또는 "승인" 체계를 보유하지 않는다. 대신:</w:t>
      </w:r>
    </w:p>
    <w:p>
      <w:pPr>
        <w:pStyle w:val="ListBullet"/>
      </w:pPr>
      <w:r>
        <w:rPr>
          <w:rFonts w:ascii="Malgun Gothic" w:hAnsi="Malgun Gothic" w:eastAsia="맑은 고딕"/>
          <w:b/>
        </w:rPr>
        <w:t>면제 청산기관 지위(Exempt Clearing Agency Status):</w:t>
      </w:r>
      <w:r>
        <w:rPr>
          <w:rFonts w:ascii="Malgun Gothic" w:hAnsi="Malgun Gothic" w:eastAsia="맑은 고딕"/>
        </w:rPr>
        <w:t xml:space="preserve"> SEC는 Section 17A 또는 Exchange Act Rule 3a71-6(SBS 기관에 대한 대체준수)에 따라 외국 청산기관에 완전 등록을 면제할 수 있다. 이는 건별로 이루어진다</w:t>
      </w:r>
    </w:p>
    <w:p>
      <w:pPr>
        <w:pStyle w:val="ListBullet"/>
      </w:pPr>
      <w:r>
        <w:rPr>
          <w:rFonts w:ascii="Malgun Gothic" w:hAnsi="Malgun Gothic" w:eastAsia="맑은 고딕"/>
          <w:b/>
        </w:rPr>
        <w:t>비조치의견서(No-Action Relief):</w:t>
      </w:r>
      <w:r>
        <w:rPr>
          <w:rFonts w:ascii="Malgun Gothic" w:hAnsi="Malgun Gothic" w:eastAsia="맑은 고딕"/>
        </w:rPr>
        <w:t xml:space="preserve"> SEC 직원은 외국 CCP가 완전 등록 없이 미국인에게 제한적 청산 서비스를 제공할 수 있도록 허용하는 비조치의견서를 발부할 수 있다</w:t>
      </w:r>
    </w:p>
    <w:p>
      <w:pPr>
        <w:pStyle w:val="ListBullet"/>
      </w:pPr>
      <w:r>
        <w:rPr>
          <w:rFonts w:ascii="Malgun Gothic" w:hAnsi="Malgun Gothic" w:eastAsia="맑은 고딕"/>
          <w:b/>
        </w:rPr>
        <w:t>대체준수(SBS)(Substituted Compliance):</w:t>
      </w:r>
      <w:r>
        <w:rPr>
          <w:rFonts w:ascii="Malgun Gothic" w:hAnsi="Malgun Gothic" w:eastAsia="맑은 고딕"/>
        </w:rPr>
        <w:t xml:space="preserve"> Dodd-Frank Act Title VII에 따라 SEC는 증권기반 스왑에 대한 대체준수 체계를 채택하여, SEC가 외국 체계를 비교 가능하다고 판단한 경우 자국 규제 준수로 특정 SEC 요건의 충족을 인정</w:t>
      </w:r>
    </w:p>
    <w:p>
      <w:pPr>
        <w:pStyle w:val="Heading3"/>
      </w:pPr>
      <w:r>
        <w:rPr>
          <w:rFonts w:ascii="Malgun Gothic" w:hAnsi="Malgun Gothic" w:eastAsia="맑은 고딕"/>
        </w:rPr>
        <w:t>8.2 CFTC 외국 DCO 등록 (CFTC Foreign DCO Registration)</w:t>
      </w:r>
    </w:p>
    <w:p>
      <w:r>
        <w:rPr>
          <w:rFonts w:ascii="Malgun Gothic" w:hAnsi="Malgun Gothic" w:eastAsia="맑은 고딕"/>
        </w:rPr>
        <w:t>CFTC는 외국 CCP를 승인하기 위한 보다 발전된 체계를 보유한다:</w:t>
      </w:r>
    </w:p>
    <w:p>
      <w:r>
        <w:rPr>
          <w:rFonts w:ascii="Malgun Gothic" w:hAnsi="Malgun Gothic" w:eastAsia="맑은 고딕"/>
          <w:b/>
        </w:rPr>
        <w:t>완전 등록:</w:t>
      </w:r>
    </w:p>
    <w:p>
      <w:pPr>
        <w:pStyle w:val="ListBullet"/>
      </w:pPr>
      <w:r>
        <w:rPr>
          <w:rFonts w:ascii="Malgun Gothic" w:hAnsi="Malgun Gothic" w:eastAsia="맑은 고딕"/>
        </w:rPr>
        <w:t>외국 DCO는 CFTC에 완전 등록하고 모든 Core Principles를 준수할 수 있다. 예: LCH Ltd(영국 기반)는 CFTC에 완전 등록되어 있다</w:t>
      </w:r>
    </w:p>
    <w:p>
      <w:r>
        <w:rPr>
          <w:rFonts w:ascii="Malgun Gothic" w:hAnsi="Malgun Gothic" w:eastAsia="맑은 고딕"/>
          <w:b/>
        </w:rPr>
        <w:t>대체준수를 통한 등록(Part 39, Subpart D):</w:t>
      </w:r>
    </w:p>
    <w:p>
      <w:pPr>
        <w:pStyle w:val="ListBullet"/>
      </w:pPr>
      <w:r>
        <w:rPr>
          <w:rFonts w:ascii="Malgun Gothic" w:hAnsi="Malgun Gothic" w:eastAsia="맑은 고딕"/>
        </w:rPr>
        <w:t>2020년 9월 채택된 이 체계는 비미국 DCO가 다음 조건하에서 자국 규정을 통해 CFTC에 등록하고 준수할 수 있도록 한다:</w:t>
      </w:r>
    </w:p>
    <w:p>
      <w:pPr>
        <w:pStyle w:val="ListBullet"/>
      </w:pPr>
      <w:r>
        <w:rPr>
          <w:rFonts w:ascii="Malgun Gothic" w:hAnsi="Malgun Gothic" w:eastAsia="맑은 고딕"/>
        </w:rPr>
        <w:t>CFTC가 DCO 자국 규제 체계가 CFTC Core Principles에 비교 가능하다고 결정</w:t>
      </w:r>
    </w:p>
    <w:p>
      <w:pPr>
        <w:pStyle w:val="ListBullet"/>
      </w:pPr>
      <w:r>
        <w:rPr>
          <w:rFonts w:ascii="Malgun Gothic" w:hAnsi="Malgun Gothic" w:eastAsia="맑은 고딕"/>
        </w:rPr>
        <w:t>DCO가 자국 규제기관에서 양호한 규제 지위에 있음</w:t>
      </w:r>
    </w:p>
    <w:p>
      <w:pPr>
        <w:pStyle w:val="ListBullet"/>
      </w:pPr>
      <w:r>
        <w:rPr>
          <w:rFonts w:ascii="Malgun Gothic" w:hAnsi="Malgun Gothic" w:eastAsia="맑은 고딕"/>
        </w:rPr>
        <w:t>CFTC와 자국 규제기관 간에 만족스러운 MOU 또는 유사 약정이 존재</w:t>
      </w:r>
    </w:p>
    <w:p>
      <w:pPr>
        <w:pStyle w:val="ListBullet"/>
      </w:pPr>
      <w:r>
        <w:rPr>
          <w:rFonts w:ascii="Malgun Gothic" w:hAnsi="Malgun Gothic" w:eastAsia="맑은 고딕"/>
        </w:rPr>
        <w:t>DCO는 일부 CFTC 요건(보고, 정보 공유 등)은 여전히 직접 준수하여야 한다</w:t>
      </w:r>
    </w:p>
    <w:p>
      <w:r>
        <w:rPr>
          <w:rFonts w:ascii="Malgun Gothic" w:hAnsi="Malgun Gothic" w:eastAsia="맑은 고딕"/>
          <w:b/>
        </w:rPr>
        <w:t>면제 DCO 지위:</w:t>
      </w:r>
    </w:p>
    <w:p>
      <w:pPr>
        <w:pStyle w:val="ListBullet"/>
      </w:pPr>
      <w:r>
        <w:rPr>
          <w:rFonts w:ascii="Malgun Gothic" w:hAnsi="Malgun Gothic" w:eastAsia="맑은 고딕"/>
        </w:rPr>
        <w:t>CEA Section 5b(h)에 따라, CFTC는 자국에서 비교 가능하고 포괄적인 감독을 받는 외국 DCO의 등록을 면제할 수 있다</w:t>
      </w:r>
    </w:p>
    <w:p>
      <w:pPr>
        <w:pStyle w:val="ListBullet"/>
      </w:pPr>
      <w:r>
        <w:rPr>
          <w:rFonts w:ascii="Malgun Gothic" w:hAnsi="Malgun Gothic" w:eastAsia="맑은 고딕"/>
        </w:rPr>
        <w:t>면제 DCO는 비미국인 또는 특정 기관 미국 참가자에 대한 청산으로 제한</w:t>
      </w:r>
    </w:p>
    <w:p>
      <w:pPr>
        <w:pStyle w:val="ListBullet"/>
      </w:pPr>
      <w:r>
        <w:rPr>
          <w:rFonts w:ascii="Malgun Gothic" w:hAnsi="Malgun Gothic" w:eastAsia="맑은 고딕"/>
        </w:rPr>
        <w:t>이는 완전 등록보다 제한적인 형태의 승인</w:t>
      </w:r>
    </w:p>
    <w:p>
      <w:r>
        <w:rPr>
          <w:rFonts w:ascii="Malgun Gothic" w:hAnsi="Malgun Gothic" w:eastAsia="맑은 고딕"/>
          <w:b/>
        </w:rPr>
        <w:t>비교 가능성 결정:</w:t>
      </w:r>
    </w:p>
    <w:p>
      <w:pPr>
        <w:pStyle w:val="ListBullet"/>
      </w:pPr>
      <w:r>
        <w:rPr>
          <w:rFonts w:ascii="Malgun Gothic" w:hAnsi="Malgun Gothic" w:eastAsia="맑은 고딕"/>
        </w:rPr>
        <w:t>CFTC는 EU, 영국, 일본, 호주 및 기타 관할권에 대한 비교 가능성 결정을 발표</w:t>
      </w:r>
    </w:p>
    <w:p>
      <w:pPr>
        <w:pStyle w:val="ListBullet"/>
      </w:pPr>
      <w:r>
        <w:rPr>
          <w:rFonts w:ascii="Malgun Gothic" w:hAnsi="Malgun Gothic" w:eastAsia="맑은 고딕"/>
        </w:rPr>
        <w:t>EU-미국 CCP 동등성 체계는 2016년에 수립되었으며, CFTC는 특정 EU 법률이 DCO에 대한 CFTC 요건에 비교 가능하다고 판단</w:t>
      </w:r>
    </w:p>
    <w:p>
      <w:r>
        <w:rPr>
          <w:rFonts w:ascii="Malgun Gothic" w:hAnsi="Malgun Gothic" w:eastAsia="맑은 고딕"/>
        </w:rPr>
        <w:t>[Source: CFTC Part 39, Subpart D; CFTC, "Comparability Determinations for Substituted Compliance Purposes," accessed 2026-04-07; CEA Section 5b(h); SEC Rule 3a71-6]</w:t>
      </w:r>
    </w:p>
    <w:p>
      <w:pPr>
        <w:pBdr>
          <w:bottom w:val="single" w:sz="4" w:space="1" w:color="auto"/>
        </w:pBdr>
      </w:pPr>
    </w:p>
    <w:p>
      <w:pPr>
        <w:pStyle w:val="Heading2"/>
      </w:pPr>
      <w:r>
        <w:rPr>
          <w:rFonts w:ascii="Malgun Gothic" w:hAnsi="Malgun Gothic" w:eastAsia="맑은 고딕"/>
        </w:rPr>
        <w:t>9. 최근 규제 변화 (2023-2026) (Recent Regulatory Changes)</w:t>
      </w:r>
    </w:p>
    <w:p>
      <w:pPr>
        <w:pStyle w:val="Heading3"/>
      </w:pPr>
      <w:r>
        <w:rPr>
          <w:rFonts w:ascii="Malgun Gothic" w:hAnsi="Malgun Gothic" w:eastAsia="맑은 고딕"/>
        </w:rPr>
        <w:t>9.1 국채 청산의무 (Treasury Clearing Mandate)</w:t>
      </w:r>
    </w:p>
    <w:p>
      <w:r>
        <w:rPr>
          <w:rFonts w:ascii="Malgun Gothic" w:hAnsi="Malgun Gothic" w:eastAsia="맑은 고딕"/>
        </w:rPr>
        <w:t>국채 청산의무는 Dodd-Frank Act 스왑 청산의무 이후 가장 중요한 미국 청산 규제 변화이다.</w:t>
      </w:r>
    </w:p>
    <w:p>
      <w:pPr>
        <w:pStyle w:val="Heading3"/>
      </w:pPr>
      <w:r>
        <w:rPr>
          <w:rFonts w:ascii="Malgun Gothic" w:hAnsi="Malgun Gothic" w:eastAsia="맑은 고딕"/>
        </w:rPr>
        <w:t>배경 (Background)</w:t>
      </w:r>
    </w:p>
    <w:p>
      <w:r>
        <w:rPr>
          <w:rFonts w:ascii="Malgun Gothic" w:hAnsi="Malgun Gothic" w:eastAsia="맑은 고딕"/>
        </w:rPr>
        <w:t>28조 달러 이상의 미국 국채시장은 세계 최대이자 가장 유동적인 국채시장이다. 그러나 국채거래의 상당 부분 -- 특히 레포시장과 인터딜러 브로커와 비딜러 참가자 간 거래 -- 은 역사적으로 중앙청산 대신 양자 간으로 결제되어 왔다. 스트레스 상황(2019년 9월 레포금리 급등, 2020년 3월 국채시장 "현금 확보 쇄도(dash for cash)")은 불충분한 중앙청산과 결제 리스크 집중의 취약성을 부각시켰다.</w:t>
      </w:r>
    </w:p>
    <w:p>
      <w:pPr>
        <w:pStyle w:val="Heading3"/>
      </w:pPr>
      <w:r>
        <w:rPr>
          <w:rFonts w:ascii="Malgun Gothic" w:hAnsi="Malgun Gothic" w:eastAsia="맑은 고딕"/>
        </w:rPr>
        <w:t>SEC 최종 규칙(2023년 12월) (SEC Final Rule)</w:t>
      </w:r>
    </w:p>
    <w:p>
      <w:r>
        <w:rPr>
          <w:rFonts w:ascii="Malgun Gothic" w:hAnsi="Malgun Gothic" w:eastAsia="맑은 고딕"/>
        </w:rPr>
        <w:t>2023년 12월, SEC는 미국 국채에 대한 적용대상 청산기관(주로 FICC)이 직접 참가자에게 적격 유통시장 거래를 중앙청산하도록 요구하는 규칙을 채택하기 위해 Rule 17Ad-22(e)(18)을 개정하였다.</w:t>
      </w:r>
    </w:p>
    <w:p>
      <w:r>
        <w:rPr>
          <w:rFonts w:ascii="Malgun Gothic" w:hAnsi="Malgun Gothic" w:eastAsia="맑은 고딕"/>
          <w:b/>
        </w:rPr>
        <w:t>주요 요건:</w:t>
      </w:r>
    </w:p>
    <w:p>
      <w:pPr>
        <w:pStyle w:val="ListBullet"/>
      </w:pPr>
      <w:r>
        <w:rPr>
          <w:rFonts w:ascii="Malgun Gothic" w:hAnsi="Malgun Gothic" w:eastAsia="맑은 고딕"/>
          <w:b/>
        </w:rPr>
        <w:t>적격 유통시장 거래(ESMT)의 의무적 청산:</w:t>
      </w:r>
    </w:p>
    <w:p>
      <w:pPr>
        <w:pStyle w:val="ListBullet"/>
      </w:pPr>
      <w:r>
        <w:rPr>
          <w:rFonts w:ascii="Malgun Gothic" w:hAnsi="Malgun Gothic" w:eastAsia="맑은 고딕"/>
        </w:rPr>
        <w:t>미국 국채에 대한 적용대상 청산기관의 직접 참가자는 다음을 포함한 모든 ESMT를 청산 및 결제를 위해 제출하여야 한다:</w:t>
      </w:r>
    </w:p>
    <w:p>
      <w:pPr>
        <w:pStyle w:val="ListBullet"/>
      </w:pPr>
      <w:r>
        <w:rPr>
          <w:rFonts w:ascii="Malgun Gothic" w:hAnsi="Malgun Gothic" w:eastAsia="맑은 고딕"/>
        </w:rPr>
        <w:t>직접 참가자와 등록 브로커-딜러, 국채딜러 또는 국채브로커 간 현물거래</w:t>
      </w:r>
    </w:p>
    <w:p>
      <w:pPr>
        <w:pStyle w:val="ListBullet"/>
      </w:pPr>
      <w:r>
        <w:rPr>
          <w:rFonts w:ascii="Malgun Gothic" w:hAnsi="Malgun Gothic" w:eastAsia="맑은 고딕"/>
        </w:rPr>
        <w:t>직접 참가자와 인터딜러 브로커 간 현물거래</w:t>
      </w:r>
    </w:p>
    <w:p>
      <w:pPr>
        <w:pStyle w:val="ListBullet"/>
      </w:pPr>
      <w:r>
        <w:rPr>
          <w:rFonts w:ascii="Malgun Gothic" w:hAnsi="Malgun Gothic" w:eastAsia="맑은 고딕"/>
        </w:rPr>
        <w:t>직접 참가자와 거래상대방 간 레포 및 역레포 거래</w:t>
      </w:r>
    </w:p>
    <w:p>
      <w:pPr>
        <w:pStyle w:val="ListBullet"/>
      </w:pPr>
      <w:r>
        <w:rPr>
          <w:rFonts w:ascii="Malgun Gothic" w:hAnsi="Malgun Gothic" w:eastAsia="맑은 고딕"/>
        </w:rPr>
        <w:t>특정 면제가 적용(관계사 간 거래, 중앙은행 거래 등)</w:t>
      </w:r>
    </w:p>
    <w:p>
      <w:pPr>
        <w:pStyle w:val="ListBullet"/>
      </w:pPr>
      <w:r>
        <w:rPr>
          <w:rFonts w:ascii="Malgun Gothic" w:hAnsi="Malgun Gothic" w:eastAsia="맑은 고딕"/>
          <w:b/>
        </w:rPr>
        <w:t>자기거래와 고객 증거금의 분리:</w:t>
      </w:r>
    </w:p>
    <w:p>
      <w:pPr>
        <w:pStyle w:val="ListBullet"/>
      </w:pPr>
      <w:r>
        <w:rPr>
          <w:rFonts w:ascii="Malgun Gothic" w:hAnsi="Malgun Gothic" w:eastAsia="맑은 고딕"/>
        </w:rPr>
        <w:t>적용대상 청산기관은 직접 참가자의 자기 포지션에 대한 증거금과 고객/간접 참가자 포지션에 대한 증거금을 별도로 계산, 징수, 보관하여야 한다</w:t>
      </w:r>
    </w:p>
    <w:p>
      <w:pPr>
        <w:pStyle w:val="ListBullet"/>
      </w:pPr>
      <w:r>
        <w:rPr>
          <w:rFonts w:ascii="Malgun Gothic" w:hAnsi="Malgun Gothic" w:eastAsia="맑은 고딕"/>
        </w:rPr>
        <w:t>이는 고객 담보를 보호하고 부도 시나리오에서 고객 포지션의 이전성을 강화하기 위한 것</w:t>
      </w:r>
    </w:p>
    <w:p>
      <w:pPr>
        <w:pStyle w:val="ListBullet"/>
      </w:pPr>
      <w:r>
        <w:rPr>
          <w:rFonts w:ascii="Malgun Gothic" w:hAnsi="Malgun Gothic" w:eastAsia="맑은 고딕"/>
          <w:b/>
        </w:rPr>
        <w:t>접근 촉진(간접 참가):</w:t>
      </w:r>
    </w:p>
    <w:p>
      <w:pPr>
        <w:pStyle w:val="ListBullet"/>
      </w:pPr>
      <w:r>
        <w:rPr>
          <w:rFonts w:ascii="Malgun Gothic" w:hAnsi="Malgun Gothic" w:eastAsia="맑은 고딕"/>
        </w:rPr>
        <w:t>적용대상 청산기관은 간접 참가자의 청산 접근을 촉진하도록 설계된 정책을 수립하여야 한다</w:t>
      </w:r>
    </w:p>
    <w:p>
      <w:pPr>
        <w:pStyle w:val="ListBullet"/>
      </w:pPr>
      <w:r>
        <w:rPr>
          <w:rFonts w:ascii="Malgun Gothic" w:hAnsi="Malgun Gothic" w:eastAsia="맑은 고딕"/>
        </w:rPr>
        <w:t>여기에는 "done-away" 청산(고객이 체결 딜러와 다른 직접 참가자를 통해 청산할 수 있는 것) 제공 요건이 포함</w:t>
      </w:r>
    </w:p>
    <w:p>
      <w:pPr>
        <w:pStyle w:val="Heading3"/>
      </w:pPr>
      <w:r>
        <w:rPr>
          <w:rFonts w:ascii="Malgun Gothic" w:hAnsi="Malgun Gothic" w:eastAsia="맑은 고딕"/>
        </w:rPr>
        <w:t>이행 일정(2025년 2월 수정) (Implementation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이정표</w:t>
            </w:r>
          </w:p>
        </w:tc>
        <w:tc>
          <w:tcPr>
            <w:tcW w:type="dxa" w:w="2880"/>
            <w:shd w:fill="4472C4" w:val="clear"/>
          </w:tcPr>
          <w:p>
            <w:pPr/>
            <w:r>
              <w:rPr>
                <w:b/>
                <w:color w:val="FFFFFF"/>
              </w:rPr>
            </w:r>
            <w:r>
              <w:rPr>
                <w:rFonts w:ascii="Malgun Gothic" w:hAnsi="Malgun Gothic" w:eastAsia="맑은 고딕"/>
                <w:b/>
                <w:color w:val="FFFFFF"/>
              </w:rPr>
              <w:t>원래 일자</w:t>
            </w:r>
          </w:p>
        </w:tc>
        <w:tc>
          <w:tcPr>
            <w:tcW w:type="dxa" w:w="2880"/>
            <w:shd w:fill="4472C4" w:val="clear"/>
          </w:tcPr>
          <w:p>
            <w:pPr/>
            <w:r>
              <w:rPr>
                <w:b/>
                <w:color w:val="FFFFFF"/>
              </w:rPr>
            </w:r>
            <w:r>
              <w:rPr>
                <w:rFonts w:ascii="Malgun Gothic" w:hAnsi="Malgun Gothic" w:eastAsia="맑은 고딕"/>
                <w:b/>
                <w:color w:val="FFFFFF"/>
              </w:rPr>
              <w:t>연장 일자</w:t>
            </w:r>
          </w:p>
        </w:tc>
      </w:tr>
      <w:tr>
        <w:tc>
          <w:tcPr>
            <w:tcW w:type="dxa" w:w="2880"/>
          </w:tcPr>
          <w:p>
            <w:pPr/>
            <w:r/>
            <w:r>
              <w:rPr>
                <w:rFonts w:ascii="Malgun Gothic" w:hAnsi="Malgun Gothic" w:eastAsia="맑은 고딕"/>
              </w:rPr>
              <w:t>증거금 분리 및 접근에 관한 CCA 규칙 시행</w:t>
            </w:r>
          </w:p>
        </w:tc>
        <w:tc>
          <w:tcPr>
            <w:tcW w:type="dxa" w:w="2880"/>
          </w:tcPr>
          <w:p>
            <w:pPr/>
            <w:r/>
            <w:r>
              <w:rPr>
                <w:rFonts w:ascii="Malgun Gothic" w:hAnsi="Malgun Gothic" w:eastAsia="맑은 고딕"/>
              </w:rPr>
              <w:t>2025년 3월 31일</w:t>
            </w:r>
          </w:p>
        </w:tc>
        <w:tc>
          <w:tcPr>
            <w:tcW w:type="dxa" w:w="2880"/>
          </w:tcPr>
          <w:p>
            <w:pPr/>
            <w:r/>
            <w:r>
              <w:rPr>
                <w:rFonts w:ascii="Malgun Gothic" w:hAnsi="Malgun Gothic" w:eastAsia="맑은 고딕"/>
              </w:rPr>
              <w:t>2025년 3월 31일(증거금 분리는 2025년 9월 30일까지 한시적 면제)</w:t>
            </w:r>
          </w:p>
        </w:tc>
      </w:tr>
      <w:tr>
        <w:tc>
          <w:tcPr>
            <w:tcW w:type="dxa" w:w="2880"/>
          </w:tcPr>
          <w:p>
            <w:pPr/>
            <w:r/>
            <w:r>
              <w:rPr>
                <w:rFonts w:ascii="Malgun Gothic" w:hAnsi="Malgun Gothic" w:eastAsia="맑은 고딕"/>
              </w:rPr>
              <w:t>FICC 규칙집 수정</w:t>
            </w:r>
          </w:p>
        </w:tc>
        <w:tc>
          <w:tcPr>
            <w:tcW w:type="dxa" w:w="2880"/>
          </w:tcPr>
          <w:p>
            <w:pPr/>
            <w:r/>
            <w:r>
              <w:rPr>
                <w:rFonts w:ascii="Malgun Gothic" w:hAnsi="Malgun Gothic" w:eastAsia="맑은 고딕"/>
              </w:rPr>
              <w:t>--</w:t>
            </w:r>
          </w:p>
        </w:tc>
        <w:tc>
          <w:tcPr>
            <w:tcW w:type="dxa" w:w="2880"/>
          </w:tcPr>
          <w:p>
            <w:pPr/>
            <w:r/>
            <w:r>
              <w:rPr>
                <w:rFonts w:ascii="Malgun Gothic" w:hAnsi="Malgun Gothic" w:eastAsia="맑은 고딕"/>
              </w:rPr>
              <w:t>2025년 9월 30일</w:t>
            </w:r>
          </w:p>
        </w:tc>
      </w:tr>
      <w:tr>
        <w:tc>
          <w:tcPr>
            <w:tcW w:type="dxa" w:w="2880"/>
          </w:tcPr>
          <w:p>
            <w:pPr/>
            <w:r/>
            <w:r>
              <w:rPr>
                <w:rFonts w:ascii="Malgun Gothic" w:hAnsi="Malgun Gothic" w:eastAsia="맑은 고딕"/>
              </w:rPr>
              <w:t>현물시장 ESMT -- 준수 기한</w:t>
            </w:r>
          </w:p>
        </w:tc>
        <w:tc>
          <w:tcPr>
            <w:tcW w:type="dxa" w:w="2880"/>
          </w:tcPr>
          <w:p>
            <w:pPr/>
            <w:r/>
            <w:r>
              <w:rPr>
                <w:rFonts w:ascii="Malgun Gothic" w:hAnsi="Malgun Gothic" w:eastAsia="맑은 고딕"/>
              </w:rPr>
              <w:t>2025년 12월 31일</w:t>
            </w:r>
          </w:p>
        </w:tc>
        <w:tc>
          <w:tcPr>
            <w:tcW w:type="dxa" w:w="2880"/>
          </w:tcPr>
          <w:p>
            <w:pPr/>
            <w:r/>
            <w:r>
              <w:rPr>
                <w:rFonts w:ascii="Malgun Gothic" w:hAnsi="Malgun Gothic" w:eastAsia="맑은 고딕"/>
                <w:b/>
              </w:rPr>
              <w:t>2026년 12월 31일</w:t>
            </w:r>
          </w:p>
        </w:tc>
      </w:tr>
      <w:tr>
        <w:tc>
          <w:tcPr>
            <w:tcW w:type="dxa" w:w="2880"/>
          </w:tcPr>
          <w:p>
            <w:pPr/>
            <w:r/>
            <w:r>
              <w:rPr>
                <w:rFonts w:ascii="Malgun Gothic" w:hAnsi="Malgun Gothic" w:eastAsia="맑은 고딕"/>
              </w:rPr>
              <w:t>레포 ESMT -- 준수 기한</w:t>
            </w:r>
          </w:p>
        </w:tc>
        <w:tc>
          <w:tcPr>
            <w:tcW w:type="dxa" w:w="2880"/>
          </w:tcPr>
          <w:p>
            <w:pPr/>
            <w:r/>
            <w:r>
              <w:rPr>
                <w:rFonts w:ascii="Malgun Gothic" w:hAnsi="Malgun Gothic" w:eastAsia="맑은 고딕"/>
              </w:rPr>
              <w:t>2026년 6월 30일</w:t>
            </w:r>
          </w:p>
        </w:tc>
        <w:tc>
          <w:tcPr>
            <w:tcW w:type="dxa" w:w="2880"/>
          </w:tcPr>
          <w:p>
            <w:pPr/>
            <w:r/>
            <w:r>
              <w:rPr>
                <w:rFonts w:ascii="Malgun Gothic" w:hAnsi="Malgun Gothic" w:eastAsia="맑은 고딕"/>
                <w:b/>
              </w:rPr>
              <w:t>2027년 6월 30일</w:t>
            </w:r>
          </w:p>
        </w:tc>
      </w:tr>
    </w:tbl>
    <w:p/>
    <w:p>
      <w:r>
        <w:rPr>
          <w:rFonts w:ascii="Malgun Gothic" w:hAnsi="Malgun Gothic" w:eastAsia="맑은 고딕"/>
        </w:rPr>
        <w:t>1년 연장은 업계 준비, FICC 규칙집 변경, 미해결 해석상 질문의 해소를 위한 추가 시간을 제공하기 위해 2025년 2월 SEC에 의해 채택되었다.</w:t>
      </w:r>
    </w:p>
    <w:p>
      <w:pPr>
        <w:pStyle w:val="Heading3"/>
      </w:pPr>
      <w:r>
        <w:rPr>
          <w:rFonts w:ascii="Malgun Gothic" w:hAnsi="Malgun Gothic" w:eastAsia="맑은 고딕"/>
        </w:rPr>
        <w:t>청산 인프라 확대 (Expansion of Clearing Infrastructure)</w:t>
      </w:r>
    </w:p>
    <w:p>
      <w:pPr>
        <w:pStyle w:val="ListBullet"/>
      </w:pPr>
      <w:r>
        <w:rPr>
          <w:rFonts w:ascii="Malgun Gothic" w:hAnsi="Malgun Gothic" w:eastAsia="맑은 고딕"/>
          <w:b/>
        </w:rPr>
        <w:t>FICC:</w:t>
      </w:r>
      <w:r>
        <w:rPr>
          <w:rFonts w:ascii="Malgun Gothic" w:hAnsi="Malgun Gothic" w:eastAsia="맑은 고딕"/>
        </w:rPr>
        <w:t xml:space="preserve"> 미국 국채에 대한 기존 적용대상 청산기관(Government Securities Division을 통해)으로서, FICC는 예상되는 청산 물량 증가를 수용하기 위해 확대된 후원회원(sponsoring member) 및 대리 청산(agent clearing) 모델을 개발 중</w:t>
      </w:r>
    </w:p>
    <w:p>
      <w:pPr>
        <w:pStyle w:val="ListBullet"/>
      </w:pPr>
      <w:r>
        <w:rPr>
          <w:rFonts w:ascii="Malgun Gothic" w:hAnsi="Malgun Gothic" w:eastAsia="맑은 고딕"/>
          <w:b/>
        </w:rPr>
        <w:t>CME Securities Clearing Inc.:</w:t>
      </w:r>
      <w:r>
        <w:rPr>
          <w:rFonts w:ascii="Malgun Gothic" w:hAnsi="Malgun Gothic" w:eastAsia="맑은 고딕"/>
        </w:rPr>
        <w:t xml:space="preserve"> 2025년 12월 1일 SEC가 CME Securities Clearing Inc.를 미국 국채에 대한 두 번째 청산기관으로 등록 승인하여 FICC의 독점을 타파. CME Securities Clearing은 2026년 2분기 출시 예정</w:t>
      </w:r>
    </w:p>
    <w:p>
      <w:pPr>
        <w:pStyle w:val="ListBullet"/>
      </w:pPr>
      <w:r>
        <w:rPr>
          <w:rFonts w:ascii="Malgun Gothic" w:hAnsi="Malgun Gothic" w:eastAsia="맑은 고딕"/>
          <w:b/>
        </w:rPr>
        <w:t>ICE Clear Credit LLC:</w:t>
      </w:r>
      <w:r>
        <w:rPr>
          <w:rFonts w:ascii="Malgun Gothic" w:hAnsi="Malgun Gothic" w:eastAsia="맑은 고딕"/>
        </w:rPr>
        <w:t xml:space="preserve"> 미국 국채에 대한 청산기관 등록을 신청; 2026년 초 기준 심사 중</w:t>
      </w:r>
    </w:p>
    <w:p>
      <w:r>
        <w:rPr>
          <w:rFonts w:ascii="Malgun Gothic" w:hAnsi="Malgun Gothic" w:eastAsia="맑은 고딕"/>
          <w:b/>
        </w:rPr>
        <w:t>예상 영향:</w:t>
      </w:r>
    </w:p>
    <w:p>
      <w:pPr>
        <w:pStyle w:val="ListBullet"/>
      </w:pPr>
      <w:r>
        <w:rPr>
          <w:rFonts w:ascii="Malgun Gothic" w:hAnsi="Malgun Gothic" w:eastAsia="맑은 고딕"/>
        </w:rPr>
        <w:t xml:space="preserve">완전 시행 시 일일 약 </w:t>
      </w:r>
      <w:r>
        <w:rPr>
          <w:rFonts w:ascii="Malgun Gothic" w:hAnsi="Malgun Gothic" w:eastAsia="맑은 고딕"/>
          <w:b/>
        </w:rPr>
        <w:t>4조 달러</w:t>
      </w:r>
      <w:r>
        <w:rPr>
          <w:rFonts w:ascii="Malgun Gothic" w:hAnsi="Malgun Gothic" w:eastAsia="맑은 고딕"/>
        </w:rPr>
        <w:t>의 미국 국채시장 거래가 중앙청산을 필요로 하게 될 것으로 추정</w:t>
      </w:r>
    </w:p>
    <w:p>
      <w:pPr>
        <w:pStyle w:val="ListBullet"/>
      </w:pPr>
      <w:r>
        <w:rPr>
          <w:rFonts w:ascii="Malgun Gothic" w:hAnsi="Malgun Gothic" w:eastAsia="맑은 고딕"/>
        </w:rPr>
        <w:t>청산회원 서비스 및 담보에 대한 수요 대폭 증가</w:t>
      </w:r>
    </w:p>
    <w:p>
      <w:pPr>
        <w:pStyle w:val="ListBullet"/>
      </w:pPr>
      <w:r>
        <w:rPr>
          <w:rFonts w:ascii="Malgun Gothic" w:hAnsi="Malgun Gothic" w:eastAsia="맑은 고딕"/>
        </w:rPr>
        <w:t>차감 효율성 향상 및 양자 간 결제 리스크 감소 가능성</w:t>
      </w:r>
    </w:p>
    <w:p>
      <w:pPr>
        <w:ind w:left="720"/>
        <w:shd w:fill="F0F0F0" w:val="clear"/>
      </w:pPr>
      <w:r>
        <w:rPr>
          <w:rFonts w:ascii="Malgun Gothic" w:hAnsi="Malgun Gothic" w:eastAsia="맑은 고딕"/>
          <w:i/>
        </w:rPr>
        <w:t>**KRX/FSC 비교:** 미국의 국채 의무 중앙청산 확대는 중요한 구조적 변화이다. 한국은 OTC 시장에서의 국고채(KTB) 중앙청산 범위를 유사하게 확대하는 것이 시장 복원력을 강화할 수 있는지 평가할 수 있다.</w:t>
      </w:r>
    </w:p>
    <w:p>
      <w:r>
        <w:rPr>
          <w:rFonts w:ascii="Malgun Gothic" w:hAnsi="Malgun Gothic" w:eastAsia="맑은 고딕"/>
        </w:rPr>
        <w:t>[Source: SEC Release No. 34-99149 (December 2023); SEC Release No. 34-102487 (February 2025); SEC Press Release 2025-43; Arnold &amp; Porter, "U.S. Treasury Clearing: Key Questions and Answers," February 2025; Arnold &amp; Porter, "U.S. Treasury Clearing: SEC Extends Compliance Dates," March 2025; Federal Register, "CME Securities Clearing Inc.; Order Granting Registration," December 2025; J.P. Morgan, "The U.S. Treasury Clearing Mandate Explained," accessed 2026-04-07]</w:t>
      </w:r>
    </w:p>
    <w:p>
      <w:pPr>
        <w:pStyle w:val="Heading3"/>
      </w:pPr>
      <w:r>
        <w:rPr>
          <w:rFonts w:ascii="Malgun Gothic" w:hAnsi="Malgun Gothic" w:eastAsia="맑은 고딕"/>
        </w:rPr>
        <w:t>9.2 기타 최근 규제 변화 (Other Recent Regulatory Changes)</w:t>
      </w:r>
    </w:p>
    <w:p>
      <w:pPr>
        <w:pStyle w:val="Heading3"/>
      </w:pPr>
      <w:r>
        <w:rPr>
          <w:rFonts w:ascii="Malgun Gothic" w:hAnsi="Malgun Gothic" w:eastAsia="맑은 고딕"/>
        </w:rPr>
        <w:t>SEC 결제주기 T+1 단축(2024년 5월) (SEC Shortening of Settlement Cycle to T+1)</w:t>
      </w:r>
    </w:p>
    <w:p>
      <w:pPr>
        <w:pStyle w:val="ListBullet"/>
      </w:pPr>
      <w:r>
        <w:rPr>
          <w:rFonts w:ascii="Malgun Gothic" w:hAnsi="Malgun Gothic" w:eastAsia="맑은 고딕"/>
        </w:rPr>
        <w:t>자세한 내용은 6.1절 참조</w:t>
      </w:r>
    </w:p>
    <w:p>
      <w:pPr>
        <w:pStyle w:val="ListBullet"/>
      </w:pPr>
      <w:r>
        <w:rPr>
          <w:rFonts w:ascii="Malgun Gothic" w:hAnsi="Malgun Gothic" w:eastAsia="맑은 고딕"/>
        </w:rPr>
        <w:t>2024년 5월 28일 시행; 상당한 청산기금 감소 및 안정적 실패율 달성</w:t>
      </w:r>
    </w:p>
    <w:p>
      <w:pPr>
        <w:pStyle w:val="Heading3"/>
      </w:pPr>
      <w:r>
        <w:rPr>
          <w:rFonts w:ascii="Malgun Gothic" w:hAnsi="Malgun Gothic" w:eastAsia="맑은 고딕"/>
        </w:rPr>
        <w:t>CFTC Part 39 보고 개정(2023) (CFTC Part 39 Reporting Amendments)</w:t>
      </w:r>
    </w:p>
    <w:p>
      <w:pPr>
        <w:pStyle w:val="ListBullet"/>
      </w:pPr>
      <w:r>
        <w:rPr>
          <w:rFonts w:ascii="Malgun Gothic" w:hAnsi="Malgun Gothic" w:eastAsia="맑은 고딕"/>
        </w:rPr>
        <w:t>CFTC는 Part 39.19에 따른 DCO 보고 및 정보 요건을 개정하여 일별 및 사건별 보고 항목을 갱신하고, 새로운 부록에 보고 요건을 성문화</w:t>
      </w:r>
    </w:p>
    <w:p>
      <w:pPr>
        <w:pStyle w:val="ListBullet"/>
      </w:pPr>
      <w:r>
        <w:rPr>
          <w:rFonts w:ascii="Malgun Gothic" w:hAnsi="Malgun Gothic" w:eastAsia="맑은 고딕"/>
        </w:rPr>
        <w:t>시행일: 2023년</w:t>
      </w:r>
    </w:p>
    <w:p>
      <w:r>
        <w:rPr>
          <w:rFonts w:ascii="Malgun Gothic" w:hAnsi="Malgun Gothic" w:eastAsia="맑은 고딕"/>
        </w:rPr>
        <w:t>[Source: CFTC Press Release 8758-23, "CFTC Approves Final DCO Reporting and Information Requirement," 2023]</w:t>
      </w:r>
    </w:p>
    <w:p>
      <w:pPr>
        <w:pStyle w:val="Heading3"/>
      </w:pPr>
      <w:r>
        <w:rPr>
          <w:rFonts w:ascii="Malgun Gothic" w:hAnsi="Malgun Gothic" w:eastAsia="맑은 고딕"/>
        </w:rPr>
        <w:t>SEC 기후 및 ESG 관련 공시(2024-2025) (SEC Climate and ESG-Related Disclosure)</w:t>
      </w:r>
    </w:p>
    <w:p>
      <w:pPr>
        <w:pStyle w:val="ListBullet"/>
      </w:pPr>
      <w:r>
        <w:rPr>
          <w:rFonts w:ascii="Malgun Gothic" w:hAnsi="Malgun Gothic" w:eastAsia="맑은 고딕"/>
        </w:rPr>
        <w:t>주로 기업 공시 요건이나, SEC의 기후 공시 규칙(2024년 3월 채택, 이후 소송으로 유예)이 청산기관의 공시 관행 및 리스크 평가 체계에 영향을 미칠 수 있다 [unverified]</w:t>
      </w:r>
    </w:p>
    <w:p>
      <w:pPr>
        <w:pStyle w:val="Heading3"/>
      </w:pPr>
      <w:r>
        <w:rPr>
          <w:rFonts w:ascii="Malgun Gothic" w:hAnsi="Malgun Gothic" w:eastAsia="맑은 고딕"/>
        </w:rPr>
        <w:t>CFTC DCO 지배구조 요건(2023) (CFTC Governance Requirements for DCOs)</w:t>
      </w:r>
    </w:p>
    <w:p>
      <w:pPr>
        <w:pStyle w:val="ListBullet"/>
      </w:pPr>
      <w:r>
        <w:rPr>
          <w:rFonts w:ascii="Malgun Gothic" w:hAnsi="Malgun Gothic" w:eastAsia="맑은 고딕"/>
        </w:rPr>
        <w:t>CFTC는 리스크 위원회, 적격 기준, 이해충돌 절차에 대한 요건을 포함하여 DCO 지배구조 요건을 강화하기 위해 Part 39 개정을 제안</w:t>
      </w:r>
    </w:p>
    <w:p>
      <w:pPr>
        <w:pStyle w:val="ListBullet"/>
      </w:pPr>
      <w:r>
        <w:rPr>
          <w:rFonts w:ascii="Malgun Gothic" w:hAnsi="Malgun Gothic" w:eastAsia="맑은 고딕"/>
        </w:rPr>
        <w:t>2026년 초 기준 최종 규칙 현황: 부분 채택 [unverified]</w:t>
      </w:r>
    </w:p>
    <w:p>
      <w:r>
        <w:rPr>
          <w:rFonts w:ascii="Malgun Gothic" w:hAnsi="Malgun Gothic" w:eastAsia="맑은 고딕"/>
        </w:rPr>
        <w:t>[Source: Federal Register, "Governance Requirements for Derivatives Clearing Organizations," July 2023]</w:t>
      </w:r>
    </w:p>
    <w:p>
      <w:pPr>
        <w:pStyle w:val="Heading3"/>
      </w:pPr>
      <w:r>
        <w:rPr>
          <w:rFonts w:ascii="Malgun Gothic" w:hAnsi="Malgun Gothic" w:eastAsia="맑은 고딕"/>
        </w:rPr>
        <w:t>DTC 토큰화 / 디지털 자산 수탁(2025-2026) (DTC Tokenization / Digital Asset Custody)</w:t>
      </w:r>
    </w:p>
    <w:p>
      <w:pPr>
        <w:pStyle w:val="ListBullet"/>
      </w:pPr>
      <w:r>
        <w:rPr>
          <w:rFonts w:ascii="Malgun Gothic" w:hAnsi="Malgun Gothic" w:eastAsia="맑은 고딕"/>
        </w:rPr>
        <w:t>2025년 12월 SEC는 DTC가 DTC 수탁 미국 국채에 대해 Canton Network 상 토큰화 서비스를 제공하는 것을 승인하는 비조치의견서를 발부</w:t>
      </w:r>
    </w:p>
    <w:p>
      <w:pPr>
        <w:pStyle w:val="ListBullet"/>
      </w:pPr>
      <w:r>
        <w:rPr>
          <w:rFonts w:ascii="Malgun Gothic" w:hAnsi="Malgun Gothic" w:eastAsia="맑은 고딕"/>
        </w:rPr>
        <w:t>DTCC Digital Assets Solutions가 2026년 신규 사업으로 출범하였으며, Canton Network 토큰화 MVP는 2026년 상반기에 계획</w:t>
      </w:r>
    </w:p>
    <w:p>
      <w:r>
        <w:rPr>
          <w:rFonts w:ascii="Malgun Gothic" w:hAnsi="Malgun Gothic" w:eastAsia="맑은 고딕"/>
        </w:rPr>
        <w:t>[Source: DTCC 2024 Annual Report; DTCC website, accessed 2026-04-07]</w:t>
      </w:r>
    </w:p>
    <w:p>
      <w:pPr>
        <w:pBdr>
          <w:bottom w:val="single" w:sz="4" w:space="1" w:color="auto"/>
        </w:pBdr>
      </w:pPr>
    </w:p>
    <w:p>
      <w:pPr>
        <w:pStyle w:val="Heading2"/>
      </w:pPr>
      <w:r>
        <w:rPr>
          <w:rFonts w:ascii="Malgun Gothic" w:hAnsi="Malgun Gothic" w:eastAsia="맑은 고딕"/>
        </w:rPr>
        <w:t>10. 한국과의 비교 (Comparison with Korea)</w:t>
      </w:r>
    </w:p>
    <w:p>
      <w:pPr>
        <w:pStyle w:val="Heading3"/>
      </w:pPr>
      <w:r>
        <w:rPr>
          <w:rFonts w:ascii="Malgun Gothic" w:hAnsi="Malgun Gothic" w:eastAsia="맑은 고딕"/>
        </w:rPr>
        <w:t>10.1 한국 청산 및 결제 규제 체계 (Korean Clearing &amp; Settlement Regulatory Framework)</w:t>
      </w:r>
    </w:p>
    <w:p>
      <w:r>
        <w:rPr>
          <w:rFonts w:ascii="Malgun Gothic" w:hAnsi="Malgun Gothic" w:eastAsia="맑은 고딕"/>
        </w:rPr>
        <w:t xml:space="preserve">한국의 청산 및 결제 인프라는 </w:t>
      </w:r>
      <w:r>
        <w:rPr>
          <w:rFonts w:ascii="Malgun Gothic" w:hAnsi="Malgun Gothic" w:eastAsia="맑은 고딕"/>
          <w:b/>
        </w:rPr>
        <w:t>자본시장과 금융투자업에 관한 법률(FSCMA, 자본시장법)</w:t>
      </w:r>
      <w:r>
        <w:rPr>
          <w:rFonts w:ascii="Malgun Gothic" w:hAnsi="Malgun Gothic" w:eastAsia="맑은 고딕"/>
        </w:rPr>
        <w:t>에 의해 규율되며, 금융위원회(FSC)와 금융감독원(FSS)의 감독을 받는다.</w:t>
      </w:r>
    </w:p>
    <w:p>
      <w:r>
        <w:rPr>
          <w:rFonts w:ascii="Malgun Gothic" w:hAnsi="Malgun Gothic" w:eastAsia="맑은 고딕"/>
          <w:b/>
        </w:rPr>
        <w:t>주요 기관:</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기관</w:t>
            </w:r>
          </w:p>
        </w:tc>
        <w:tc>
          <w:tcPr>
            <w:tcW w:type="dxa" w:w="2880"/>
            <w:shd w:fill="4472C4" w:val="clear"/>
          </w:tcPr>
          <w:p>
            <w:pPr/>
            <w:r>
              <w:rPr>
                <w:b/>
                <w:color w:val="FFFFFF"/>
              </w:rPr>
            </w:r>
            <w:r>
              <w:rPr>
                <w:rFonts w:ascii="Malgun Gothic" w:hAnsi="Malgun Gothic" w:eastAsia="맑은 고딕"/>
                <w:b/>
                <w:color w:val="FFFFFF"/>
              </w:rPr>
              <w:t>역할</w:t>
            </w:r>
          </w:p>
        </w:tc>
        <w:tc>
          <w:tcPr>
            <w:tcW w:type="dxa" w:w="2880"/>
            <w:shd w:fill="4472C4" w:val="clear"/>
          </w:tcPr>
          <w:p>
            <w:pPr/>
            <w:r>
              <w:rPr>
                <w:b/>
                <w:color w:val="FFFFFF"/>
              </w:rPr>
            </w:r>
            <w:r>
              <w:rPr>
                <w:rFonts w:ascii="Malgun Gothic" w:hAnsi="Malgun Gothic" w:eastAsia="맑은 고딕"/>
                <w:b/>
                <w:color w:val="FFFFFF"/>
              </w:rPr>
              <w:t>규제 근거</w:t>
            </w:r>
          </w:p>
        </w:tc>
      </w:tr>
      <w:tr>
        <w:tc>
          <w:tcPr>
            <w:tcW w:type="dxa" w:w="2880"/>
          </w:tcPr>
          <w:p>
            <w:pPr/>
            <w:r/>
            <w:r>
              <w:rPr>
                <w:rFonts w:ascii="Malgun Gothic" w:hAnsi="Malgun Gothic" w:eastAsia="맑은 고딕"/>
                <w:b/>
              </w:rPr>
              <w:t>FSC(금융위원회)</w:t>
            </w:r>
          </w:p>
        </w:tc>
        <w:tc>
          <w:tcPr>
            <w:tcW w:type="dxa" w:w="2880"/>
          </w:tcPr>
          <w:p>
            <w:pPr/>
            <w:r/>
            <w:r>
              <w:rPr>
                <w:rFonts w:ascii="Malgun Gothic" w:hAnsi="Malgun Gothic" w:eastAsia="맑은 고딕"/>
              </w:rPr>
              <w:t>주요 규제기관; 청산 및 결제를 포함한 자본시장 정책 수립 및 규정 발령</w:t>
            </w:r>
          </w:p>
        </w:tc>
        <w:tc>
          <w:tcPr>
            <w:tcW w:type="dxa" w:w="2880"/>
          </w:tcPr>
          <w:p>
            <w:pPr/>
            <w:r/>
            <w:r>
              <w:rPr>
                <w:rFonts w:ascii="Malgun Gothic" w:hAnsi="Malgun Gothic" w:eastAsia="맑은 고딕"/>
              </w:rPr>
              <w:t>정부조직법; 자본시장법</w:t>
            </w:r>
          </w:p>
        </w:tc>
      </w:tr>
      <w:tr>
        <w:tc>
          <w:tcPr>
            <w:tcW w:type="dxa" w:w="2880"/>
          </w:tcPr>
          <w:p>
            <w:pPr/>
            <w:r/>
            <w:r>
              <w:rPr>
                <w:rFonts w:ascii="Malgun Gothic" w:hAnsi="Malgun Gothic" w:eastAsia="맑은 고딕"/>
                <w:b/>
              </w:rPr>
              <w:t>FSS(금융감독원)</w:t>
            </w:r>
          </w:p>
        </w:tc>
        <w:tc>
          <w:tcPr>
            <w:tcW w:type="dxa" w:w="2880"/>
          </w:tcPr>
          <w:p>
            <w:pPr/>
            <w:r/>
            <w:r>
              <w:rPr>
                <w:rFonts w:ascii="Malgun Gothic" w:hAnsi="Malgun Gothic" w:eastAsia="맑은 고딕"/>
              </w:rPr>
              <w:t>FSC의 집행 기관; 현장 검사, 조사, 제재 수행</w:t>
            </w:r>
          </w:p>
        </w:tc>
        <w:tc>
          <w:tcPr>
            <w:tcW w:type="dxa" w:w="2880"/>
          </w:tcPr>
          <w:p>
            <w:pPr/>
            <w:r/>
            <w:r>
              <w:rPr>
                <w:rFonts w:ascii="Malgun Gothic" w:hAnsi="Malgun Gothic" w:eastAsia="맑은 고딕"/>
              </w:rPr>
              <w:t>금융감독기구의 설치 등에 관한 법률</w:t>
            </w:r>
          </w:p>
        </w:tc>
      </w:tr>
      <w:tr>
        <w:tc>
          <w:tcPr>
            <w:tcW w:type="dxa" w:w="2880"/>
          </w:tcPr>
          <w:p>
            <w:pPr/>
            <w:r/>
            <w:r>
              <w:rPr>
                <w:rFonts w:ascii="Malgun Gothic" w:hAnsi="Malgun Gothic" w:eastAsia="맑은 고딕"/>
                <w:b/>
              </w:rPr>
              <w:t>KRX(한국거래소)</w:t>
            </w:r>
          </w:p>
        </w:tc>
        <w:tc>
          <w:tcPr>
            <w:tcW w:type="dxa" w:w="2880"/>
          </w:tcPr>
          <w:p>
            <w:pPr/>
            <w:r/>
            <w:r>
              <w:rPr>
                <w:rFonts w:ascii="Malgun Gothic" w:hAnsi="Malgun Gothic" w:eastAsia="맑은 고딕"/>
              </w:rPr>
              <w:t xml:space="preserve">거래소 운영 및 거래소 거래 증권·파생상품에 대한 </w:t>
            </w:r>
            <w:r>
              <w:rPr>
                <w:rFonts w:ascii="Malgun Gothic" w:hAnsi="Malgun Gothic" w:eastAsia="맑은 고딕"/>
                <w:b/>
              </w:rPr>
              <w:t>CCP</w:t>
            </w:r>
            <w:r>
              <w:rPr>
                <w:rFonts w:ascii="Malgun Gothic" w:hAnsi="Malgun Gothic" w:eastAsia="맑은 고딕"/>
              </w:rPr>
              <w:t xml:space="preserve"> 역할 수행</w:t>
            </w:r>
          </w:p>
        </w:tc>
        <w:tc>
          <w:tcPr>
            <w:tcW w:type="dxa" w:w="2880"/>
          </w:tcPr>
          <w:p>
            <w:pPr/>
            <w:r/>
            <w:r>
              <w:rPr>
                <w:rFonts w:ascii="Malgun Gothic" w:hAnsi="Malgun Gothic" w:eastAsia="맑은 고딕"/>
              </w:rPr>
              <w:t>자본시장법(특수법인으로 설립)</w:t>
            </w:r>
          </w:p>
        </w:tc>
      </w:tr>
      <w:tr>
        <w:tc>
          <w:tcPr>
            <w:tcW w:type="dxa" w:w="2880"/>
          </w:tcPr>
          <w:p>
            <w:pPr/>
            <w:r/>
            <w:r>
              <w:rPr>
                <w:rFonts w:ascii="Malgun Gothic" w:hAnsi="Malgun Gothic" w:eastAsia="맑은 고딕"/>
                <w:b/>
              </w:rPr>
              <w:t>KSD(한국예탁결제원)</w:t>
            </w:r>
          </w:p>
        </w:tc>
        <w:tc>
          <w:tcPr>
            <w:tcW w:type="dxa" w:w="2880"/>
          </w:tcPr>
          <w:p>
            <w:pPr/>
            <w:r/>
            <w:r>
              <w:rPr>
                <w:rFonts w:ascii="Malgun Gothic" w:hAnsi="Malgun Gothic" w:eastAsia="맑은 고딕"/>
              </w:rPr>
              <w:t>한국 유일의 중앙예탁기관(CSD); 2013년 이후 기관 간 OTC 결제에 대한 CCP 역할도 수행</w:t>
            </w:r>
          </w:p>
        </w:tc>
        <w:tc>
          <w:tcPr>
            <w:tcW w:type="dxa" w:w="2880"/>
          </w:tcPr>
          <w:p>
            <w:pPr/>
            <w:r/>
            <w:r>
              <w:rPr>
                <w:rFonts w:ascii="Malgun Gothic" w:hAnsi="Malgun Gothic" w:eastAsia="맑은 고딕"/>
              </w:rPr>
              <w:t>자본시장법(특수법인으로 설립)</w:t>
            </w:r>
          </w:p>
        </w:tc>
      </w:tr>
      <w:tr>
        <w:tc>
          <w:tcPr>
            <w:tcW w:type="dxa" w:w="2880"/>
          </w:tcPr>
          <w:p>
            <w:pPr/>
            <w:r/>
            <w:r>
              <w:rPr>
                <w:rFonts w:ascii="Malgun Gothic" w:hAnsi="Malgun Gothic" w:eastAsia="맑은 고딕"/>
                <w:b/>
              </w:rPr>
              <w:t>BOK(한국은행)</w:t>
            </w:r>
          </w:p>
        </w:tc>
        <w:tc>
          <w:tcPr>
            <w:tcW w:type="dxa" w:w="2880"/>
          </w:tcPr>
          <w:p>
            <w:pPr/>
            <w:r/>
            <w:r>
              <w:rPr>
                <w:rFonts w:ascii="Malgun Gothic" w:hAnsi="Malgun Gothic" w:eastAsia="맑은 고딕"/>
              </w:rPr>
              <w:t>금융 안정성 목적의 결제시스템 감독</w:t>
            </w:r>
          </w:p>
        </w:tc>
        <w:tc>
          <w:tcPr>
            <w:tcW w:type="dxa" w:w="2880"/>
          </w:tcPr>
          <w:p>
            <w:pPr/>
            <w:r/>
            <w:r>
              <w:rPr>
                <w:rFonts w:ascii="Malgun Gothic" w:hAnsi="Malgun Gothic" w:eastAsia="맑은 고딕"/>
              </w:rPr>
              <w:t>한국은행법</w:t>
            </w:r>
          </w:p>
        </w:tc>
      </w:tr>
    </w:tbl>
    <w:p/>
    <w:p>
      <w:r>
        <w:rPr>
          <w:rFonts w:ascii="Malgun Gothic" w:hAnsi="Malgun Gothic" w:eastAsia="맑은 고딕"/>
          <w:b/>
        </w:rPr>
        <w:t>KRX의 CCP 역할:</w:t>
      </w:r>
    </w:p>
    <w:p>
      <w:pPr>
        <w:pStyle w:val="ListBullet"/>
      </w:pPr>
      <w:r>
        <w:rPr>
          <w:rFonts w:ascii="Malgun Gothic" w:hAnsi="Malgun Gothic" w:eastAsia="맑은 고딕"/>
        </w:rPr>
        <w:t>KRX는 자사 시장의 모든 거래소 거래(주식, 채권, 파생상품)에 대해 CCP 역할을 수행</w:t>
      </w:r>
    </w:p>
    <w:p>
      <w:pPr>
        <w:pStyle w:val="ListBullet"/>
      </w:pPr>
      <w:r>
        <w:rPr>
          <w:rFonts w:ascii="Malgun Gothic" w:hAnsi="Malgun Gothic" w:eastAsia="맑은 고딕"/>
        </w:rPr>
        <w:t>KRX는 채무인수(novation)를 통해 결제 의무를 인수하고, 다자간차감을 수행하며, 결제를 보증</w:t>
      </w:r>
    </w:p>
    <w:p>
      <w:pPr>
        <w:pStyle w:val="ListBullet"/>
      </w:pPr>
      <w:r>
        <w:rPr>
          <w:rFonts w:ascii="Malgun Gothic" w:hAnsi="Malgun Gothic" w:eastAsia="맑은 고딕"/>
        </w:rPr>
        <w:t>KRX의 CCP 기능은 거래소 조직 내에 내장되어 있다(별도 법인이 아님)</w:t>
      </w:r>
    </w:p>
    <w:p>
      <w:r>
        <w:rPr>
          <w:rFonts w:ascii="Malgun Gothic" w:hAnsi="Malgun Gothic" w:eastAsia="맑은 고딕"/>
          <w:b/>
        </w:rPr>
        <w:t>KSD의 CSD 및 CCP 역할:</w:t>
      </w:r>
    </w:p>
    <w:p>
      <w:pPr>
        <w:pStyle w:val="ListBullet"/>
      </w:pPr>
      <w:r>
        <w:rPr>
          <w:rFonts w:ascii="Malgun Gothic" w:hAnsi="Malgun Gothic" w:eastAsia="맑은 고딕"/>
        </w:rPr>
        <w:t>KSD는 한국 모든 증권에 대한 유일한 중앙예탁기관(CSD)</w:t>
      </w:r>
    </w:p>
    <w:p>
      <w:pPr>
        <w:pStyle w:val="ListBullet"/>
      </w:pPr>
      <w:r>
        <w:rPr>
          <w:rFonts w:ascii="Malgun Gothic" w:hAnsi="Malgun Gothic" w:eastAsia="맑은 고딕"/>
        </w:rPr>
        <w:t>2013년 이후 KSD는 OTC 거래 주식, 채권, 레포, 증권대차의 기관 간 결제에 대해 CCP 역할도 수행</w:t>
      </w:r>
    </w:p>
    <w:p>
      <w:pPr>
        <w:pStyle w:val="ListBullet"/>
      </w:pPr>
      <w:r>
        <w:rPr>
          <w:rFonts w:ascii="Malgun Gothic" w:hAnsi="Malgun Gothic" w:eastAsia="맑은 고딕"/>
        </w:rPr>
        <w:t>결제는 KSD의 결제 시스템에서 DVP로 이루어지며, 자금 결제는 BOK-Wire+를 통해 수행</w:t>
      </w:r>
    </w:p>
    <w:p>
      <w:r>
        <w:rPr>
          <w:rFonts w:ascii="Malgun Gothic" w:hAnsi="Malgun Gothic" w:eastAsia="맑은 고딕"/>
        </w:rPr>
        <w:t>[Source: IMF, "Republic of Korea: Financial Sector Assessment Program -- CPSS-IOSCO Assessment of KRX CCP," 2014; BIS, "Payment, clearing and settlement systems in Korea," 2011; KRX Clearing website, accessed 2026-04-07; Chambers, "Financial Services Regulation 2025 -- South Korea," accessed 2026-04-07]</w:t>
      </w:r>
    </w:p>
    <w:p>
      <w:pPr>
        <w:pStyle w:val="Heading3"/>
      </w:pPr>
      <w:r>
        <w:rPr>
          <w:rFonts w:ascii="Malgun Gothic" w:hAnsi="Malgun Gothic" w:eastAsia="맑은 고딕"/>
        </w:rPr>
        <w:t>10.2 주요 차이점 (Key Differences)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측면</w:t>
            </w:r>
          </w:p>
        </w:tc>
        <w:tc>
          <w:tcPr>
            <w:tcW w:type="dxa" w:w="2880"/>
            <w:shd w:fill="4472C4" w:val="clear"/>
          </w:tcPr>
          <w:p>
            <w:pPr/>
            <w:r>
              <w:rPr>
                <w:b/>
                <w:color w:val="FFFFFF"/>
              </w:rPr>
            </w:r>
            <w:r>
              <w:rPr>
                <w:rFonts w:ascii="Malgun Gothic" w:hAnsi="Malgun Gothic" w:eastAsia="맑은 고딕"/>
                <w:b/>
                <w:color w:val="FFFFFF"/>
              </w:rPr>
              <w:t>미국</w:t>
            </w:r>
          </w:p>
        </w:tc>
        <w:tc>
          <w:tcPr>
            <w:tcW w:type="dxa" w:w="2880"/>
            <w:shd w:fill="4472C4" w:val="clear"/>
          </w:tcPr>
          <w:p>
            <w:pPr/>
            <w:r>
              <w:rPr>
                <w:b/>
                <w:color w:val="FFFFFF"/>
              </w:rPr>
            </w:r>
            <w:r>
              <w:rPr>
                <w:rFonts w:ascii="Malgun Gothic" w:hAnsi="Malgun Gothic" w:eastAsia="맑은 고딕"/>
                <w:b/>
                <w:color w:val="FFFFFF"/>
              </w:rPr>
              <w:t>한국</w:t>
            </w:r>
          </w:p>
        </w:tc>
      </w:tr>
      <w:tr>
        <w:tc>
          <w:tcPr>
            <w:tcW w:type="dxa" w:w="2880"/>
          </w:tcPr>
          <w:p>
            <w:pPr/>
            <w:r/>
            <w:r>
              <w:rPr>
                <w:rFonts w:ascii="Malgun Gothic" w:hAnsi="Malgun Gothic" w:eastAsia="맑은 고딕"/>
                <w:b/>
              </w:rPr>
              <w:t>규제 구조</w:t>
            </w:r>
          </w:p>
        </w:tc>
        <w:tc>
          <w:tcPr>
            <w:tcW w:type="dxa" w:w="2880"/>
          </w:tcPr>
          <w:p>
            <w:pPr/>
            <w:r/>
            <w:r>
              <w:rPr>
                <w:rFonts w:ascii="Malgun Gothic" w:hAnsi="Malgun Gothic" w:eastAsia="맑은 고딕"/>
              </w:rPr>
              <w:t>복수 규제기관: SEC(증권), CFTC(파생상품), Federal Reserve(시스템 리스크), FSOC(SIFMU 지정)</w:t>
            </w:r>
          </w:p>
        </w:tc>
        <w:tc>
          <w:tcPr>
            <w:tcW w:type="dxa" w:w="2880"/>
          </w:tcPr>
          <w:p>
            <w:pPr/>
            <w:r/>
            <w:r>
              <w:rPr>
                <w:rFonts w:ascii="Malgun Gothic" w:hAnsi="Malgun Gothic" w:eastAsia="맑은 고딕"/>
              </w:rPr>
              <w:t>통합: FSC/FSS가 모든 자본시장 감독; BOK가 결제시스템 안정성 담당</w:t>
            </w:r>
          </w:p>
        </w:tc>
      </w:tr>
      <w:tr>
        <w:tc>
          <w:tcPr>
            <w:tcW w:type="dxa" w:w="2880"/>
          </w:tcPr>
          <w:p>
            <w:pPr/>
            <w:r/>
            <w:r>
              <w:rPr>
                <w:rFonts w:ascii="Malgun Gothic" w:hAnsi="Malgun Gothic" w:eastAsia="맑은 고딕"/>
                <w:b/>
              </w:rPr>
              <w:t>CCP 모델</w:t>
            </w:r>
          </w:p>
        </w:tc>
        <w:tc>
          <w:tcPr>
            <w:tcW w:type="dxa" w:w="2880"/>
          </w:tcPr>
          <w:p>
            <w:pPr/>
            <w:r/>
            <w:r>
              <w:rPr>
                <w:rFonts w:ascii="Malgun Gothic" w:hAnsi="Malgun Gothic" w:eastAsia="맑은 고딕"/>
              </w:rPr>
              <w:t>복수 독립 CCP(NSCC, FICC, OCC, CME, ICE Clear 등) -- 각각 별도 법인으로 설립 및 규제</w:t>
            </w:r>
          </w:p>
        </w:tc>
        <w:tc>
          <w:tcPr>
            <w:tcW w:type="dxa" w:w="2880"/>
          </w:tcPr>
          <w:p>
            <w:pPr/>
            <w:r/>
            <w:r>
              <w:rPr>
                <w:rFonts w:ascii="Malgun Gothic" w:hAnsi="Malgun Gothic" w:eastAsia="맑은 고딕"/>
              </w:rPr>
              <w:t>KRX가 거래소 거래 상품의 단일 CCP; KSD가 OTC 기관 거래의 CCP -- 양자 모두 시장 인프라 기관에 내장</w:t>
            </w:r>
          </w:p>
        </w:tc>
      </w:tr>
      <w:tr>
        <w:tc>
          <w:tcPr>
            <w:tcW w:type="dxa" w:w="2880"/>
          </w:tcPr>
          <w:p>
            <w:pPr/>
            <w:r/>
            <w:r>
              <w:rPr>
                <w:rFonts w:ascii="Malgun Gothic" w:hAnsi="Malgun Gothic" w:eastAsia="맑은 고딕"/>
                <w:b/>
              </w:rPr>
              <w:t>CSD 모델</w:t>
            </w:r>
          </w:p>
        </w:tc>
        <w:tc>
          <w:tcPr>
            <w:tcW w:type="dxa" w:w="2880"/>
          </w:tcPr>
          <w:p>
            <w:pPr/>
            <w:r/>
            <w:r>
              <w:rPr>
                <w:rFonts w:ascii="Malgun Gothic" w:hAnsi="Malgun Gothic" w:eastAsia="맑은 고딕"/>
              </w:rPr>
              <w:t>DTC가 주식 및 회사채의 유일 CSD; FICC가 국채 결제; Fedwire Securities가 국채 이전</w:t>
            </w:r>
          </w:p>
        </w:tc>
        <w:tc>
          <w:tcPr>
            <w:tcW w:type="dxa" w:w="2880"/>
          </w:tcPr>
          <w:p>
            <w:pPr/>
            <w:r/>
            <w:r>
              <w:rPr>
                <w:rFonts w:ascii="Malgun Gothic" w:hAnsi="Malgun Gothic" w:eastAsia="맑은 고딕"/>
              </w:rPr>
              <w:t>KSD가 모든 증권의 유일 CSD</w:t>
            </w:r>
          </w:p>
        </w:tc>
      </w:tr>
      <w:tr>
        <w:tc>
          <w:tcPr>
            <w:tcW w:type="dxa" w:w="2880"/>
          </w:tcPr>
          <w:p>
            <w:pPr/>
            <w:r/>
            <w:r>
              <w:rPr>
                <w:rFonts w:ascii="Malgun Gothic" w:hAnsi="Malgun Gothic" w:eastAsia="맑은 고딕"/>
                <w:b/>
              </w:rPr>
              <w:t>CCP와 거래소의 분리</w:t>
            </w:r>
          </w:p>
        </w:tc>
        <w:tc>
          <w:tcPr>
            <w:tcW w:type="dxa" w:w="2880"/>
          </w:tcPr>
          <w:p>
            <w:pPr/>
            <w:r/>
            <w:r>
              <w:rPr>
                <w:rFonts w:ascii="Malgun Gothic" w:hAnsi="Malgun Gothic" w:eastAsia="맑은 고딕"/>
              </w:rPr>
              <w:t>CCP는 일반적으로 거래소와 별도 법인(같은 그룹 내이더라도, 예: CME Group은 거래소와 CCP를 모두 소유)</w:t>
            </w:r>
          </w:p>
        </w:tc>
        <w:tc>
          <w:tcPr>
            <w:tcW w:type="dxa" w:w="2880"/>
          </w:tcPr>
          <w:p>
            <w:pPr/>
            <w:r/>
            <w:r>
              <w:rPr>
                <w:rFonts w:ascii="Malgun Gothic" w:hAnsi="Malgun Gothic" w:eastAsia="맑은 고딕"/>
              </w:rPr>
              <w:t>CCP 기능이 KRX 내에 내장(별도 법인 아님) -- CPMI-IOSCO에서 잠재적 지배구조 우려로 지적</w:t>
            </w:r>
          </w:p>
        </w:tc>
      </w:tr>
      <w:tr>
        <w:tc>
          <w:tcPr>
            <w:tcW w:type="dxa" w:w="2880"/>
          </w:tcPr>
          <w:p>
            <w:pPr/>
            <w:r/>
            <w:r>
              <w:rPr>
                <w:rFonts w:ascii="Malgun Gothic" w:hAnsi="Malgun Gothic" w:eastAsia="맑은 고딕"/>
                <w:b/>
              </w:rPr>
              <w:t>SIFMU/시스템적 지정</w:t>
            </w:r>
          </w:p>
        </w:tc>
        <w:tc>
          <w:tcPr>
            <w:tcW w:type="dxa" w:w="2880"/>
          </w:tcPr>
          <w:p>
            <w:pPr/>
            <w:r/>
            <w:r>
              <w:rPr>
                <w:rFonts w:ascii="Malgun Gothic" w:hAnsi="Malgun Gothic" w:eastAsia="맑은 고딕"/>
              </w:rPr>
              <w:t>Dodd-Frank Title VIII에 따라 8개 지정 SIFMU; 주요 규제기관 + Federal Reserve 보조 권한의 강화된 감독</w:t>
            </w:r>
          </w:p>
        </w:tc>
        <w:tc>
          <w:tcPr>
            <w:tcW w:type="dxa" w:w="2880"/>
          </w:tcPr>
          <w:p>
            <w:pPr/>
            <w:r/>
            <w:r>
              <w:rPr>
                <w:rFonts w:ascii="Malgun Gothic" w:hAnsi="Malgun Gothic" w:eastAsia="맑은 고딕"/>
              </w:rPr>
              <w:t>KRX CCP와 KSD는 시스템적으로 중요한 FMI로 인정되나, Title VIII에 상응하는 공식적 "SIFMU 지정" 절차는 없다 [unverified]</w:t>
            </w:r>
          </w:p>
        </w:tc>
      </w:tr>
      <w:tr>
        <w:tc>
          <w:tcPr>
            <w:tcW w:type="dxa" w:w="2880"/>
          </w:tcPr>
          <w:p>
            <w:pPr/>
            <w:r/>
            <w:r>
              <w:rPr>
                <w:rFonts w:ascii="Malgun Gothic" w:hAnsi="Malgun Gothic" w:eastAsia="맑은 고딕"/>
                <w:b/>
              </w:rPr>
              <w:t>결제주기</w:t>
            </w:r>
          </w:p>
        </w:tc>
        <w:tc>
          <w:tcPr>
            <w:tcW w:type="dxa" w:w="2880"/>
          </w:tcPr>
          <w:p>
            <w:pPr/>
            <w:r/>
            <w:r>
              <w:rPr>
                <w:rFonts w:ascii="Malgun Gothic" w:hAnsi="Malgun Gothic" w:eastAsia="맑은 고딕"/>
              </w:rPr>
              <w:t>T+1(2024년 5월 28일 이후) 주식, 회사채, ETF</w:t>
            </w:r>
          </w:p>
        </w:tc>
        <w:tc>
          <w:tcPr>
            <w:tcW w:type="dxa" w:w="2880"/>
          </w:tcPr>
          <w:p>
            <w:pPr/>
            <w:r/>
            <w:r>
              <w:rPr>
                <w:rFonts w:ascii="Malgun Gothic" w:hAnsi="Malgun Gothic" w:eastAsia="맑은 고딕"/>
              </w:rPr>
              <w:t>T+2(주식); KSD와 KRX가 2025년 10월 T+1 전환 탐색 워킹그룹 구성</w:t>
            </w:r>
          </w:p>
        </w:tc>
      </w:tr>
      <w:tr>
        <w:tc>
          <w:tcPr>
            <w:tcW w:type="dxa" w:w="2880"/>
          </w:tcPr>
          <w:p>
            <w:pPr/>
            <w:r/>
            <w:r>
              <w:rPr>
                <w:rFonts w:ascii="Malgun Gothic" w:hAnsi="Malgun Gothic" w:eastAsia="맑은 고딕"/>
                <w:b/>
              </w:rPr>
              <w:t>손실부담순서</w:t>
            </w:r>
          </w:p>
        </w:tc>
        <w:tc>
          <w:tcPr>
            <w:tcW w:type="dxa" w:w="2880"/>
          </w:tcPr>
          <w:p>
            <w:pPr/>
            <w:r/>
            <w:r>
              <w:rPr>
                <w:rFonts w:ascii="Malgun Gothic" w:hAnsi="Malgun Gothic" w:eastAsia="맑은 고딕"/>
              </w:rPr>
              <w:t>다층: 부도자 증거금 -&gt; 부도자 공동기금 분담금 -&gt; CCP 자기자본 출연분(SITG) -&gt; 비부도자 공동기금 분담금 -&gt; CCP 추가 자원 -&gt; 추가분담금 부과/회복 도구</w:t>
            </w:r>
          </w:p>
        </w:tc>
        <w:tc>
          <w:tcPr>
            <w:tcW w:type="dxa" w:w="2880"/>
          </w:tcPr>
          <w:p>
            <w:pPr/>
            <w:r/>
            <w:r>
              <w:rPr>
                <w:rFonts w:ascii="Malgun Gothic" w:hAnsi="Malgun Gothic" w:eastAsia="맑은 고딕"/>
              </w:rPr>
              <w:t>다층: 부도자 자산(증거금, 결제이행재원) -&gt; 부도자 JCF(손해배상공동기금) 분담금 -&gt; KRX 결제적립금(SITG) -&gt; 비부도자 JCF 분담금 -&gt; KRX 잔여 결제적립금</w:t>
            </w:r>
          </w:p>
        </w:tc>
      </w:tr>
      <w:tr>
        <w:tc>
          <w:tcPr>
            <w:tcW w:type="dxa" w:w="2880"/>
          </w:tcPr>
          <w:p>
            <w:pPr/>
            <w:r/>
            <w:r>
              <w:rPr>
                <w:rFonts w:ascii="Malgun Gothic" w:hAnsi="Malgun Gothic" w:eastAsia="맑은 고딕"/>
                <w:b/>
              </w:rPr>
              <w:t>회복/정리</w:t>
            </w:r>
          </w:p>
        </w:tc>
        <w:tc>
          <w:tcPr>
            <w:tcW w:type="dxa" w:w="2880"/>
          </w:tcPr>
          <w:p>
            <w:pPr/>
            <w:r/>
            <w:r>
              <w:rPr>
                <w:rFonts w:ascii="Malgun Gothic" w:hAnsi="Malgun Gothic" w:eastAsia="맑은 고딕"/>
              </w:rPr>
              <w:t>전용 CCP 정리 체계 없음; Dodd-Frank Title II의 OLA가 대안; 적용대상 청산기관은 회복 계획 필수</w:t>
            </w:r>
          </w:p>
        </w:tc>
        <w:tc>
          <w:tcPr>
            <w:tcW w:type="dxa" w:w="2880"/>
          </w:tcPr>
          <w:p>
            <w:pPr/>
            <w:r/>
            <w:r>
              <w:rPr>
                <w:rFonts w:ascii="Malgun Gothic" w:hAnsi="Malgun Gothic" w:eastAsia="맑은 고딕"/>
              </w:rPr>
              <w:t>전용 CCP 정리 법률 없음; 자본시장법이 FSC 개입에 일부 권한 부여; 회복 계획 요건은 미국보다 덜 공식화 [unverified]</w:t>
            </w:r>
          </w:p>
        </w:tc>
      </w:tr>
      <w:tr>
        <w:tc>
          <w:tcPr>
            <w:tcW w:type="dxa" w:w="2880"/>
          </w:tcPr>
          <w:p>
            <w:pPr/>
            <w:r/>
            <w:r>
              <w:rPr>
                <w:rFonts w:ascii="Malgun Gothic" w:hAnsi="Malgun Gothic" w:eastAsia="맑은 고딕"/>
                <w:b/>
              </w:rPr>
              <w:t>PFMI 준수</w:t>
            </w:r>
          </w:p>
        </w:tc>
        <w:tc>
          <w:tcPr>
            <w:tcW w:type="dxa" w:w="2880"/>
          </w:tcPr>
          <w:p>
            <w:pPr/>
            <w:r/>
            <w:r>
              <w:rPr>
                <w:rFonts w:ascii="Malgun Gothic" w:hAnsi="Malgun Gothic" w:eastAsia="맑은 고딕"/>
              </w:rPr>
              <w:t>SEC Rule 17Ad-22(e) 및 CFTC Part 39가 PFMI 이행; 모든 SIFMU가 PFMI Disclosure Framework 및 분기별 PQD 발간</w:t>
            </w:r>
          </w:p>
        </w:tc>
        <w:tc>
          <w:tcPr>
            <w:tcW w:type="dxa" w:w="2880"/>
          </w:tcPr>
          <w:p>
            <w:pPr/>
            <w:r/>
            <w:r>
              <w:rPr>
                <w:rFonts w:ascii="Malgun Gothic" w:hAnsi="Malgun Gothic" w:eastAsia="맑은 고딕"/>
              </w:rPr>
              <w:t>KRX CCP 및 KSD는 CPMI-IOSCO/FSAP 평가 수행(2013-2014); 지배구조(거래소 내 CCP) 및 재무자원에 대해 일부 우려 제기</w:t>
            </w:r>
          </w:p>
        </w:tc>
      </w:tr>
      <w:tr>
        <w:tc>
          <w:tcPr>
            <w:tcW w:type="dxa" w:w="2880"/>
          </w:tcPr>
          <w:p>
            <w:pPr/>
            <w:r/>
            <w:r>
              <w:rPr>
                <w:rFonts w:ascii="Malgun Gothic" w:hAnsi="Malgun Gothic" w:eastAsia="맑은 고딕"/>
                <w:b/>
              </w:rPr>
              <w:t>국채/국고채 청산</w:t>
            </w:r>
          </w:p>
        </w:tc>
        <w:tc>
          <w:tcPr>
            <w:tcW w:type="dxa" w:w="2880"/>
          </w:tcPr>
          <w:p>
            <w:pPr/>
            <w:r/>
            <w:r>
              <w:rPr>
                <w:rFonts w:ascii="Malgun Gothic" w:hAnsi="Malgun Gothic" w:eastAsia="맑은 고딕"/>
              </w:rPr>
              <w:t>FICC를 통한 의무적 중앙청산(국채 청산의무에 따라 확대 중); CME Securities Clearing이 2026년부터 두 번째 CCP</w:t>
            </w:r>
          </w:p>
        </w:tc>
        <w:tc>
          <w:tcPr>
            <w:tcW w:type="dxa" w:w="2880"/>
          </w:tcPr>
          <w:p>
            <w:pPr/>
            <w:r/>
            <w:r>
              <w:rPr>
                <w:rFonts w:ascii="Malgun Gothic" w:hAnsi="Malgun Gothic" w:eastAsia="맑은 고딕"/>
              </w:rPr>
              <w:t>KRX CCP(거래소 거래) 및 KSD(OTC 기관)를 통한 국고채 청산; 확대된 중앙청산에 대한 구체적 의무 없음</w:t>
            </w:r>
          </w:p>
        </w:tc>
      </w:tr>
      <w:tr>
        <w:tc>
          <w:tcPr>
            <w:tcW w:type="dxa" w:w="2880"/>
          </w:tcPr>
          <w:p>
            <w:pPr/>
            <w:r/>
            <w:r>
              <w:rPr>
                <w:rFonts w:ascii="Malgun Gothic" w:hAnsi="Malgun Gothic" w:eastAsia="맑은 고딕"/>
                <w:b/>
              </w:rPr>
              <w:t>파생상품 청산</w:t>
            </w:r>
          </w:p>
        </w:tc>
        <w:tc>
          <w:tcPr>
            <w:tcW w:type="dxa" w:w="2880"/>
          </w:tcPr>
          <w:p>
            <w:pPr/>
            <w:r/>
            <w:r>
              <w:rPr>
                <w:rFonts w:ascii="Malgun Gothic" w:hAnsi="Malgun Gothic" w:eastAsia="맑은 고딕"/>
              </w:rPr>
              <w:t>별도 DCO(CME, ICE Clear 등)를 CFTC가 규제; Dodd-Frank에 따른 스왑 청산의무</w:t>
            </w:r>
          </w:p>
        </w:tc>
        <w:tc>
          <w:tcPr>
            <w:tcW w:type="dxa" w:w="2880"/>
          </w:tcPr>
          <w:p>
            <w:pPr/>
            <w:r/>
            <w:r>
              <w:rPr>
                <w:rFonts w:ascii="Malgun Gothic" w:hAnsi="Malgun Gothic" w:eastAsia="맑은 고딕"/>
              </w:rPr>
              <w:t>KRX가 거래소 파생상품(KOSPI 200 옵션/선물 등)의 유일 CCP; Dodd-Frank에 상응하는 OTC 파생상품 청산의무 없음 [unverified]</w:t>
            </w:r>
          </w:p>
        </w:tc>
      </w:tr>
      <w:tr>
        <w:tc>
          <w:tcPr>
            <w:tcW w:type="dxa" w:w="2880"/>
          </w:tcPr>
          <w:p>
            <w:pPr/>
            <w:r/>
            <w:r>
              <w:rPr>
                <w:rFonts w:ascii="Malgun Gothic" w:hAnsi="Malgun Gothic" w:eastAsia="맑은 고딕"/>
                <w:b/>
              </w:rPr>
              <w:t>국경 간 CCP 승인</w:t>
            </w:r>
          </w:p>
        </w:tc>
        <w:tc>
          <w:tcPr>
            <w:tcW w:type="dxa" w:w="2880"/>
          </w:tcPr>
          <w:p>
            <w:pPr/>
            <w:r/>
            <w:r>
              <w:rPr>
                <w:rFonts w:ascii="Malgun Gothic" w:hAnsi="Malgun Gothic" w:eastAsia="맑은 고딕"/>
              </w:rPr>
              <w:t>CFTC가 대체준수 및 면제 DCO 체계 개발; SEC는 건별 접근</w:t>
            </w:r>
          </w:p>
        </w:tc>
        <w:tc>
          <w:tcPr>
            <w:tcW w:type="dxa" w:w="2880"/>
          </w:tcPr>
          <w:p>
            <w:pPr/>
            <w:r/>
            <w:r>
              <w:rPr>
                <w:rFonts w:ascii="Malgun Gothic" w:hAnsi="Malgun Gothic" w:eastAsia="맑은 고딕"/>
              </w:rPr>
              <w:t>한국(FSC)은 외국 규제기관과 MOU 체결(2025년 9월 CFTC-FSC-FSS 청산 협력 MOU 서명 포함)</w:t>
            </w:r>
          </w:p>
        </w:tc>
      </w:tr>
      <w:tr>
        <w:tc>
          <w:tcPr>
            <w:tcW w:type="dxa" w:w="2880"/>
          </w:tcPr>
          <w:p>
            <w:pPr/>
            <w:r/>
            <w:r>
              <w:rPr>
                <w:rFonts w:ascii="Malgun Gothic" w:hAnsi="Malgun Gothic" w:eastAsia="맑은 고딕"/>
                <w:b/>
              </w:rPr>
              <w:t>증거금 방법론</w:t>
            </w:r>
          </w:p>
        </w:tc>
        <w:tc>
          <w:tcPr>
            <w:tcW w:type="dxa" w:w="2880"/>
          </w:tcPr>
          <w:p>
            <w:pPr/>
            <w:r/>
            <w:r>
              <w:rPr>
                <w:rFonts w:ascii="Malgun Gothic" w:hAnsi="Malgun Gothic" w:eastAsia="맑은 고딕"/>
              </w:rPr>
              <w:t>CCP별 상이: NSCC는 VaR 기반(NSCC 청산기금 공식), CME는 SPAN/CME CORE, OCC는 STANS(Monte Carlo)</w:t>
            </w:r>
          </w:p>
        </w:tc>
        <w:tc>
          <w:tcPr>
            <w:tcW w:type="dxa" w:w="2880"/>
          </w:tcPr>
          <w:p>
            <w:pPr/>
            <w:r/>
            <w:r>
              <w:rPr>
                <w:rFonts w:ascii="Malgun Gothic" w:hAnsi="Malgun Gothic" w:eastAsia="맑은 고딕"/>
              </w:rPr>
              <w:t>KRX는 KOSCOM 개발 리스크 관리 시스템 사용; 파생상품 증거금 방법론은 역사적 시뮬레이션 기반 VaR [unverified]</w:t>
            </w:r>
          </w:p>
        </w:tc>
      </w:tr>
    </w:tbl>
    <w:p/>
    <w:p>
      <w:pPr>
        <w:pStyle w:val="Heading3"/>
      </w:pPr>
      <w:r>
        <w:rPr>
          <w:rFonts w:ascii="Malgun Gothic" w:hAnsi="Malgun Gothic" w:eastAsia="맑은 고딕"/>
        </w:rPr>
        <w:t>10.3 KRX 벤치마킹을 위한 주요 관찰사항 (Key Observations for KRX Benchmarking)</w:t>
      </w:r>
    </w:p>
    <w:p>
      <w:pPr>
        <w:pStyle w:val="ListBullet"/>
      </w:pPr>
      <w:r>
        <w:rPr>
          <w:rFonts w:ascii="Malgun Gothic" w:hAnsi="Malgun Gothic" w:eastAsia="맑은 고딕"/>
          <w:b/>
        </w:rPr>
        <w:t>CCP 독립성:</w:t>
      </w:r>
      <w:r>
        <w:rPr>
          <w:rFonts w:ascii="Malgun Gothic" w:hAnsi="Malgun Gothic" w:eastAsia="맑은 고딕"/>
        </w:rPr>
        <w:t xml:space="preserve"> 법적으로 별도인 CCP(거래소와 구분)라는 미국 모델은 국제적 표준이며, PFMI(원칙 2, 지배구조)에서 권장된다. CCP 기능을 KRX 내에 내장하는 한국 모델은 과거 FSAP 평가에서 잠재적 지배구조 및 이해충돌 우려로 지적되었다. CCP를 독립 법인으로 분리하는 방안을 검토할 수 있다.</w:t>
      </w:r>
    </w:p>
    <w:p>
      <w:pPr>
        <w:pStyle w:val="ListBullet"/>
      </w:pPr>
      <w:r>
        <w:rPr>
          <w:rFonts w:ascii="Malgun Gothic" w:hAnsi="Malgun Gothic" w:eastAsia="맑은 고딕"/>
          <w:b/>
        </w:rPr>
        <w:t>T+1 전환:</w:t>
      </w:r>
      <w:r>
        <w:rPr>
          <w:rFonts w:ascii="Malgun Gothic" w:hAnsi="Malgun Gothic" w:eastAsia="맑은 고딕"/>
        </w:rPr>
        <w:t xml:space="preserve"> 미국의 경험은 한국이 계획하는 T+1 전환에 유용한 청사진을 제공한다. 핵심 교훈으로는 당일 확약의 중요성, 청산기금 요건에 대한 긍정적 영향(NSCC에서 20-29% 감소), 외환 자금조달 및 시간대 차이와 관련한 해외 참가자의 과제가 있다.</w:t>
      </w:r>
    </w:p>
    <w:p>
      <w:pPr>
        <w:pStyle w:val="ListBullet"/>
      </w:pPr>
      <w:r>
        <w:rPr>
          <w:rFonts w:ascii="Malgun Gothic" w:hAnsi="Malgun Gothic" w:eastAsia="맑은 고딕"/>
          <w:b/>
        </w:rPr>
        <w:t>국채 청산의무:</w:t>
      </w:r>
      <w:r>
        <w:rPr>
          <w:rFonts w:ascii="Malgun Gothic" w:hAnsi="Malgun Gothic" w:eastAsia="맑은 고딕"/>
        </w:rPr>
        <w:t xml:space="preserve"> SEC의 미국 국채에 대한 의무 중앙청산 확대는 중요한 구조적 변화이다. 한국은 OTC 시장에서의 국고채(KTB)에 대해 유사한 중앙청산 범위 확대가 시장 복원력을 강화할 수 있는지 평가할 수 있다.</w:t>
      </w:r>
    </w:p>
    <w:p>
      <w:pPr>
        <w:pStyle w:val="ListBullet"/>
      </w:pPr>
      <w:r>
        <w:rPr>
          <w:rFonts w:ascii="Malgun Gothic" w:hAnsi="Malgun Gothic" w:eastAsia="맑은 고딕"/>
          <w:b/>
        </w:rPr>
        <w:t>회복 및 정리:</w:t>
      </w:r>
      <w:r>
        <w:rPr>
          <w:rFonts w:ascii="Malgun Gothic" w:hAnsi="Malgun Gothic" w:eastAsia="맑은 고딕"/>
        </w:rPr>
        <w:t xml:space="preserve"> 양 관할권 모두 전용 CCP 정리 법률이 없다. 미국은 보다 발전된 회복 계획 요건(Rule 17Ad-22(e) 및 Part 39를 통해)을 보유하고 있어, 한국의 CCP 회복 체계 개발에 참고가 될 수 있다.</w:t>
      </w:r>
    </w:p>
    <w:p>
      <w:pPr>
        <w:pStyle w:val="ListBullet"/>
      </w:pPr>
      <w:r>
        <w:rPr>
          <w:rFonts w:ascii="Malgun Gothic" w:hAnsi="Malgun Gothic" w:eastAsia="맑은 고딕"/>
          <w:b/>
        </w:rPr>
        <w:t>복수 CCP 경쟁:</w:t>
      </w:r>
      <w:r>
        <w:rPr>
          <w:rFonts w:ascii="Malgun Gothic" w:hAnsi="Malgun Gothic" w:eastAsia="맑은 고딕"/>
        </w:rPr>
        <w:t xml:space="preserve"> 미국은 국채 청산에 경쟁을 도입하고 있다(FICC + CME Securities Clearing). 한국의 단일 CCP 모델은 CCP 경쟁이 수수료, 혁신, 리스크 관리에 미치는 영향을 연구하는 것이 도움이 될 수 있다.</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SEC, "About the SEC" and "Division of Trading and Markets"</w:t>
      </w:r>
    </w:p>
    <w:p>
      <w:pPr>
        <w:pStyle w:val="ListBullet"/>
      </w:pPr>
      <w:r>
        <w:rPr>
          <w:rFonts w:ascii="Malgun Gothic" w:hAnsi="Malgun Gothic" w:eastAsia="맑은 고딕"/>
          <w:color w:val="0563C1"/>
          <w:u w:val="single"/>
        </w:rPr>
        <w:t>CFTC, "Derivatives Clearing Organizations"</w:t>
      </w:r>
    </w:p>
    <w:p>
      <w:pPr>
        <w:pStyle w:val="ListBullet"/>
      </w:pPr>
      <w:r>
        <w:rPr>
          <w:rFonts w:ascii="Malgun Gothic" w:hAnsi="Malgun Gothic" w:eastAsia="맑은 고딕"/>
          <w:color w:val="0563C1"/>
          <w:u w:val="single"/>
        </w:rPr>
        <w:t>CFTC, "Division of Clearing and Risk"</w:t>
      </w:r>
    </w:p>
    <w:p>
      <w:pPr>
        <w:pStyle w:val="ListBullet"/>
      </w:pPr>
      <w:r>
        <w:rPr>
          <w:rFonts w:ascii="Malgun Gothic" w:hAnsi="Malgun Gothic" w:eastAsia="맑은 고딕"/>
          <w:color w:val="0563C1"/>
          <w:u w:val="single"/>
        </w:rPr>
        <w:t>Federal Reserve Board, "Designated Financial Market Utilities"</w:t>
      </w:r>
    </w:p>
    <w:p>
      <w:pPr>
        <w:pStyle w:val="ListBullet"/>
      </w:pPr>
      <w:r>
        <w:rPr>
          <w:rFonts w:ascii="Malgun Gothic" w:hAnsi="Malgun Gothic" w:eastAsia="맑은 고딕"/>
          <w:color w:val="0563C1"/>
          <w:u w:val="single"/>
        </w:rPr>
        <w:t>U.S. Treasury, FSOC Designations</w:t>
      </w:r>
    </w:p>
    <w:p>
      <w:pPr>
        <w:pStyle w:val="ListBullet"/>
      </w:pPr>
      <w:r>
        <w:rPr>
          <w:rFonts w:ascii="Malgun Gothic" w:hAnsi="Malgun Gothic" w:eastAsia="맑은 고딕"/>
          <w:color w:val="0563C1"/>
          <w:u w:val="single"/>
        </w:rPr>
        <w:t>Dodd-Frank Wall Street Reform and Consumer Protection Act</w:t>
      </w:r>
    </w:p>
    <w:p>
      <w:pPr>
        <w:pStyle w:val="ListBullet"/>
      </w:pPr>
      <w:r>
        <w:rPr>
          <w:rFonts w:ascii="Malgun Gothic" w:hAnsi="Malgun Gothic" w:eastAsia="맑은 고딕"/>
          <w:color w:val="0563C1"/>
          <w:u w:val="single"/>
        </w:rPr>
        <w:t>Securities Exchange Act of 1934, Section 17A</w:t>
      </w:r>
    </w:p>
    <w:p>
      <w:pPr>
        <w:pStyle w:val="ListBullet"/>
      </w:pPr>
      <w:r>
        <w:rPr>
          <w:rFonts w:ascii="Malgun Gothic" w:hAnsi="Malgun Gothic" w:eastAsia="맑은 고딕"/>
          <w:color w:val="0563C1"/>
          <w:u w:val="single"/>
        </w:rPr>
        <w:t>SEC Rule 17Ad-22</w:t>
      </w:r>
    </w:p>
    <w:p>
      <w:pPr>
        <w:pStyle w:val="ListBullet"/>
      </w:pPr>
      <w:r>
        <w:rPr>
          <w:rFonts w:ascii="Malgun Gothic" w:hAnsi="Malgun Gothic" w:eastAsia="맑은 고딕"/>
          <w:color w:val="0563C1"/>
          <w:u w:val="single"/>
        </w:rPr>
        <w:t>SEC Release No. 34-78961 (September 2016) -- Standards for Covered Clearing Agencies</w:t>
      </w:r>
    </w:p>
    <w:p>
      <w:pPr>
        <w:pStyle w:val="ListBullet"/>
      </w:pPr>
      <w:r>
        <w:rPr>
          <w:rFonts w:ascii="Malgun Gothic" w:hAnsi="Malgun Gothic" w:eastAsia="맑은 고딕"/>
          <w:color w:val="0563C1"/>
          <w:u w:val="single"/>
        </w:rPr>
        <w:t>SEC Release No. 34-99149 (December 2023) -- Treasury Clearing Standards</w:t>
      </w:r>
    </w:p>
    <w:p>
      <w:pPr>
        <w:pStyle w:val="ListBullet"/>
      </w:pPr>
      <w:r>
        <w:rPr>
          <w:rFonts w:ascii="Malgun Gothic" w:hAnsi="Malgun Gothic" w:eastAsia="맑은 고딕"/>
          <w:color w:val="0563C1"/>
          <w:u w:val="single"/>
        </w:rPr>
        <w:t>SEC Release No. 34-102487 (February 2025) -- Extension of Treasury Clearing Compliance Dates</w:t>
      </w:r>
    </w:p>
    <w:p>
      <w:pPr>
        <w:pStyle w:val="ListBullet"/>
      </w:pPr>
      <w:r>
        <w:rPr>
          <w:rFonts w:ascii="Malgun Gothic" w:hAnsi="Malgun Gothic" w:eastAsia="맑은 고딕"/>
          <w:color w:val="0563C1"/>
          <w:u w:val="single"/>
        </w:rPr>
        <w:t>SEC Release No. 34-96930 (February 2023) -- T+1 Settlement</w:t>
      </w:r>
    </w:p>
    <w:p>
      <w:pPr>
        <w:pStyle w:val="ListBullet"/>
      </w:pPr>
      <w:r>
        <w:rPr>
          <w:rFonts w:ascii="Malgun Gothic" w:hAnsi="Malgun Gothic" w:eastAsia="맑은 고딕"/>
          <w:color w:val="0563C1"/>
          <w:u w:val="single"/>
        </w:rPr>
        <w:t>CFTC Part 39, 17 CFR Part 39</w:t>
      </w:r>
    </w:p>
    <w:p>
      <w:pPr>
        <w:pStyle w:val="ListBullet"/>
      </w:pPr>
      <w:r>
        <w:rPr>
          <w:rFonts w:ascii="Malgun Gothic" w:hAnsi="Malgun Gothic" w:eastAsia="맑은 고딕"/>
          <w:color w:val="0563C1"/>
          <w:u w:val="single"/>
        </w:rPr>
        <w:t>Commodity Exchange Act, Section 5b</w:t>
      </w:r>
    </w:p>
    <w:p>
      <w:pPr>
        <w:pStyle w:val="ListBullet"/>
      </w:pPr>
      <w:r>
        <w:rPr>
          <w:rFonts w:ascii="Malgun Gothic" w:hAnsi="Malgun Gothic" w:eastAsia="맑은 고딕"/>
          <w:color w:val="0563C1"/>
          <w:u w:val="single"/>
        </w:rPr>
        <w:t>SIFMA/ICI/DTCC, "T+1 After Action Report," October 2024</w:t>
      </w:r>
    </w:p>
    <w:p>
      <w:pPr>
        <w:pStyle w:val="ListBullet"/>
      </w:pPr>
      <w:r>
        <w:rPr>
          <w:rFonts w:ascii="Malgun Gothic" w:hAnsi="Malgun Gothic" w:eastAsia="맑은 고딕"/>
          <w:color w:val="0563C1"/>
          <w:u w:val="single"/>
        </w:rPr>
        <w:t>Arnold &amp; Porter, "U.S. Treasury Clearing: Key Questions and Answers," February 2025</w:t>
      </w:r>
    </w:p>
    <w:p>
      <w:pPr>
        <w:pStyle w:val="ListBullet"/>
      </w:pPr>
      <w:r>
        <w:rPr>
          <w:rFonts w:ascii="Malgun Gothic" w:hAnsi="Malgun Gothic" w:eastAsia="맑은 고딕"/>
          <w:color w:val="0563C1"/>
          <w:u w:val="single"/>
        </w:rPr>
        <w:t>Arnold &amp; Porter, "U.S. Treasury Clearing: SEC Extends Compliance Dates," March 2025</w:t>
      </w:r>
    </w:p>
    <w:p>
      <w:pPr>
        <w:pStyle w:val="ListBullet"/>
      </w:pPr>
      <w:r>
        <w:rPr>
          <w:rFonts w:ascii="Malgun Gothic" w:hAnsi="Malgun Gothic" w:eastAsia="맑은 고딕"/>
          <w:color w:val="0563C1"/>
          <w:u w:val="single"/>
        </w:rPr>
        <w:t>J.P. Morgan, "The U.S. Treasury Clearing Mandate Explained"</w:t>
      </w:r>
    </w:p>
    <w:p>
      <w:pPr>
        <w:pStyle w:val="ListBullet"/>
      </w:pPr>
      <w:r>
        <w:rPr>
          <w:rFonts w:ascii="Malgun Gothic" w:hAnsi="Malgun Gothic" w:eastAsia="맑은 고딕"/>
          <w:color w:val="0563C1"/>
          <w:u w:val="single"/>
        </w:rPr>
        <w:t>Federal Register, "CME Securities Clearing Inc.; Order Granting Registration," December 2025</w:t>
      </w:r>
    </w:p>
    <w:p>
      <w:pPr>
        <w:pStyle w:val="ListBullet"/>
      </w:pPr>
      <w:r>
        <w:rPr>
          <w:rFonts w:ascii="Malgun Gothic" w:hAnsi="Malgun Gothic" w:eastAsia="맑은 고딕"/>
          <w:color w:val="0563C1"/>
          <w:u w:val="single"/>
        </w:rPr>
        <w:t>SEC, "Treasury Clearing Implementation"</w:t>
      </w:r>
    </w:p>
    <w:p>
      <w:pPr>
        <w:pStyle w:val="ListBullet"/>
      </w:pPr>
      <w:r>
        <w:rPr>
          <w:rFonts w:ascii="Malgun Gothic" w:hAnsi="Malgun Gothic" w:eastAsia="맑은 고딕"/>
          <w:color w:val="0563C1"/>
          <w:u w:val="single"/>
        </w:rPr>
        <w:t>CPMI-IOSCO, "Principles for financial market infrastructures," April 2012</w:t>
      </w:r>
    </w:p>
    <w:p>
      <w:pPr>
        <w:pStyle w:val="ListBullet"/>
      </w:pPr>
      <w:r>
        <w:rPr>
          <w:rFonts w:ascii="Malgun Gothic" w:hAnsi="Malgun Gothic" w:eastAsia="맑은 고딕"/>
          <w:color w:val="0563C1"/>
          <w:u w:val="single"/>
        </w:rPr>
        <w:t>IMF, "Republic of Korea: FSAP -- CPSS-IOSCO Assessment of KRX CCP," 2014</w:t>
      </w:r>
    </w:p>
    <w:p>
      <w:pPr>
        <w:pStyle w:val="ListBullet"/>
      </w:pPr>
      <w:r>
        <w:rPr>
          <w:rFonts w:ascii="Malgun Gothic" w:hAnsi="Malgun Gothic" w:eastAsia="맑은 고딕"/>
          <w:color w:val="0563C1"/>
          <w:u w:val="single"/>
        </w:rPr>
        <w:t>World Bank, "Republic of Korea: Detailed Assessment of Observance of CPSS-IOSCO PFMI," 2014</w:t>
      </w:r>
    </w:p>
    <w:p>
      <w:pPr>
        <w:pStyle w:val="ListBullet"/>
      </w:pPr>
      <w:r>
        <w:rPr>
          <w:rFonts w:ascii="Malgun Gothic" w:hAnsi="Malgun Gothic" w:eastAsia="맑은 고딕"/>
          <w:color w:val="0563C1"/>
          <w:u w:val="single"/>
        </w:rPr>
        <w:t>BIS, "Payment, clearing and settlement systems in Korea," 2011</w:t>
      </w:r>
    </w:p>
    <w:p>
      <w:pPr>
        <w:pStyle w:val="ListBullet"/>
      </w:pPr>
      <w:r>
        <w:rPr>
          <w:rFonts w:ascii="Malgun Gothic" w:hAnsi="Malgun Gothic" w:eastAsia="맑은 고딕"/>
          <w:color w:val="0563C1"/>
          <w:u w:val="single"/>
        </w:rPr>
        <w:t>Chambers, "Financial Services Regulation 2025 -- South Korea"</w:t>
      </w:r>
    </w:p>
    <w:p>
      <w:pPr>
        <w:pStyle w:val="ListBullet"/>
      </w:pPr>
      <w:r>
        <w:rPr>
          <w:rFonts w:ascii="Malgun Gothic" w:hAnsi="Malgun Gothic" w:eastAsia="맑은 고딕"/>
          <w:color w:val="0563C1"/>
          <w:u w:val="single"/>
        </w:rPr>
        <w:t>CFTC-FSC-FSS MOU on Clearing Cooperation, September 2025</w:t>
      </w:r>
    </w:p>
    <w:p>
      <w:pPr>
        <w:pStyle w:val="ListBullet"/>
      </w:pPr>
      <w:r>
        <w:rPr>
          <w:rFonts w:ascii="Malgun Gothic" w:hAnsi="Malgun Gothic" w:eastAsia="맑은 고딕"/>
          <w:color w:val="0563C1"/>
          <w:u w:val="single"/>
        </w:rPr>
        <w:t>KRX Clearing -- Default Waterfall</w:t>
      </w:r>
    </w:p>
    <w:p>
      <w:pPr>
        <w:pStyle w:val="ListBullet"/>
      </w:pPr>
      <w:r>
        <w:rPr>
          <w:rFonts w:ascii="Malgun Gothic" w:hAnsi="Malgun Gothic" w:eastAsia="맑은 고딕"/>
          <w:color w:val="0563C1"/>
          <w:u w:val="single"/>
        </w:rPr>
        <w:t>FDIC, "Overview of Resolution Under Title II of the Dodd-Frank Act," April 2024</w:t>
      </w:r>
    </w:p>
    <w:p>
      <w:pPr>
        <w:pStyle w:val="ListBullet"/>
      </w:pPr>
      <w:r>
        <w:rPr>
          <w:rFonts w:ascii="Malgun Gothic" w:hAnsi="Malgun Gothic" w:eastAsia="맑은 고딕"/>
          <w:color w:val="0563C1"/>
          <w:u w:val="single"/>
        </w:rPr>
        <w:t>Risk.net, "NSCC liquidity shortfalls raise T+1 concerns," 2025</w:t>
      </w:r>
    </w:p>
    <w:p>
      <w:pPr>
        <w:pStyle w:val="ListBullet"/>
      </w:pPr>
      <w:r>
        <w:rPr>
          <w:rFonts w:ascii="Malgun Gothic" w:hAnsi="Malgun Gothic" w:eastAsia="맑은 고딕"/>
          <w:color w:val="0563C1"/>
          <w:u w:val="single"/>
        </w:rPr>
        <w:t>Finadium, "DTCC analysis shows clearing fund drops $4bn after T+1 starts," 2024</w:t>
      </w:r>
    </w:p>
    <w:p>
      <w:pPr>
        <w:pStyle w:val="ListBullet"/>
      </w:pPr>
      <w:r>
        <w:rPr>
          <w:rFonts w:ascii="Malgun Gothic" w:hAnsi="Malgun Gothic" w:eastAsia="맑은 고딕"/>
          <w:color w:val="0563C1"/>
          <w:u w:val="single"/>
        </w:rPr>
        <w:t>Georgetown Financial Policy Institute, "An Overview of the Dodd-Frank Act and its Evolution,"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