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[Organization Full Name] ([ABBREVIATION])</w:t>
      </w:r>
    </w:p>
    <w:p>
      <w:pPr>
        <w:ind w:left="720"/>
      </w:pPr>
      <w:r>
        <w:rPr>
          <w:i/>
          <w:sz w:val="18"/>
        </w:rPr>
        <w:t>**Last Updated:** YYYY-MM-DD</w:t>
      </w:r>
    </w:p>
    <w:p>
      <w:pPr>
        <w:ind w:left="720"/>
      </w:pPr>
      <w:r>
        <w:rPr>
          <w:i/>
          <w:sz w:val="18"/>
        </w:rPr>
        <w:t>**Research Tier:** Tier 1 / Tier 2 / Tier 3</w:t>
      </w:r>
    </w:p>
    <w:p>
      <w:pPr>
        <w:ind w:left="720"/>
      </w:pPr>
      <w:r>
        <w:rPr>
          <w:i/>
          <w:sz w:val="18"/>
        </w:rPr>
        <w:t>**Type:** CCP / CSD / CCP+CSD / Clearing House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Official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Abbreviation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 Established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Country / City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Ownership Structure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Parent Company / Group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Regulatory Authority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CPMI-IOSCO PFMI Compliance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QCCP Status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Key Historical Milestones</w:t>
      </w:r>
    </w:p>
    <w:p>
      <w:pPr>
        <w:pStyle w:val="ListBullet"/>
      </w:pPr>
      <w:r>
        <w:t>YYYY: ...</w:t>
      </w:r>
    </w:p>
    <w:p>
      <w:pPr>
        <w:pStyle w:val="ListBullet"/>
      </w:pPr>
      <w:r>
        <w:t>YYYY: ...</w:t>
      </w:r>
    </w:p>
    <w:p>
      <w:pPr>
        <w:pStyle w:val="Heading2"/>
      </w:pPr>
      <w:r>
        <w:t>2. Clearing Model</w:t>
      </w:r>
    </w:p>
    <w:p>
      <w:pPr>
        <w:pStyle w:val="Heading3"/>
      </w:pPr>
      <w:r>
        <w:t>2.1 CCP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 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Open Interest / Volume</w:t>
            </w:r>
          </w:p>
        </w:tc>
      </w:tr>
      <w:tr>
        <w:tc>
          <w:tcPr>
            <w:tcW w:type="dxa" w:w="2880"/>
          </w:tcPr>
          <w:p>
            <w:r>
              <w:t>Equities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Fixed Income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Listed Derivatives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OTC Derivatives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2.2 Novation Process</w:t>
      </w:r>
    </w:p>
    <w:p>
      <w:r>
        <w:t>-</w:t>
      </w:r>
    </w:p>
    <w:p>
      <w:pPr>
        <w:pStyle w:val="Heading3"/>
      </w:pPr>
      <w:r>
        <w:t>2.3 Netting</w:t>
      </w:r>
    </w:p>
    <w:p>
      <w:pPr>
        <w:pStyle w:val="ListBullet"/>
      </w:pPr>
      <w:r>
        <w:t>Multilateral netting / Bilateral netting</w:t>
      </w:r>
    </w:p>
    <w:p>
      <w:pPr>
        <w:pStyle w:val="ListBullet"/>
      </w:pPr>
      <w:r>
        <w:t>Netting efficiency ratio:</w:t>
      </w:r>
    </w:p>
    <w:p>
      <w:pPr>
        <w:pStyle w:val="Heading3"/>
      </w:pPr>
      <w:r>
        <w:t>2.4 Clearing Membership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Members</w:t>
            </w:r>
          </w:p>
        </w:tc>
      </w:tr>
      <w:tr>
        <w:tc>
          <w:tcPr>
            <w:tcW w:type="dxa" w:w="2880"/>
          </w:tcPr>
          <w:p>
            <w:r>
              <w:t>General Clearing Member (GCM)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Direct Clearing Member (DCM)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Non-Clearing Member (NCM)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 Risk Management</w:t>
      </w:r>
    </w:p>
    <w:p>
      <w:pPr>
        <w:pStyle w:val="Heading3"/>
      </w:pPr>
      <w:r>
        <w:t>3.1 Margin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Initial Margin</w:t>
            </w:r>
          </w:p>
        </w:tc>
        <w:tc>
          <w:tcPr>
            <w:tcW w:type="dxa" w:w="2880"/>
          </w:tcPr>
          <w:p>
            <w:r>
              <w:t>SPAN / PRISMA / VaR / Other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Variation Margin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Additional Margin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Concentration Margin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3.2 Margin Call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Call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Settlement</w:t>
            </w:r>
          </w:p>
        </w:tc>
      </w:tr>
      <w:tr>
        <w:tc>
          <w:tcPr>
            <w:tcW w:type="dxa" w:w="2880"/>
          </w:tcPr>
          <w:p>
            <w:r>
              <w:t>Regular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Intraday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Ad-hoc / Extraordinary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3.3 Default Waterfall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(approx.)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Defaulter's margin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Defaulter's default fund contribution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CCP's own capital (Skin-in-the-Game, SITG)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Non-defaulting members' default fund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Additional CCP capital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Assessment powers / other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3.4 Default Fund / Guarantee Fund</w:t>
      </w:r>
    </w:p>
    <w:p>
      <w:pPr>
        <w:pStyle w:val="ListBullet"/>
      </w:pPr>
      <w:r>
        <w:t>Total size:</w:t>
      </w:r>
    </w:p>
    <w:p>
      <w:pPr>
        <w:pStyle w:val="ListBullet"/>
      </w:pPr>
      <w:r>
        <w:t>Methodology for sizing:</w:t>
      </w:r>
    </w:p>
    <w:p>
      <w:pPr>
        <w:pStyle w:val="ListBullet"/>
      </w:pPr>
      <w:r>
        <w:t>Contribution methodology:</w:t>
      </w:r>
    </w:p>
    <w:p>
      <w:pPr>
        <w:pStyle w:val="ListBullet"/>
      </w:pPr>
      <w:r>
        <w:t>Review frequency:</w:t>
      </w:r>
    </w:p>
    <w:p>
      <w:pPr>
        <w:pStyle w:val="Heading3"/>
      </w:pPr>
      <w:r>
        <w:t>3.5 Stress Testing &amp; Back-testing</w:t>
      </w:r>
    </w:p>
    <w:p>
      <w:pPr>
        <w:pStyle w:val="ListBullet"/>
      </w:pPr>
      <w:r>
        <w:t>Stress testing methodology:</w:t>
      </w:r>
    </w:p>
    <w:p>
      <w:pPr>
        <w:pStyle w:val="ListBullet"/>
      </w:pPr>
      <w:r>
        <w:t>Scenarios used:</w:t>
      </w:r>
    </w:p>
    <w:p>
      <w:pPr>
        <w:pStyle w:val="ListBullet"/>
      </w:pPr>
      <w:r>
        <w:t>Back-testing frequency:</w:t>
      </w:r>
    </w:p>
    <w:p>
      <w:pPr>
        <w:pStyle w:val="ListBullet"/>
      </w:pPr>
      <w:r>
        <w:t>Cover 1 / Cover 2 standard:</w:t>
      </w:r>
    </w:p>
    <w:p>
      <w:pPr>
        <w:pStyle w:val="Heading3"/>
      </w:pPr>
      <w:r>
        <w:t>3.6 Recovery &amp; Resolution</w:t>
      </w:r>
    </w:p>
    <w:p>
      <w:pPr>
        <w:pStyle w:val="ListBullet"/>
      </w:pPr>
      <w:r>
        <w:t>Recovery tools:</w:t>
      </w:r>
    </w:p>
    <w:p>
      <w:pPr>
        <w:pStyle w:val="ListBullet"/>
        <w:ind w:left="360"/>
      </w:pPr>
      <w:r>
        <w:t>Variation margin haircutting (VMGH)</w:t>
      </w:r>
    </w:p>
    <w:p>
      <w:pPr>
        <w:pStyle w:val="ListBullet"/>
        <w:ind w:left="360"/>
      </w:pPr>
      <w:r>
        <w:t>Partial tear-up</w:t>
      </w:r>
    </w:p>
    <w:p>
      <w:pPr>
        <w:pStyle w:val="ListBullet"/>
        <w:ind w:left="360"/>
      </w:pPr>
      <w:r>
        <w:t>Assessment powers</w:t>
      </w:r>
    </w:p>
    <w:p>
      <w:pPr>
        <w:pStyle w:val="ListBullet"/>
        <w:ind w:left="360"/>
      </w:pPr>
      <w:r>
        <w:t>Other</w:t>
      </w:r>
    </w:p>
    <w:p>
      <w:pPr>
        <w:pStyle w:val="ListBullet"/>
      </w:pPr>
      <w:r>
        <w:t>Resolution authority:</w:t>
      </w:r>
    </w:p>
    <w:p>
      <w:pPr>
        <w:pStyle w:val="ListBullet"/>
      </w:pPr>
      <w:r>
        <w:t>Resolution plan status:</w:t>
      </w:r>
    </w:p>
    <w:p>
      <w:pPr>
        <w:pStyle w:val="Heading2"/>
      </w:pPr>
      <w:r>
        <w:t>4. Settlement</w:t>
      </w:r>
    </w:p>
    <w:p>
      <w:pPr>
        <w:pStyle w:val="Heading3"/>
      </w:pPr>
      <w: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Settlement Cycle</w:t>
            </w:r>
          </w:p>
        </w:tc>
      </w:tr>
      <w:tr>
        <w:tc>
          <w:tcPr>
            <w:tcW w:type="dxa" w:w="4320"/>
          </w:tcPr>
          <w:p>
            <w:r>
              <w:t>Equities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Government Bonds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Corporate Bonds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Derivatives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4.2 DVP Model</w:t>
      </w:r>
    </w:p>
    <w:p>
      <w:pPr>
        <w:pStyle w:val="ListBullet"/>
      </w:pPr>
      <w:r>
        <w:t>BIS DVP Model: 1 / 2 / 3</w:t>
      </w:r>
    </w:p>
    <w:p>
      <w:pPr>
        <w:pStyle w:val="ListBullet"/>
      </w:pPr>
      <w:r>
        <w:t>Description:</w:t>
      </w:r>
    </w:p>
    <w:p>
      <w:pPr>
        <w:pStyle w:val="Heading3"/>
      </w:pPr>
      <w:r>
        <w:t>4.3 Settlement Finality</w:t>
      </w:r>
    </w:p>
    <w:p>
      <w:pPr>
        <w:pStyle w:val="ListBullet"/>
      </w:pPr>
      <w:r>
        <w:t>Legal basis:</w:t>
      </w:r>
    </w:p>
    <w:p>
      <w:pPr>
        <w:pStyle w:val="ListBullet"/>
      </w:pPr>
      <w:r>
        <w:t>Point of finality:</w:t>
      </w:r>
    </w:p>
    <w:p>
      <w:pPr>
        <w:pStyle w:val="ListBullet"/>
      </w:pPr>
      <w:r>
        <w:t>Irrevocability:</w:t>
      </w:r>
    </w:p>
    <w:p>
      <w:pPr>
        <w:pStyle w:val="Heading3"/>
      </w:pPr>
      <w:r>
        <w:t>4.4 CSD / Settlement Infrastructure</w:t>
      </w:r>
    </w:p>
    <w:p>
      <w:pPr>
        <w:pStyle w:val="ListBullet"/>
      </w:pPr>
      <w:r>
        <w:t>CSD used:</w:t>
      </w:r>
    </w:p>
    <w:p>
      <w:pPr>
        <w:pStyle w:val="ListBullet"/>
      </w:pPr>
      <w:r>
        <w:t>Securities accounts:</w:t>
      </w:r>
    </w:p>
    <w:p>
      <w:pPr>
        <w:pStyle w:val="ListBullet"/>
      </w:pPr>
      <w:r>
        <w:t>Cash settlement: (central bank money / commercial bank money)</w:t>
      </w:r>
    </w:p>
    <w:p>
      <w:pPr>
        <w:pStyle w:val="Heading3"/>
      </w:pPr>
      <w:r>
        <w:t>4.5 CSD Linkages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Linked CSD/ICSD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of Link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Products</w:t>
            </w:r>
          </w:p>
        </w:tc>
      </w:tr>
    </w:tbl>
    <w:p>
      <w:pPr>
        <w:pStyle w:val="Heading3"/>
      </w:pPr>
      <w:r>
        <w:t>4.6 Securities Lending &amp; Borrowing</w:t>
      </w:r>
    </w:p>
    <w:p>
      <w:pPr>
        <w:pStyle w:val="ListBullet"/>
      </w:pPr>
      <w:r>
        <w:t>Facility available: Yes / No</w:t>
      </w:r>
    </w:p>
    <w:p>
      <w:pPr>
        <w:pStyle w:val="ListBullet"/>
      </w:pPr>
      <w:r>
        <w:t>Mechanism:</w:t>
      </w:r>
    </w:p>
    <w:p>
      <w:pPr>
        <w:pStyle w:val="Heading2"/>
      </w:pPr>
      <w:r>
        <w:t>5. Technology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System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Processing Capacity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STP Rate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Key Interfaces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5.1 Interface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4320"/>
          </w:tcPr>
          <w:p>
            <w:r>
              <w:t>SWIFT (FIN/ISO 15022)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ISO 20022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Proprietary API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3"/>
      </w:pPr>
      <w:r>
        <w:t>5.2 Resilience</w:t>
      </w:r>
    </w:p>
    <w:p>
      <w:pPr>
        <w:pStyle w:val="ListBullet"/>
      </w:pPr>
      <w:r>
        <w:t>DR site:</w:t>
      </w:r>
    </w:p>
    <w:p>
      <w:pPr>
        <w:pStyle w:val="ListBullet"/>
      </w:pPr>
      <w:r>
        <w:t>RTO / RPO:</w:t>
      </w:r>
    </w:p>
    <w:p>
      <w:pPr>
        <w:pStyle w:val="ListBullet"/>
      </w:pPr>
      <w:r>
        <w:t>Uptime SLA:</w:t>
      </w:r>
    </w:p>
    <w:p>
      <w:pPr>
        <w:pStyle w:val="Heading2"/>
      </w:pPr>
      <w:r>
        <w:t>6. Regulatory Framework</w:t>
      </w:r>
    </w:p>
    <w:p>
      <w:pPr>
        <w:pStyle w:val="Heading3"/>
      </w:pPr>
      <w:r>
        <w:t>6.1 Supervising Authority</w:t>
      </w:r>
    </w:p>
    <w:p>
      <w:pPr>
        <w:pStyle w:val="ListBullet"/>
      </w:pPr>
      <w:r>
        <w:t>Primary:</w:t>
      </w:r>
    </w:p>
    <w:p>
      <w:pPr>
        <w:pStyle w:val="ListBullet"/>
      </w:pPr>
      <w:r>
        <w:t>Secondary (if applicable):</w:t>
      </w:r>
    </w:p>
    <w:p>
      <w:pPr>
        <w:pStyle w:val="Heading3"/>
      </w:pPr>
      <w:r>
        <w:t>6.2 Key Regulations</w:t>
      </w:r>
    </w:p>
    <w:p>
      <w:r>
        <w:t>-</w:t>
      </w:r>
    </w:p>
    <w:p>
      <w:pPr>
        <w:pStyle w:val="Heading3"/>
      </w:pPr>
      <w:r>
        <w:t>6.3 PFMI Compliance</w:t>
      </w:r>
    </w:p>
    <w:p>
      <w:pPr>
        <w:pStyle w:val="ListBullet"/>
      </w:pPr>
      <w:r>
        <w:t>Last PFMI assessment date:</w:t>
      </w:r>
    </w:p>
    <w:p>
      <w:pPr>
        <w:pStyle w:val="ListBullet"/>
      </w:pPr>
      <w:r>
        <w:t>Key findings:</w:t>
      </w:r>
    </w:p>
    <w:p>
      <w:pPr>
        <w:pStyle w:val="Heading3"/>
      </w:pPr>
      <w:r>
        <w:t>6.4 Reporting Requirements</w:t>
      </w:r>
    </w:p>
    <w:p>
      <w:pPr>
        <w:pStyle w:val="ListBullet"/>
      </w:pPr>
      <w:r>
        <w:t>Trade reporting:</w:t>
      </w:r>
    </w:p>
    <w:p>
      <w:pPr>
        <w:pStyle w:val="ListBullet"/>
      </w:pPr>
      <w:r>
        <w:t>Position reporting:</w:t>
      </w:r>
    </w:p>
    <w:p>
      <w:pPr>
        <w:pStyle w:val="ListBullet"/>
      </w:pPr>
      <w:r>
        <w:t>Public quantitative disclosures (CPMI-IOSCO):</w:t>
      </w:r>
    </w:p>
    <w:p>
      <w:pPr>
        <w:pStyle w:val="Heading2"/>
      </w:pPr>
      <w:r>
        <w:t>7. Interoperability</w:t>
      </w:r>
    </w:p>
    <w:p>
      <w:pPr>
        <w:pStyle w:val="Heading3"/>
      </w:pPr>
      <w:r>
        <w:t>7.1 CCP Interoperability Arrangements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Partner CCP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</w:tbl>
    <w:p>
      <w:pPr>
        <w:pStyle w:val="Heading3"/>
      </w:pPr>
      <w:r>
        <w:t>7.2 Cross-border Arrangements</w:t>
      </w:r>
    </w:p>
    <w:p>
      <w:r>
        <w:t>-</w:t>
      </w:r>
    </w:p>
    <w:p>
      <w:pPr>
        <w:pStyle w:val="Heading2"/>
      </w:pPr>
      <w:r>
        <w:t>8. Fees</w:t>
      </w:r>
    </w:p>
    <w:p>
      <w:pPr>
        <w:pStyle w:val="Heading3"/>
      </w:pPr>
      <w:r>
        <w:t>8.1 Clearing Fees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Fee 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</w:tr>
    </w:tbl>
    <w:p>
      <w:pPr>
        <w:pStyle w:val="Heading3"/>
      </w:pPr>
      <w:r>
        <w:t>8.2 Membership Fees</w:t>
      </w:r>
    </w:p>
    <w:p>
      <w:r>
        <w:t>-</w:t>
      </w:r>
    </w:p>
    <w:p>
      <w:pPr>
        <w:pStyle w:val="Heading2"/>
      </w:pPr>
      <w:r>
        <w:t>9. Recent Developments</w:t>
      </w:r>
    </w:p>
    <w:p>
      <w:pPr>
        <w:pStyle w:val="Heading3"/>
      </w:pPr>
      <w:r>
        <w:t>System Upgrades (Last 5 Years)</w:t>
      </w:r>
    </w:p>
    <w:p>
      <w:r>
        <w:t>-</w:t>
      </w:r>
    </w:p>
    <w:p>
      <w:pPr>
        <w:pStyle w:val="Heading3"/>
      </w:pPr>
      <w:r>
        <w:t>New Services</w:t>
      </w:r>
    </w:p>
    <w:p>
      <w:r>
        <w:t>-</w:t>
      </w:r>
    </w:p>
    <w:p>
      <w:pPr>
        <w:pStyle w:val="Heading3"/>
      </w:pPr>
      <w:r>
        <w:t>Regulatory Changes</w:t>
      </w:r>
    </w:p>
    <w:p>
      <w:r>
        <w:t>-</w:t>
      </w:r>
    </w:p>
    <w:p>
      <w:pPr>
        <w:pStyle w:val="Heading3"/>
      </w:pPr>
      <w:r>
        <w:t>Strategic Initiatives</w:t>
      </w:r>
    </w:p>
    <w:p>
      <w:r>
        <w:t>-</w:t>
      </w:r>
    </w:p>
    <w:p>
      <w:pPr>
        <w:pStyle w:val="Heading2"/>
      </w:pPr>
      <w:r>
        <w:t>Sources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