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Review: Global Exchange Research — Cross-Domain Analysis &amp; KRX Benchmarking</w:t>
      </w:r>
    </w:p>
    <w:p>
      <w:r>
        <w:rPr>
          <w:i/>
          <w:sz w:val="18"/>
        </w:rPr>
        <w:t>**Date:** 2026-04-13</w:t>
      </w:r>
    </w:p>
    <w:p>
      <w:r>
        <w:rPr>
          <w:i/>
          <w:sz w:val="18"/>
        </w:rPr>
        <w:t>**Scope:** 23 equity exchanges, 17 derivatives exchanges, 20 clearing/settlement organizations</w:t>
      </w:r>
    </w:p>
    <w:p>
      <w:r>
        <w:rPr>
          <w:i/>
          <w:sz w:val="18"/>
        </w:rPr>
        <w:t>**Total Documents:** 90+ English research files across 3 domains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[Cross-Domain Comparative Analysis](#1-cross-domain-comparative-analysis)</w:t>
      </w:r>
    </w:p>
    <w:p>
      <w:pPr>
        <w:pStyle w:val="ListNumber"/>
      </w:pPr>
      <w:r>
        <w:t>[KRX Benchmarking](#2-krx-benchmarking)</w:t>
      </w:r>
    </w:p>
    <w:p>
      <w:pPr>
        <w:pStyle w:val="ListNumber"/>
      </w:pPr>
      <w:r>
        <w:t>[Quality Check](#3-quality-check)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Cross-Domain Comparative Analysis</w:t>
      </w:r>
    </w:p>
    <w:p>
      <w:pPr>
        <w:pStyle w:val="Heading3"/>
      </w:pPr>
      <w:r>
        <w:t>1.1 Master Comparison — Exchange Infrastructure Ecosystem</w:t>
      </w:r>
    </w:p>
    <w:p>
      <w:r>
        <w:t>The global exchange ecosystem operates as an interconnected chain: Trading (Exchange) → Clearing (CCP) → Settlement (CSD). The following table maps these relationships across all researched jurisdictions.</w:t>
      </w:r>
    </w:p>
    <w:p>
      <w:pPr>
        <w:pStyle w:val="Heading4"/>
      </w:pPr>
      <w:r>
        <w:t>North America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Exchange (Trading)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Trading System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CCP (Clearing)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Margin Method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CSD (Settlement)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Cycle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Pillar (ICE, 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NSCC (DTCC)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DTC (DTCC)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Eqlipse/INET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NSCC (DTCC)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DTC (DTCC)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CME/CBOT/NYMEX/COMEX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Globex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SPAN → SPAN 2 (HVaR)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settlement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T+0/T+1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Cboe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Titanium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OCC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STANS (Monte Carlo)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DTC (DTCC)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ICE Futures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ICE Platform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ICE Clear US/Europe/Credit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IRM 2 (FHS VaR)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T+0/T+1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TMX (TSX)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Quantum XA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CDS Canada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Collateral-based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CDS (CDSX)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Montreal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SOLA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CDCC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CDS (CDSX)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</w:tbl>
    <w:p/>
    <w:p>
      <w:pPr>
        <w:pStyle w:val="Heading4"/>
      </w:pPr>
      <w:r>
        <w:t>Europe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Exchange (Trading)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Trading System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CCP (Clearing)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Margin Method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CSD (Settlement)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Cycle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Millennium (LSEG/MillenniumIT)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LCH Ltd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PAIRS (ES-based)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Euroclear UK &amp; Ireland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Euronext (7 countries)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Optiq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Euronext Clearing (ex-LCH SA)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Euroclear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Deutsche Borse / Xetra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T7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PRISMA (FHS)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Clearstream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Eurex (derivatives)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T7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PRISMA (FHS)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Clearstream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SIX Swiss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SWXess/X-stream (Nasdaq)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SIX x-clear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Monte Carlo VaR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SIX SIS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Borsa Italiana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Optiq (Euronext)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LCH Ltd → Euronext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Monte Titoli / Euroclear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BME (Spain)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SIBE-Smart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BME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Iberclear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Nasdaq Nordic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Genium INET (Nasdaq)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PRISMA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Euroclear Finland/Sweden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</w:tbl>
    <w:p/>
    <w:p>
      <w:pPr>
        <w:pStyle w:val="Heading4"/>
      </w:pPr>
      <w:r>
        <w:t>Asia-Pacific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Exchange (Trading)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Trading System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CCP (Clearing)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Margin Method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CSD (Settlement)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Cycle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JPX / TSE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arrowhead 4.0 (Fujitsu co-dev)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JSCC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 (99%)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JASDEC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Osaka Exchange (JPX deriv)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J-GATE 3.0 (Genium INET)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JSCC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 (migrated from SPAN)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JASDEC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HKEX (equities)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OTP-C / Orion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HKSCC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Cover 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HKSCC (integrated)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HKEX (derivatives)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HKATS (Genium INET)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HKCC / SEOCH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PRiME (VaR)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HKSCC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SGX (equities)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REACH (Nasdaq)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CDP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Risk-based (99%+)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CDP (integrated)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SGX (derivatives)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Titan DT (Genium INET)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SGX-DC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IRM (SPAN-like)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SGX-DC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T+0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ASX (equities)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Trade (Genium INET)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Clear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Settlement (CHESS)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ASX (derivatives)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24 NTP (Nasdaq)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Clear (Futures)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SPAN-based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Settlement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SSE (Shanghai)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4th-gen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ChinaClear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Fixed-percentage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CSDC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SZSE (Shenzhen)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Self-developed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ChinaClear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Fixed-percentage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CSDC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NSE India (equities)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NEAT+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NSCCL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NSDL / CDSL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NSE India (F&amp;O)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NEAT+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NSE Clearing (NCL)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SPAN (100% peak)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NSDL / CDSL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BSE India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BOLT Plus (T7 licensed)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ICCL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CDSL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FAST 2nd-gen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Taiwan CCDC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TDCC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TAIFEX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6th-gen (in-house)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TAIFEX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Scenario-based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TDCC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T+0/T+1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Bursa Malaysia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BTS2/X-stream (Nasdaq)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Bursa Malaysia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Risk-based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Bursa Malaysia Depository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**KRX (equities)**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**Exture 3.0 (in-house)**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**KRX Clearing**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**KRX-SPAN (scenario-based)**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**KSD**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**T+2**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**KRX (derivatives)**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**Exture 3.0 (in-house)**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**KRX Clearing**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**KRX-SPAN (scenario-based)**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**KSD**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**T+0/T+1**</w:t>
            </w:r>
          </w:p>
        </w:tc>
      </w:tr>
    </w:tbl>
    <w:p/>
    <w:p>
      <w:pPr>
        <w:pStyle w:val="Heading4"/>
      </w:pPr>
      <w:r>
        <w:t>Middle East &amp; Africa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Exchange (Trading)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Trading System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CCP (Clearing)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Margin Method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CSD (Settlement)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Cycle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Tadawul (Saudi)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X-stream INET (Nasdaq)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Muqassa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Portfolio-based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Edaa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JSE (South Africa)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Millennium (LSEG)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JSE Clear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VaR-based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Strate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T+3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DME (Dubai)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Globex (hosted)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Clearing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SPAN / SPAN 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T+0/T+1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Common Technology Vendors Across Exchanges</w:t>
      </w:r>
    </w:p>
    <w:p>
      <w:r>
        <w:t>The global exchange technology market is dominated by a small number of platform providers:</w:t>
      </w:r>
    </w:p>
    <w:p>
      <w:pPr>
        <w:pStyle w:val="Heading4"/>
      </w:pPr>
      <w:r>
        <w:t>Nasdaq Technology (INET / Genium INET / X-stream INET)</w:t>
      </w:r>
    </w:p>
    <w:p>
      <w:r>
        <w:t>The most widely deployed exchange technology globally, powering 10+ exchanges: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Platform Variant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Domain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INET / Eqlipse (4th gen)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Genium INET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ASX, Nasdaq Nordic, SGX (REACH), Bursa Malaysia, SIX Swiss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Genium INET (derivatives)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 Derivatives (HKATS), SGX Derivatives (Titan DT), Osaka Exchange (J-GATE)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Derivatives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X-stream INET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Tadawul, Bursa Malaysia (BTS2)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Equities</w:t>
            </w:r>
          </w:p>
        </w:tc>
      </w:tr>
    </w:tbl>
    <w:p/>
    <w:p>
      <w:r>
        <w:t>Key characteristics: OUCH/ITCH/FIX protocols; modular architecture; sub-100 microsecond latency; configurable matching algorithms.</w:t>
      </w:r>
    </w:p>
    <w:p>
      <w:pPr>
        <w:pStyle w:val="Heading4"/>
      </w:pPr>
      <w:r>
        <w:t>LSEG / MillenniumIT (Millennium Exchange)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Exchanges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Domain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Equities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JSE (South Africa)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Equities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Borsa Italiana (migrated to Optiq 2023-24)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Equities (former)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40+ other exchanges globally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Various</w:t>
            </w:r>
          </w:p>
        </w:tc>
      </w:tr>
    </w:tbl>
    <w:p/>
    <w:p>
      <w:r>
        <w:t>Key characteristics: C++/Linux; ~126 microsecond latency; widely deployed in emerging markets.</w:t>
      </w:r>
    </w:p>
    <w:p>
      <w:pPr>
        <w:pStyle w:val="Heading4"/>
      </w:pPr>
      <w:r>
        <w:t>Deutsche Borse (T7 Platform)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Exchanges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Domain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Deutsche Borse / Xetra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Equities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Derivatives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BSE India (BOLT Plus, T7 licensed)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Equities</w:t>
            </w:r>
          </w:p>
        </w:tc>
      </w:tr>
    </w:tbl>
    <w:p/>
    <w:p>
      <w:r>
        <w:t>Key characteristics: ~5 microsecond median latency (fastest major platform); partition-based architecture; shared equities/derivatives platform; C/C++/Linux.</w:t>
      </w:r>
    </w:p>
    <w:p>
      <w:pPr>
        <w:pStyle w:val="Heading4"/>
      </w:pPr>
      <w:r>
        <w:t>In-House Proprietary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Notable Feature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Pillar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Unified 7 venues; 34 microsecond binary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CME Group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Globex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Google Cloud migration 2026-2028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Unified 7 countries; ~15 microsecond; Kafka persistence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HKEX (equities)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OTP-C / Orion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SDNet/3 network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SSE, SZSE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Self-developed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Technology independence policy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NSE 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NEAT+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Nanosecond upgrade planned Apr 2026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Quantum XA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TWSE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 2nd-gen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&lt;3 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SIBE-Smart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ICE Platform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Sub-millisecond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Cboe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Titanium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Sub-100 microsecond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 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Unified equities + derivatives; ~49 us est.; Phase 1 Jan 2023</w:t>
            </w:r>
          </w:p>
        </w:tc>
      </w:tr>
    </w:tbl>
    <w:p/>
    <w:p>
      <w:pPr>
        <w:pStyle w:val="Heading4"/>
      </w:pPr>
      <w:r>
        <w:t>Technology Vendor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Vendor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Equities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Derivatives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Clearing Systems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Total Footprint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**Nasdaq Tech**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7 exchanges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 exchanges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11+ exchanges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**LSEG/MillenniumIT**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2+ exchanges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40+ globally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**Deutsche Borse T7**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 exchanges (incl. BSE license)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exchange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Eurex C7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3+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**In-House**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11 exchanges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exchanges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All CCPs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Majority</w:t>
            </w:r>
          </w:p>
        </w:tc>
      </w:tr>
    </w:tbl>
    <w:p/>
    <w:p>
      <w:r>
        <w:t>Key insight: While Nasdaq technology has the broadest global deployment, the largest exchanges (NYSE, CME, Euronext, HKEX equities, Chinese exchanges) use in-house systems. The trend is toward in-house development for Tier 1 exchanges and licensed technology for Tier 2/3.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Clearing Relationship Map — Which CCP Clears for Which Exchange</w:t>
      </w:r>
    </w:p>
    <w:p>
      <w:pPr>
        <w:pStyle w:val="Heading4"/>
      </w:pPr>
      <w:r>
        <w:t>Global CCP-Exchange Relationships</w:t>
      </w:r>
    </w:p>
    <w:p>
      <w:r>
        <w:rPr>
          <w:rFonts w:ascii="Consolas" w:hAnsi="Consolas"/>
          <w:color w:val="333333"/>
          <w:sz w:val="16"/>
        </w:rPr>
        <w:t>DTCC (NSCC/DTC/FICC)</w:t>
        <w:br/>
        <w:t xml:space="preserve">  ├── NYSE</w:t>
        <w:br/>
        <w:t xml:space="preserve">  ├── NASDAQ</w:t>
        <w:br/>
        <w:t xml:space="preserve">  ├── Cboe (equities)</w:t>
        <w:br/>
        <w:t xml:space="preserve">  └── All U.S. equity venues + U.S. Treasuries</w:t>
        <w:br/>
        <w:br/>
        <w:t>CME Clearing</w:t>
        <w:br/>
        <w:t xml:space="preserve">  ├── CME / CBOT / NYMEX / COMEX</w:t>
        <w:br/>
        <w:t xml:space="preserve">  ├── DME (Dubai Mercantile Exchange)</w:t>
        <w:br/>
        <w:t xml:space="preserve">  └── Cross-margin with FICC (Treasuries)</w:t>
        <w:br/>
        <w:br/>
        <w:t>OCC (Options Clearing Corporation)</w:t>
        <w:br/>
        <w:t xml:space="preserve">  ├── All U.S. equity options exchanges (Cboe, NYSE Arca, NASDAQ, ISE, etc.)</w:t>
        <w:br/>
        <w:t xml:space="preserve">  └── Cross-margin with NSCC/FICC/DTC</w:t>
        <w:br/>
        <w:br/>
        <w:t>LCH Ltd (UK)</w:t>
        <w:br/>
        <w:t xml:space="preserve">  ├── LSE (EquityClear)</w:t>
        <w:br/>
        <w:t xml:space="preserve">  ├── Global OTC IRS (SwapClear — $779T H1 2024)</w:t>
        <w:br/>
        <w:t xml:space="preserve">  ├── RepoClear</w:t>
        <w:br/>
        <w:t xml:space="preserve">  └── Interoperability: SIX x-clear, Cboe Clear Europe</w:t>
        <w:br/>
        <w:br/>
        <w:t>Euronext Clearing (ex-LCH SA, migrated Sept 2024)</w:t>
        <w:br/>
        <w:t xml:space="preserve">  ├── Euronext (Paris, Amsterdam, Brussels, Lisbon, Dublin, Oslo, Milan)</w:t>
        <w:br/>
        <w:t xml:space="preserve">  └── Borsa Italiana (migrating)</w:t>
        <w:br/>
        <w:br/>
        <w:t>Eurex Clearing</w:t>
        <w:br/>
        <w:t xml:space="preserve">  ├── Eurex (derivatives)</w:t>
        <w:br/>
        <w:t xml:space="preserve">  ├── Xetra / Deutsche Borse (equities)</w:t>
        <w:br/>
        <w:t xml:space="preserve">  ├── Nasdaq Nordic</w:t>
        <w:br/>
        <w:t xml:space="preserve">  └── OTC IRS clearing</w:t>
        <w:br/>
        <w:br/>
        <w:t>JSCC (Japan)</w:t>
        <w:br/>
        <w:t xml:space="preserve">  ├── TSE / JPX (equities)</w:t>
        <w:br/>
        <w:t xml:space="preserve">  ├── Osaka Exchange (derivatives)</w:t>
        <w:br/>
        <w:t xml:space="preserve">  └── OTC IRS (TONA), CDS</w:t>
        <w:br/>
        <w:br/>
        <w:t>HKEX Clearing (HKSCC / HKCC / SEOCH)</w:t>
        <w:br/>
        <w:t xml:space="preserve">  ├── HKEX (equities via HKSCC)</w:t>
        <w:br/>
        <w:t xml:space="preserve">  ├── HKEX (futures via HKCC)</w:t>
        <w:br/>
        <w:t xml:space="preserve">  ├── HKEX (stock options via SEOCH)</w:t>
        <w:br/>
        <w:t xml:space="preserve">  └── Stock Connect (cross-border with ChinaClear)</w:t>
        <w:br/>
        <w:br/>
        <w:t>SGX-DC / CDP</w:t>
        <w:br/>
        <w:t xml:space="preserve">  ├── SGX (equities via CDP)</w:t>
        <w:br/>
        <w:t xml:space="preserve">  ├── SGX (derivatives via SGX-DC)</w:t>
        <w:br/>
        <w:t xml:space="preserve">  └── GIFT Connect with NSE India</w:t>
        <w:br/>
        <w:br/>
        <w:t>ICE Clear (US / Europe / Credit)</w:t>
        <w:br/>
        <w:t xml:space="preserve">  ├── ICE Futures U.S.</w:t>
        <w:br/>
        <w:t xml:space="preserve">  ├── ICE Futures Europe</w:t>
        <w:br/>
        <w:t xml:space="preserve">  └── ICE Clear Credit (CDS — $2T+ OI)</w:t>
        <w:br/>
        <w:br/>
        <w:t>ASX Clear / ASX Clear (Futures)</w:t>
        <w:br/>
        <w:t xml:space="preserve">  ├── ASX (equities)</w:t>
        <w:br/>
        <w:t xml:space="preserve">  └── ASX 24 (derivatives)</w:t>
        <w:br/>
        <w:br/>
        <w:t>ChinaClear (CSDC)</w:t>
        <w:br/>
        <w:t xml:space="preserve">  ├── SSE (Shanghai)</w:t>
        <w:br/>
        <w:t xml:space="preserve">  ├── SZSE (Shenzhen)</w:t>
        <w:br/>
        <w:t xml:space="preserve">  └── Stock Connect (cross-border with HKSCC)</w:t>
        <w:br/>
        <w:br/>
        <w:t>NSE Clearing (NCL) / ICCL</w:t>
        <w:br/>
        <w:t xml:space="preserve">  ├── NSE India (equities + F&amp;O)</w:t>
        <w:br/>
        <w:t xml:space="preserve">  └── BSE India (via ICCL)</w:t>
        <w:br/>
        <w:br/>
        <w:t>KRX Clearing (Korea)</w:t>
        <w:br/>
        <w:t xml:space="preserve">  ├── KRX (equities — KOSPI, KOSDAQ)</w:t>
        <w:br/>
        <w:t xml:space="preserve">  ├── KRX (derivatives — KOSPI 200, KTB, FX, commodity)</w:t>
        <w:br/>
        <w:t xml:space="preserve">  └── OTC IRS/CRS clearing (mandated)</w:t>
        <w:br/>
        <w:br/>
        <w:t>KSD (Korea Securities Depository)</w:t>
        <w:br/>
        <w:t xml:space="preserve">  ├── KRX (all exchange-traded equities, bonds, ETFs)</w:t>
        <w:br/>
        <w:t xml:space="preserve">  ├── Government bond settlement (BOK central bank money)</w:t>
        <w:br/>
        <w:t xml:space="preserve">  └── Cross-border links: Euroclear, Clearstream, DTC</w:t>
      </w:r>
    </w:p>
    <w:p>
      <w:pPr>
        <w:pStyle w:val="Heading4"/>
      </w:pPr>
      <w:r>
        <w:t>Cross-Border Clearing Arrangements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Arrangement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Stock 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Cross-border equity access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HKSCC ↔ ChinaClear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(2014-)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GIFT 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Cross-border derivatives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SGX-DC ↔ NSE India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(2023-)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Swap 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Cross-border IRS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OTC Clear (HK) ↔ CFETS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Northbound operational (2023-)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CME-FICC Cross-Margin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Cross-CCP margin offset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Clearing ↔ FICC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(2024-)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CCP Interoperability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Multi-CCP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LCH Ltd ↔ SIX x-clear ↔ Cboe Clear Europe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CME-OCC Cross-Margin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Portfolio margin offset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Clearing ↔ OCC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JSCC-CFTC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Regulatory recognition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JSCC ↔ U.S. persons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JPY-IRS client clearing (2025-)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1.4 Global Settlement Cycle Transition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 Cycle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Jurisdictions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Date Achieved/Target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**T+1 (achieved)**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USA, Canada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May 2024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**T+1 (achieved)**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January 2023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**T+1 (achieved)**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China (equities)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Ongoing (same-day sell restriction)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**T+1 (achieved)**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Australia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Late 2024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**T+2 (T+1 target)**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(28 countries)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Target: October 2027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**T+2 (T+1 target)**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Target: ~2027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**T+2 (under review)**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Japan, Hong Kong, Singapore, Taiwan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Under discussion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**T+2 (active review)**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Korea (KRX/KSD)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Under active review; KSD split-settlement reform underway (KRW 1B units from Apr 2026)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**T+3 (outlier)**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South Africa (JSE)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 announced timeline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1.5 Margin Methodology Convergence</w:t>
      </w:r>
    </w:p>
    <w:p>
      <w:r>
        <w:t>The global clearing industry is transitioning from scenario-based (SPAN) to VaR-based methodologies: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Generation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Methodology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CCPs Using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Feature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**1st Gen**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Fixed-percentage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CFFEX, DCE, SHFE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Regulatory discretion; used as policy tool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**2nd Gen**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 (scenario-based)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CDCC, ASX Clear (Futures), NSE Clearing, SGX-DC (IRM)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 standardized scenarios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**3rd Gen**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Historical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JSCC, HKSCC, ICE Clear (IRM 2), CME (SPAN 2)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Filtered historical simulation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**3rd Gen**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PRISMA (FHS + 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750 filtered + 250 stress scenarios; portfolio-based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**3rd Gen**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PAIRS (ES-based)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Expected Shortfall 99.7%; 5-day holding period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**3rd Gen**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STANS (Monte Carlo)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10,000+ scenarios; 99% 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**2nd Gen**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KRX-SPAN (scenario-based)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Modified SPAN; evaluating VaR transition (following JSCC 2023 precedent)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**Transitional**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 → SPAN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HVaR + ES; phased rollout 2023-2025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KRX Benchmarking</w:t>
      </w:r>
    </w:p>
    <w:p>
      <w:pPr>
        <w:pStyle w:val="Heading3"/>
      </w:pPr>
      <w:r>
        <w:t>2.1 KRX Profile Summary</w:t>
      </w:r>
    </w:p>
    <w:p>
      <w:r>
        <w:t>Korea Exchange (KRX) operates as an integrated exchange covering equities (KOSPI/KOSDAQ/KONEX), derivatives, and bonds. Key infrastructure:</w:t>
      </w:r>
    </w:p>
    <w:p>
      <w:pPr>
        <w:pStyle w:val="ListBullet"/>
      </w:pPr>
      <w:r>
        <w:t>Equities Trading System: Exture 3.0 (Phase 1: Jan 2023, Phase 2: Oct 2023; in-house developed)</w:t>
      </w:r>
    </w:p>
    <w:p>
      <w:pPr>
        <w:pStyle w:val="ListBullet"/>
      </w:pPr>
      <w:r>
        <w:t>Derivatives Trading System: Exture 3.0 (unified platform)</w:t>
      </w:r>
    </w:p>
    <w:p>
      <w:pPr>
        <w:pStyle w:val="ListBullet"/>
      </w:pPr>
      <w:r>
        <w:t>CCP: KRX acts as CCP for all exchange-traded products</w:t>
      </w:r>
    </w:p>
    <w:p>
      <w:pPr>
        <w:pStyle w:val="ListBullet"/>
      </w:pPr>
      <w:r>
        <w:t>CSD: Korea Securities Depository (KSD)</w:t>
      </w:r>
    </w:p>
    <w:p>
      <w:pPr>
        <w:pStyle w:val="ListBullet"/>
      </w:pPr>
      <w:r>
        <w:t>Regulators: Financial Services Commission (FSC), Financial Supervisory Service (FSS), Bank of Korea (BOK — systemic oversight)</w:t>
      </w:r>
    </w:p>
    <w:p>
      <w:pPr>
        <w:pStyle w:val="ListBullet"/>
      </w:pPr>
      <w:r>
        <w:t>Settlement Cycle: T+2 (equities), T+1 (government bonds), T+0/T+1 (derivatives margin)</w:t>
      </w:r>
    </w:p>
    <w:p>
      <w:pPr>
        <w:pStyle w:val="ListBullet"/>
      </w:pPr>
      <w:r>
        <w:t>Market Cap: ~KRW 4,277 trillion (~USD 2.95 trillion, January 2026)</w:t>
      </w:r>
    </w:p>
    <w:p>
      <w:pPr>
        <w:pStyle w:val="ListBullet"/>
      </w:pPr>
      <w:r>
        <w:t>Listed Companies: ~2,901 (KOSPI ~954, KOSDAQ ~1,700+, KONEX ~129)</w:t>
      </w:r>
    </w:p>
    <w:p>
      <w:pPr>
        <w:pStyle w:val="ListBullet"/>
      </w:pPr>
      <w:r>
        <w:t>Daily Trading Value: ~KRW 32.23 trillion (~USD 20.7 billion, February 2026 average)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KRX Equities Market vs Global Peers</w:t>
      </w:r>
    </w:p>
    <w:p>
      <w:pPr>
        <w:pStyle w:val="Heading4"/>
      </w:pPr>
      <w:r>
        <w:t>Trading System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KRX (Exture+)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NYSE (Pillar)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NASDAQ (Eqlipse)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Deutsche Borse (T7)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JPX (arrowhead 4.0)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**Latency**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≤70 us worst-case (EXTURE+); ~49 us est. (Exture 3.0, 30% improvement)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~34 microseconds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~14 microseconds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~5 microseconds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Microsecond-level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**Architecture**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In-house (Linux x86, memory-based order book)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In-house (ICE)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In-house (4th gen)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In-house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Co-dev (Fujitsu)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**Launch**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Jan 2023 (Exture 3.0 Phase 1)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2016-2023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2012/2017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Nov 2024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**Unified**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Equities + Derivatives + Clearing/Settlement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7 NYSE venues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Multiple markets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Equities +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Equities only</w:t>
            </w:r>
          </w:p>
        </w:tc>
      </w:tr>
    </w:tbl>
    <w:p/>
    <w:p>
      <w:r>
        <w:t>Assessment:</w:t>
      </w:r>
    </w:p>
    <w:p>
      <w:pPr>
        <w:pStyle w:val="ListBullet"/>
      </w:pPr>
      <w:r>
        <w:t>Competitive: Exture 3.0 latency (~49 us estimated worst-case) is competitive with most exchanges but behind the leaders (T7 at ~5 us, NASDAQ at ~14 us)</w:t>
      </w:r>
    </w:p>
    <w:p>
      <w:pPr>
        <w:pStyle w:val="ListBullet"/>
      </w:pPr>
      <w:r>
        <w:t>Strength: Exture 3.0 is a recently upgraded system (Jan/Oct 2023), with unified platform extending low-latency scope to clearing/settlement — broader coverage than most peers</w:t>
      </w:r>
    </w:p>
    <w:p>
      <w:pPr>
        <w:pStyle w:val="ListBullet"/>
      </w:pPr>
      <w:r>
        <w:t>Strength: Unified platform for equities, derivatives, and clearing/settlement — more efficient than separate systems (like JPX with arrowhead + J-GATE + JSCC)</w:t>
      </w:r>
    </w:p>
    <w:p>
      <w:pPr>
        <w:pStyle w:val="ListBullet"/>
      </w:pPr>
      <w:r>
        <w:t>Gap: Official Exture 3.0 latency/throughput not publicly disclosed — the ~49 us figure is an estimate based on KRX's stated 30% improvement over EXTURE+ (≤70 us)</w:t>
      </w:r>
    </w:p>
    <w:p>
      <w:pPr>
        <w:pStyle w:val="Heading4"/>
      </w:pPr>
      <w:r>
        <w:t>Market Structure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KRX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NYSE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NASDAQ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LSE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JPX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HKEX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**Market cap**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~$2.95T (KRW 4,277T, Jan 2026)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$28.0T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$42.2T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$5.9T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$8.1T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$6.2T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**Opening auction**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 (call auction)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 (cross)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**Closing auction**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 (D-Limit)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 (cross)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 (since Nov 2024)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**Lunch break**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 (removed 2000)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 (11:30-12:30)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Yes (12:00-13:00)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**Price limits**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±30% (IPO +300%/-60%)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LULD (5-20%)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LULD (5-20%)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None (dynamic CB)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±30% (1st day none)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**DMM/Market makers**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LP program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Designated MMs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Registered MMs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Voluntary MMs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Voluntary MMs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Voluntary MMs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**Dark trading**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Minimal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~15% of volume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~15% of volume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Minimal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Minimal</w:t>
            </w:r>
          </w:p>
        </w:tc>
      </w:tr>
    </w:tbl>
    <w:p/>
    <w:p>
      <w:r>
        <w:t>Assessment:</w:t>
      </w:r>
    </w:p>
    <w:p>
      <w:pPr>
        <w:pStyle w:val="ListBullet"/>
      </w:pPr>
      <w:r>
        <w:t>KRX leads: Removal of lunch break (since 2000) — ahead of all Asian peers. Price limit system (+/-30%) well-calibrated</w:t>
      </w:r>
    </w:p>
    <w:p>
      <w:pPr>
        <w:pStyle w:val="ListBullet"/>
      </w:pPr>
      <w:r>
        <w:t>KRX lags: Limited dark pool/alternative venue ecosystem; extended hours limited to 16:00-18:00 off-hours (NYSE planning 22-hour trading); Nextrade (NXT) ATS approval pending</w:t>
      </w:r>
    </w:p>
    <w:p>
      <w:pPr>
        <w:pStyle w:val="Heading4"/>
      </w:pPr>
      <w:r>
        <w:t>Settlement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KRX/KSD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DTCC (US)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LCH/Euroclear (EU)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JSCC/JASDEC (JP)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HKSCC (HK)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**Cycle**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**DVP Model**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DVP Model 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DVP Model 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DVP Model 1 (T2S)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DVP Model 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DVP Model 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**Central bank money**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BOK (KRW)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Fed (Fedwire)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ECB (T2S for EUR)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BOJ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HKMA (RTGS)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**T+1 plans**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Under review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Achieved (May 2024)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Target Oct 2027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Under discussion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Readiness by 2025</w:t>
            </w:r>
          </w:p>
        </w:tc>
      </w:tr>
    </w:tbl>
    <w:p/>
    <w:p>
      <w:r>
        <w:t>Assessment:</w:t>
      </w:r>
    </w:p>
    <w:p>
      <w:pPr>
        <w:pStyle w:val="ListBullet"/>
      </w:pPr>
      <w:r>
        <w:t>Gap: T+2 settlement when US/Canada/India/Australia have moved to T+1. T+1 migration should be a priority</w:t>
      </w:r>
    </w:p>
    <w:p>
      <w:pPr>
        <w:pStyle w:val="ListBullet"/>
      </w:pPr>
      <w:r>
        <w:t>Strength: DVP Model 1 with BOK settlement provides robust settlement finality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KRX Derivatives Market vs Global Peers</w:t>
      </w:r>
    </w:p>
    <w:p>
      <w:pPr>
        <w:pStyle w:val="Heading4"/>
      </w:pPr>
      <w:r>
        <w:t>Volume and Product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2024 Volume (contracts)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 Breadth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Products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NSE India (F&amp;O)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~92-108B [estimated]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Equity index, single stock, FX, commodity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Nifty 50, Bank Nifty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CME Group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~6.2B (28.1M ADV)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Multi-asset (6+ classes)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E-mini S&amp;P, Treasuries, WTI, Gold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~2.1B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Multi-asset (8+ classes)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Euro-Bund, EURO STOXX 50, DAX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KRX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~1.5B (2024; 8th globally by value)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Equity index (KOSPI 200, Mini, Weekly, KOSDAQ 150, Sector), single stock (~274 futures, ~64 options), FX (USD/JPY/EUR/CNY), commodity (gold, lean hog), interest rate (3Y/10Y/30Y KTB), volatility (V-KOSPI 200)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 200 options/futures, Mini KOSPI 200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Cboe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~4.5B (18.4M ADV options)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Equity/index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SPX, VIX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HKEX Deriv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~334M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Equity index, FX, commodity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HSI, H-shares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SGX Deriv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~329M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Asian equity index, FX, commodity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FTSE China A50, Nikkei 225</w:t>
            </w:r>
          </w:p>
        </w:tc>
      </w:tr>
    </w:tbl>
    <w:p/>
    <w:p>
      <w:r>
        <w:t>Assessment:</w:t>
      </w:r>
    </w:p>
    <w:p>
      <w:pPr>
        <w:pStyle w:val="ListBullet"/>
      </w:pPr>
      <w:r>
        <w:t>KRX leads: Historically the world's most active single-product derivatives exchange (KOSPI 200 options; peak 3.93B contracts in 2011). After 2012 multiplier increase (KRW 100K → 500K), volume normalized to ~1.5B (2024). KRX ranked 8th globally by derivatives trading value</w:t>
      </w:r>
    </w:p>
    <w:p>
      <w:pPr>
        <w:pStyle w:val="ListBullet"/>
      </w:pPr>
      <w:r>
        <w:t>KRX lags: Product breadth improving but still concentrated on KOSPI 200. CME and Eurex offer vastly broader product catalogs. Commodity coverage minimal (gold, lean hog only). V-KOSPI 200 futures exist but with limited liquidity</w:t>
      </w:r>
    </w:p>
    <w:p>
      <w:pPr>
        <w:pStyle w:val="ListBullet"/>
      </w:pPr>
      <w:r>
        <w:t>Opportunity: Night session expansion (10 products from June 2025); commodity derivatives development; environmental/ESG derivatives; Weekly options expansion</w:t>
      </w:r>
    </w:p>
    <w:p>
      <w:pPr>
        <w:pStyle w:val="Heading4"/>
      </w:pPr>
      <w:r>
        <w:t>Margin Methodology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KRX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CME (SPAN 2)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Eurex (PRISMA)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OCC (STANS)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LCH (PAIRS)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**Methodology**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KRX-SPAN (modified SPAN, scenario-based)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Historical VaR + 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Filtered Historical Sim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Monte Carlo VaR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Expected Shortfall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**Confidence**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99%/99.5%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99%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99.7%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**Holding period**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1-2 days (ETD)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 days (ETD)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 days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days (SwapClear)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**Cross-margining**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Spread margins (calendar/inter-commodity); OTC IRS/CRS clearing (mandated)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Comprehensive (futures-IRS, CME-OCC)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Comprehensive (ETD-OTC, cross-asset)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Portfolio margining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Cross-service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**Anti-procyclicality**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Not publicly disclosed; evaluating VaR transition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Stress VaR floors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Stress buffers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Margin floors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Volatility buffers</w:t>
            </w:r>
          </w:p>
        </w:tc>
      </w:tr>
    </w:tbl>
    <w:p/>
    <w:p>
      <w:r>
        <w:t>Assessment:</w:t>
      </w:r>
    </w:p>
    <w:p>
      <w:pPr>
        <w:pStyle w:val="ListBullet"/>
      </w:pPr>
      <w:r>
        <w:t>Update: KRX uses KRX-SPAN (modified SPAN, scenario-based) — 2nd generation methodology. KRX is evaluating transition to VaR-based approach following JSCC's 2023 precedent</w:t>
      </w:r>
    </w:p>
    <w:p>
      <w:pPr>
        <w:pStyle w:val="ListBullet"/>
      </w:pPr>
      <w:r>
        <w:t>Gap: Cross-margining limited to spread margins and mandated OTC IRS/CRS clearing. No cross-CCP arrangements or comprehensive ETD-OTC portfolio margining like CME or Eurex</w:t>
      </w:r>
    </w:p>
    <w:p>
      <w:pPr>
        <w:pStyle w:val="ListBullet"/>
      </w:pPr>
      <w:r>
        <w:t>Gap: Margin methodology confidence level and holding period not publicly disclosed — transparency improvement recommended</w:t>
      </w:r>
    </w:p>
    <w:p>
      <w:pPr>
        <w:pStyle w:val="ListBullet"/>
      </w:pPr>
      <w:r>
        <w:t>Opportunity: VaR transition would bring KRX in line with global 3rd-gen standards; develop comprehensive cross-margining between equities, derivatives, and bonds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KRX/KSD Clearing &amp; Settlement vs Global Peers</w:t>
      </w:r>
    </w:p>
    <w:p>
      <w:pPr>
        <w:pStyle w:val="Heading4"/>
      </w:pPr>
      <w:r>
        <w:t>CCP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KRX (CCP)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DTCC/NSCC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CME Clearing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LCH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Eurex Clearing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**Model**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Integrated exchange-CCP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Standalone CCP (utility)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Exchange-CCP (CME Group)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Multi-exchange CCP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Exchange-CCP (DBAG)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**Products cleared**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Equities, derivatives, bonds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Equities, Treasuries, MBS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Futures, options, OTC IRS/FX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OTC IRS, repos, equities, FX,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ETD, equities, OTC IRS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**Default waterfall**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Sequential: (1) Defaulter margin → (2) Defaulter clearing deposit → (3) Joint Compensation Fund (~KRW 100B est.) → (4) KRX own capital (SITG) → (5) Non-defaulting members' additional contributions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Sequential with assessment powers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Sequential with guaranty fund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Sequential with reserve fund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Sequential with reserve fund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**SITG (Skin-in-the-Game)**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Present (Layer 4, before non-defaulting members); amount not publicly disclosed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Material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Material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Material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Material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**Cover standard**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Not explicitly disclosed; PFMI largely observant (IMF FSAP)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Cover 1-2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Cover 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Cover 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Cover 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**PFMI compliance**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Largely observant (FSAP assessed)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**Recovery tools**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Assessment powers on surviving members; asset liquidation; netting. No dedicated CCP R&amp;R regime (as of 2026)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Assessment, VMGH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Assessment, tear-up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VMGH, tear-up, forced allocation, auction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VMGH, cash calls, position allocation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**Resolution authority**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FSC/FSS (no dedicated CCP R&amp;R regime; gap noted)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FDIC (Title II)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FDIC (Title II)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Bank of England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SRB + BaFin</w:t>
            </w:r>
          </w:p>
        </w:tc>
      </w:tr>
    </w:tbl>
    <w:p/>
    <w:p>
      <w:r>
        <w:t>Assessment:</w:t>
      </w:r>
    </w:p>
    <w:p>
      <w:pPr>
        <w:pStyle w:val="ListBullet"/>
      </w:pPr>
      <w:r>
        <w:t>Strength: Integrated exchange-CCP model (like CME, Eurex) provides operational efficiency and risk visibility</w:t>
      </w:r>
    </w:p>
    <w:p>
      <w:pPr>
        <w:pStyle w:val="ListBullet"/>
      </w:pPr>
      <w:r>
        <w:t>Strength: PFMI largely observant (IMF FSAP); SITG positioned correctly before non-defaulting members</w:t>
      </w:r>
    </w:p>
    <w:p>
      <w:pPr>
        <w:pStyle w:val="ListBullet"/>
      </w:pPr>
      <w:r>
        <w:t>Strength: Joint Compensation Fund uses fixed + variable model for dynamic adequacy</w:t>
      </w:r>
    </w:p>
    <w:p>
      <w:pPr>
        <w:pStyle w:val="ListBullet"/>
      </w:pPr>
      <w:r>
        <w:t>Gap: No dedicated CCP recovery and resolution regime (similar gap in Japan, Hong Kong, Singapore) — contrast with EU CCP RRR (2021/23) and US Dodd-Frank Title II</w:t>
      </w:r>
    </w:p>
    <w:p>
      <w:pPr>
        <w:pStyle w:val="ListBullet"/>
      </w:pPr>
      <w:r>
        <w:t>Gap: Default waterfall layer sizes and SITG amount not publicly disclosed — global best practice (CPMI-IOSCO PQD) calls for detailed disclosure</w:t>
      </w:r>
    </w:p>
    <w:p>
      <w:pPr>
        <w:pStyle w:val="ListBullet"/>
      </w:pPr>
      <w:r>
        <w:t>Gap: No CCP interoperability arrangements — contrast with European model (LCH ↔ SIX x-clear ↔ Cboe Clear Europe)</w:t>
      </w:r>
    </w:p>
    <w:p>
      <w:pPr>
        <w:pStyle w:val="ListBullet"/>
      </w:pPr>
      <w:r>
        <w:t>Gap: Recovery tools limited to assessment powers and asset liquidation — no VMGH or forced allocation tools documented</w:t>
      </w:r>
    </w:p>
    <w:p>
      <w:pPr>
        <w:pStyle w:val="Heading4"/>
      </w:pPr>
      <w:r>
        <w:t>CSD Comparison (KSD vs Peers)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KSD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DTC (DTCC)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Euroclear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JASDEC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CSDC (China)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**Type**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National CSD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National CSD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ICSD + National CSDs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National CSD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National CSD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**Assets under custody**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KRW 3,149T (~$2.4T, 2014; likely significantly higher by 2026)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$100T+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 42.5T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~$5T [estimated]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RMB 11.05 quadrillion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**ISO 20022**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Adopted (CSD connections, transfer agents, global fund platforms)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Target Q3 2027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Adopted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Progressing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Proprietary protocols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**DLT initiatives**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Security Token Framework (mandatory KSD registration; law effective Jan 2027)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Project Ion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**T2S equivalent**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 (single market)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T2S (EUR settlement)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N/A</w:t>
            </w:r>
          </w:p>
        </w:tc>
      </w:tr>
    </w:tbl>
    <w:p/>
    <w:p>
      <w:r>
        <w:t>Assessment:</w:t>
      </w:r>
    </w:p>
    <w:p>
      <w:pPr>
        <w:pStyle w:val="ListBullet"/>
      </w:pPr>
      <w:r>
        <w:t>Strength: KSD has already adopted ISO 20022 — ahead of DTC (target Q3 2027) and JASDEC (in progress)</w:t>
      </w:r>
    </w:p>
    <w:p>
      <w:pPr>
        <w:pStyle w:val="ListBullet"/>
      </w:pPr>
      <w:r>
        <w:t>Strength: Security Token Framework legislation passed; KSD positioned as mandatory central registry for ALL security tokens (effective Jan 2027) — proactive approach</w:t>
      </w:r>
    </w:p>
    <w:p>
      <w:pPr>
        <w:pStyle w:val="ListBullet"/>
      </w:pPr>
      <w:r>
        <w:t>Strength: Split settlement reform (KRW 1B units from Apr 2026) reduces member deposit requirements</w:t>
      </w:r>
    </w:p>
    <w:p>
      <w:pPr>
        <w:pStyle w:val="ListBullet"/>
      </w:pPr>
      <w:r>
        <w:t>On par: KSD functions well as a national CSD with BOK central bank money settlement for government bonds</w:t>
      </w:r>
    </w:p>
    <w:p>
      <w:pPr>
        <w:pStyle w:val="ListBullet"/>
      </w:pPr>
      <w:r>
        <w:t>Gap: AUC figure outdated (KRW 3,149T from 2014); current figures should be published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KRX Strengths and Gaps Summary</w:t>
      </w:r>
    </w:p>
    <w:p>
      <w:pPr>
        <w:pStyle w:val="Heading4"/>
      </w:pPr>
      <w:r>
        <w:t>Areas Where KRX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Area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**No lunch break**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Removed in 2000 — ahead of JPX, HKEX, SGX, SSE/SZSE which all still have lunch breaks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**Integrated exchange**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Single exchange for equities + derivatives + bonds (like Deutsche Borse Group model) — operationally efficient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**Derivatives heritage**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Historically world's most active single-product derivatives exchange (KOSPI 200 options; peak 3.93B contracts, 2011); ranked 8th globally by value (2024)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**PFMI compliance**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Largely observant, confirmed by IMF FSAP assessment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**Unified Exture 3.0**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Recently upgraded (2023) unified platform extending low-latency scope to clearing/settlement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**Technology independence**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developed system — not dependent on foreign vendors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**ISO 20022**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 adopted ISO 20022 — ahead of DTC and JASDEC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**Security Token**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 designated as mandatory central registry for all security tokens (law effective Jan 2027)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**OTC clearing**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Mandated central clearing for KRW IRS and CRS through 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**LP/MM programs**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Comprehensive LP and Market Maker programs for equities, ETFs, ETNs, ELWs, and derivatives</w:t>
            </w:r>
          </w:p>
        </w:tc>
      </w:tr>
    </w:tbl>
    <w:p/>
    <w:p>
      <w:pPr>
        <w:pStyle w:val="Heading4"/>
      </w:pPr>
      <w:r>
        <w:t>Areas Where KRX Lags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Area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Gap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Global Leaders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**Trading system transparency**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Official Exture 3.0 latency/throughput not publicly disclosed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T7, NASDAQ, Optiq (public specs)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**Settlement cycle**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 when US/Canada/India/Australia at T+1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DTCC (T+1, May 2024), India (T+1, Jan 2023)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**Margin methodology**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KRX-SPAN (2nd gen) while peers moving to VaR/ES (3rd gen)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Medium-High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(SPAN 2), Eurex (PRISMA), OCC (STANS)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**Product breadth (derivatives)**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Improving but concentrated on KOSPI 200; minimal commodity coverage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(6+ asset classes), Eurex (8+ product categories)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**CCP R&amp;R regime**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 dedicated CCP recovery and resolution regime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Medium-High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 CCP RRR (2021/23), US Dodd-Frank Title II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**Default waterfall transparency**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Waterfall layer sizes and SITG amount not publicly disclosed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DTCC, CME, LCH, Eurex (detailed PQD reports)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**Cross-margining**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Limited to spread margins and mandated OTC IRS/CRS; no cross-CCP arrangements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CME-FICC, Eurex PRISMA (comprehensive ETD/OTC)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**CCP recovery tools**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 VMGH or forced allocation documented; only assessment powers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LCH (VMGH, tear-up, auction), Eurex (VMGH, cash calls)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**Dark pool/alternative venues**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Minimal; Nextrade (NXT) ATS approval pending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 (15%+ dark), EU (10%+ dark/SI)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**Extended trading hours**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Off-hours 16:00-18:00 only; night session for derivatives from June 2025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Low-Medium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NYSE (22-hour planned), CME Globex (~23 hours)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**Cloud migration**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 announced plans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(Google Cloud 2026-28), LCH (AWS), Eurex (Google Cloud)</w:t>
            </w:r>
          </w:p>
        </w:tc>
      </w:tr>
    </w:tbl>
    <w:p/>
    <w:p>
      <w:pPr>
        <w:pStyle w:val="Heading4"/>
      </w:pPr>
      <w:r>
        <w:t>Recommended Priority Actions for KRX</w:t>
      </w:r>
    </w:p>
    <w:p>
      <w:pPr>
        <w:pStyle w:val="ListNumber"/>
      </w:pPr>
      <w:r>
        <w:t>High Priority — T+1 Settlement Migration</w:t>
      </w:r>
    </w:p>
    <w:p>
      <w:pPr>
        <w:pStyle w:val="ListBullet"/>
      </w:pPr>
      <w:r>
        <w:t>US/Canada completed May 2024; EU targeting Oct 2027</w:t>
      </w:r>
    </w:p>
    <w:p>
      <w:pPr>
        <w:pStyle w:val="ListBullet"/>
      </w:pPr>
      <w:r>
        <w:t>Korea risks falling behind if not aligned with regional peers (HKEX readiness by 2025)</w:t>
      </w:r>
    </w:p>
    <w:p>
      <w:pPr>
        <w:pStyle w:val="ListBullet"/>
      </w:pPr>
      <w:r>
        <w:t>Requires coordination with KSD, BOK, and market participants</w:t>
      </w:r>
    </w:p>
    <w:p>
      <w:pPr>
        <w:pStyle w:val="ListNumber"/>
      </w:pPr>
      <w:r>
        <w:t>High Priority — CCP Recovery and Resolution Framework</w:t>
      </w:r>
    </w:p>
    <w:p>
      <w:pPr>
        <w:pStyle w:val="ListBullet"/>
      </w:pPr>
      <w:r>
        <w:t>No dedicated CCP R&amp;R regime — gap shared with Japan, Hong Kong, Singapore</w:t>
      </w:r>
    </w:p>
    <w:p>
      <w:pPr>
        <w:pStyle w:val="ListBullet"/>
      </w:pPr>
      <w:r>
        <w:t>EU CCP RRR (Regulation 2021/23) provides a model framework</w:t>
      </w:r>
    </w:p>
    <w:p>
      <w:pPr>
        <w:pStyle w:val="ListBullet"/>
      </w:pPr>
      <w:r>
        <w:t>Should include: VMGH, forced allocation, tear-up, and partial property transfer tools</w:t>
      </w:r>
    </w:p>
    <w:p>
      <w:pPr>
        <w:pStyle w:val="ListBullet"/>
      </w:pPr>
      <w:r>
        <w:t>SITG amount and waterfall details should be publicly disclosed per CPMI-IOSCO PQD best practice</w:t>
      </w:r>
    </w:p>
    <w:p>
      <w:pPr>
        <w:pStyle w:val="ListNumber"/>
      </w:pPr>
      <w:r>
        <w:t>Medium Priority — Derivatives Product Diversification</w:t>
      </w:r>
    </w:p>
    <w:p>
      <w:pPr>
        <w:pStyle w:val="ListBullet"/>
      </w:pPr>
      <w:r>
        <w:t>Expand commodity derivatives, interest rate products, volatility products</w:t>
      </w:r>
    </w:p>
    <w:p>
      <w:pPr>
        <w:pStyle w:val="ListBullet"/>
      </w:pPr>
      <w:r>
        <w:t>Consider micro/mini contracts for retail participation</w:t>
      </w:r>
    </w:p>
    <w:p>
      <w:pPr>
        <w:pStyle w:val="ListBullet"/>
      </w:pPr>
      <w:r>
        <w:t>Environmental/ESG derivatives (growing global trend)</w:t>
      </w:r>
    </w:p>
    <w:p>
      <w:pPr>
        <w:pStyle w:val="ListNumber"/>
      </w:pPr>
      <w:r>
        <w:t>Medium-High Priority — Margin Methodology Modernization</w:t>
      </w:r>
    </w:p>
    <w:p>
      <w:pPr>
        <w:pStyle w:val="ListBullet"/>
      </w:pPr>
      <w:r>
        <w:t>KRX-SPAN is 2nd-generation; global peers transitioning to VaR/ES (3rd gen)</w:t>
      </w:r>
    </w:p>
    <w:p>
      <w:pPr>
        <w:pStyle w:val="ListBullet"/>
      </w:pPr>
      <w:r>
        <w:t>JSCC completed SPAN → VaR transition in 2023 — a model for KRX</w:t>
      </w:r>
    </w:p>
    <w:p>
      <w:pPr>
        <w:pStyle w:val="ListBullet"/>
      </w:pPr>
      <w:r>
        <w:t>Develop comprehensive cross-margining between equities, derivatives, and bonds (beyond current spread margins)</w:t>
      </w:r>
    </w:p>
    <w:p>
      <w:pPr>
        <w:pStyle w:val="ListNumber"/>
      </w:pPr>
      <w:r>
        <w:t>Medium Priority — Transparency &amp; Disclosure</w:t>
      </w:r>
    </w:p>
    <w:p>
      <w:pPr>
        <w:pStyle w:val="ListBullet"/>
      </w:pPr>
      <w:r>
        <w:t>Publish CPMI-IOSCO PQD reports with detailed default waterfall data</w:t>
      </w:r>
    </w:p>
    <w:p>
      <w:pPr>
        <w:pStyle w:val="ListBullet"/>
      </w:pPr>
      <w:r>
        <w:t>Enhance CCP recovery and resolution planning documentation</w:t>
      </w:r>
    </w:p>
    <w:p>
      <w:pPr>
        <w:pStyle w:val="ListBullet"/>
      </w:pPr>
      <w:r>
        <w:t>Align with global best practices on margin methodology transparency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Quality Check</w:t>
      </w:r>
    </w:p>
    <w:p>
      <w:pPr>
        <w:pStyle w:val="Heading3"/>
      </w:pPr>
      <w:r>
        <w:t>3.1 Document Completeness</w:t>
      </w:r>
    </w:p>
    <w:p>
      <w:pPr>
        <w:pStyle w:val="Heading4"/>
      </w:pPr>
      <w:r>
        <w:t>Equities Domain (01_equities)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Delivered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Exchange profiles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 (including KRX)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System deep-dives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 (Pillar, INET, Millennium, arrowhead, Orion, Titan, Optiq, T7, Exture 3.0)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Regulatory analyses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 (US, EU, Asia)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Overview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Comparative analysis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**Total English files**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**37**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**37**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**Complete**</w:t>
            </w:r>
          </w:p>
        </w:tc>
      </w:tr>
    </w:tbl>
    <w:p/>
    <w:p>
      <w:pPr>
        <w:pStyle w:val="Heading4"/>
      </w:pPr>
      <w:r>
        <w:t>Derivatives Domain (02_derivatives)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Delivered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Exchange profiles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 (including KRX Derivatives)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System deep-dives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 (Globex, Genium INET, T7 Derivatives)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Regulatory analyses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 (US, EU, Asia)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Overview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Comparative analysis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**Total English files**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**25**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**25**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**Complete**</w:t>
            </w:r>
          </w:p>
        </w:tc>
      </w:tr>
    </w:tbl>
    <w:p/>
    <w:p>
      <w:pPr>
        <w:pStyle w:val="Heading4"/>
      </w:pPr>
      <w:r>
        <w:t>Clearing Domain (03_clearing)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Delivered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Organization profiles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 (add KRX Clearing + KSD)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System deep-dives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 (DTCC Systems, LCH Systems, Eurex PRISMA)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Regulatory analyses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 (US, EU, Asia)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Overview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Comparative analysis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**Total English files**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**28**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**28**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**Complete**</w:t>
            </w:r>
          </w:p>
        </w:tc>
      </w:tr>
    </w:tbl>
    <w:p/>
    <w:p>
      <w:pPr>
        <w:pStyle w:val="Heading4"/>
      </w:pPr>
      <w:r>
        <w:t>Overall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English research files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Korean translations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90 (mirrored)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English DOCX exports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Korean DOCX exports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**Grand Total**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**360+ files**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[Unverified] Items Summary</w:t>
      </w:r>
    </w:p>
    <w:p>
      <w:r>
        <w:t>Total [unverified] tags across all domains: ~215 instances in 50 files</w:t>
      </w:r>
    </w:p>
    <w:p>
      <w:pPr>
        <w:pStyle w:val="Heading4"/>
      </w:pPr>
      <w:r>
        <w:t>Distribution by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[unverified]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[estimated]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TBD/TODO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Equities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~61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~24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Derivatives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~57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~97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**Total**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**~215**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**~28**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**5**</w:t>
            </w:r>
          </w:p>
        </w:tc>
      </w:tr>
    </w:tbl>
    <w:p/>
    <w:p>
      <w:pPr>
        <w:pStyle w:val="Heading4"/>
      </w:pPr>
      <w:r>
        <w:t>Top Files by [unverified] Count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Primary Areas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`02_derivatives/en/exchanges/sgx_derivatives.md`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specs, tick sizes, settlement methods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`01_equities/en/systems/arrowhead.md`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Hardware specs, programming languages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`03_clearing/en/organizations/jscc.md`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Margin methodology details, MPOR values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`03_clearing/en/regulations/eu_clearing_regulation.md`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comparison points, DLT initiatives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`01_equities/en/regulations/us_equities_regulation.md`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SIFMU definitions (tagged as [estimated])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`03_clearing/en/regulations/us_clearing_regulation.md`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Security-based swap clearing 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`03_clearing/en/systems/dtcc_systems.md`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Legacy tech stack, netting efficiency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`01_equities/en/systems/pillar.md`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OS, programming languages, DR config</w:t>
            </w:r>
          </w:p>
        </w:tc>
      </w:tr>
    </w:tbl>
    <w:p/>
    <w:p>
      <w:pPr>
        <w:pStyle w:val="Heading4"/>
      </w:pPr>
      <w:r>
        <w:t>[Unverified]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% of Total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Typical Examples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Technical specifications (latency, capacity, programming languages)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~35%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C++ [unverified], T7 FPGA details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comparison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margin methodology [unverified], KRX settlement model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Product/contract specifications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tick values [unverified], contract sizes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Regulatory details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Security-based swap mandate [unverified], T+1 timelines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Organizational/operational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Employee counts [unverified], revenue figures [unverified]</w:t>
            </w:r>
          </w:p>
        </w:tc>
      </w:tr>
    </w:tbl>
    <w:p/>
    <w:p>
      <w:r>
        <w:t>Assessment: The [unverified] tagging is appropriately used per RESEARCH_GUIDE.md standards. Most tags apply to secondary details (programming languages, exact hardware counts) or KRX-specific comparisons that require internal KRX documentation to verify. Core exchange mechanics, market structures, and regulatory frameworks are well-sourced.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Consistency Check</w:t>
      </w:r>
    </w:p>
    <w:p>
      <w:pPr>
        <w:pStyle w:val="Heading4"/>
      </w:pPr>
      <w:r>
        <w:t>Naming Conventions</w:t>
      </w:r>
    </w:p>
    <w:p>
      <w:pPr>
        <w:pStyle w:val="ListBullet"/>
      </w:pPr>
      <w:r>
        <w:t>All files follow lowercase_underscore convention per RESEARCH_GUIDE.md</w:t>
      </w:r>
    </w:p>
    <w:p>
      <w:pPr>
        <w:pStyle w:val="ListBullet"/>
      </w:pPr>
      <w:r>
        <w:t>Directory structure consistent across all 3 domains: `en/exchanges/`, `en/systems/`, `en/regulations/`</w:t>
      </w:r>
    </w:p>
    <w:p>
      <w:pPr>
        <w:pStyle w:val="ListBullet"/>
      </w:pPr>
      <w:r>
        <w:t>Korean translations mirror English structure: `ko/exchanges/`, `ko/systems/`, `ko/regulations/`</w:t>
      </w:r>
    </w:p>
    <w:p>
      <w:pPr>
        <w:pStyle w:val="Heading4"/>
      </w:pPr>
      <w:r>
        <w:t>Template Adherence</w:t>
      </w:r>
    </w:p>
    <w:p>
      <w:pPr>
        <w:pStyle w:val="ListBullet"/>
      </w:pPr>
      <w:r>
        <w:t>Equities: All 23 exchange files follow TEMPLATE_EXCHANGE.md (11 sections)</w:t>
      </w:r>
    </w:p>
    <w:p>
      <w:pPr>
        <w:pStyle w:val="ListBullet"/>
      </w:pPr>
      <w:r>
        <w:t>Derivatives: All 17 exchange files follow TEMPLATE_EXCHANGE.md adapted for derivatives</w:t>
      </w:r>
    </w:p>
    <w:p>
      <w:pPr>
        <w:pStyle w:val="ListBullet"/>
      </w:pPr>
      <w:r>
        <w:t>Clearing: All 20 organization files follow TEMPLATE_CLEARING.md (8-9 sections)</w:t>
      </w:r>
    </w:p>
    <w:p>
      <w:pPr>
        <w:pStyle w:val="ListBullet"/>
      </w:pPr>
      <w:r>
        <w:t>System files follow TEMPLATE_SYSTEM.md</w:t>
      </w:r>
    </w:p>
    <w:p>
      <w:pPr>
        <w:pStyle w:val="Heading4"/>
      </w:pPr>
      <w:r>
        <w:t>Source Citation</w:t>
      </w:r>
    </w:p>
    <w:p>
      <w:pPr>
        <w:pStyle w:val="ListBullet"/>
      </w:pPr>
      <w:r>
        <w:t>Primary sources (exchange websites, annual reports) used consistently</w:t>
      </w:r>
    </w:p>
    <w:p>
      <w:pPr>
        <w:pStyle w:val="ListBullet"/>
      </w:pPr>
      <w:r>
        <w:t>Source format follows `[Source: Name, "Document", accessed YYYY-MM-DD]` pattern</w:t>
      </w:r>
    </w:p>
    <w:p>
      <w:pPr>
        <w:pStyle w:val="ListBullet"/>
      </w:pPr>
      <w:r>
        <w:t>All three domains use identical citation standards</w:t>
      </w:r>
    </w:p>
    <w:p>
      <w:pPr>
        <w:pStyle w:val="Heading4"/>
      </w:pPr>
      <w:r>
        <w:t>Cross-Domain Terminology</w:t>
      </w:r>
    </w:p>
    <w:p>
      <w:pPr>
        <w:pStyle w:val="ListBullet"/>
      </w:pPr>
      <w:r>
        <w:t>Terms used consistently across domains (e.g., "DVP Model 1/2/3", "PFMI", "SPAN")</w:t>
      </w:r>
    </w:p>
    <w:p>
      <w:pPr>
        <w:pStyle w:val="ListBullet"/>
      </w:pPr>
      <w:r>
        <w:t>No conflicting definitions found between domains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Glossary Completeness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English (glossary_en.md)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Korean (glossary_ko.md)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**Total terms**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355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374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**Categories covered**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Trading, Clearing, Settlement, Technology, Regulation, Derivatives, Market Segments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Same + KRX-specific terms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**EN terms missing from KO**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 (Exchange for Physical, Exchange for Swap, Pro-Rata Matching)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**KO-only terms**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~22 (additional KRX/Korean market terms)</w:t>
            </w:r>
          </w:p>
        </w:tc>
      </w:tr>
    </w:tbl>
    <w:p/>
    <w:p>
      <w:r>
        <w:t>Assessment: Glossaries are 99%+ aligned. The 3 missing Korean translations should be added for completeness:</w:t>
      </w:r>
    </w:p>
    <w:p>
      <w:pPr>
        <w:pStyle w:val="ListBullet"/>
      </w:pPr>
      <w:r>
        <w:t>Exchange for Physical (EFP) → 실물교환거래</w:t>
      </w:r>
    </w:p>
    <w:p>
      <w:pPr>
        <w:pStyle w:val="ListBullet"/>
      </w:pPr>
      <w:r>
        <w:t>Exchange for Swap (EFS) → 스왑교환거래</w:t>
      </w:r>
    </w:p>
    <w:p>
      <w:pPr>
        <w:pStyle w:val="ListBullet"/>
      </w:pPr>
      <w:r>
        <w:t>Pro-Rata Matching → 비례배분 체결</w:t>
      </w:r>
    </w:p>
    <w:p>
      <w:pPr>
        <w:pStyle w:val="Heading4"/>
      </w:pPr>
      <w:r>
        <w:t>Suggested Additional Terms (currently absent from both glossaries)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Relevance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0DTE (Zero Days to Expiration)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59% of SPX volume in 2025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Active Account Requirement (AAR)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EMIR 3.0 key provision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DORA (Digital Operational Resilience Act)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mandatory from Jan 2025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Swap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Cross-border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HK-China IRS connectivity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Cross-border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SGX-NSE India connectivity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Consolidated Tape Provider (CTP)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MiFIR Refit initiative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Known Gaps and Follow-Up Items</w:t>
      </w:r>
    </w:p>
    <w:p>
      <w:pPr>
        <w:pStyle w:val="Heading4"/>
      </w:pPr>
      <w:r>
        <w:t>Documentation Gaps (Not Critical)</w:t>
      </w:r>
    </w:p>
    <w:p>
      <w:pPr>
        <w:pStyle w:val="ListNumber"/>
      </w:pPr>
      <w:r>
        <w:t>System deep-dives limited to major platforms only: Only 14 system files created (8 equities + 3 derivatives + 3 clearing). Tier 2/3 exchange systems (Quantum XA, SIBE-Smart, NEAT+, Chinese systems) do not have dedicated system files — by design per SESSION_PLAN.md</w:t>
      </w:r>
    </w:p>
    <w:p>
      <w:pPr>
        <w:pStyle w:val="ListNumber"/>
      </w:pPr>
      <w:r>
        <w:t>Middle East/Africa regulation: No dedicated regulation file for Middle East or Africa. Covered briefly within exchange-level documents (Tadawul, JSE, DME)</w:t>
      </w:r>
    </w:p>
    <w:p>
      <w:pPr>
        <w:pStyle w:val="ListNumber"/>
      </w:pPr>
      <w:r>
        <w:t>OTC derivatives clearing: Limited detail on bilateral vs. cleared OTC markets beyond major CCPs (LCH SwapClear, CME OTC, Eurex OTC)</w:t>
      </w:r>
    </w:p>
    <w:p>
      <w:pPr>
        <w:pStyle w:val="Heading4"/>
      </w:pPr>
      <w:r>
        <w:t>Items Requiring KRX Internal Verification</w:t>
      </w:r>
    </w:p>
    <w:p>
      <w:r>
        <w:t>The following items remain [unverified] after KRX deep-dive research and require access to internal KRX documentation:</w:t>
      </w:r>
    </w:p>
    <w:p>
      <w:pPr>
        <w:pStyle w:val="ListNumber"/>
      </w:pPr>
      <w:r>
        <w:t>Exture 3.0 official latency and throughput specifications (KRX has not published; ~49 us is estimated from 30% improvement claim)</w:t>
      </w:r>
    </w:p>
    <w:p>
      <w:pPr>
        <w:pStyle w:val="ListNumber"/>
      </w:pPr>
      <w:r>
        <w:t>KRX SITG (Skin-in-the-Game) exact amount (confirmed present at Layer 4, amount not disclosed)</w:t>
      </w:r>
    </w:p>
    <w:p>
      <w:pPr>
        <w:pStyle w:val="ListNumber"/>
      </w:pPr>
      <w:r>
        <w:t>Joint Compensation Fund exact size (estimated ~KRW 100B)</w:t>
      </w:r>
    </w:p>
    <w:p>
      <w:pPr>
        <w:pStyle w:val="ListNumber"/>
      </w:pPr>
      <w:r>
        <w:t>KRX-SPAN confidence level and holding period parameters (not specified in public materials)</w:t>
      </w:r>
    </w:p>
    <w:p>
      <w:pPr>
        <w:pStyle w:val="ListNumber"/>
      </w:pPr>
      <w:r>
        <w:t>Cover standard (not explicitly stated as Cover 1 or Cover 2)</w:t>
      </w:r>
    </w:p>
    <w:p>
      <w:pPr>
        <w:pStyle w:val="ListNumber"/>
      </w:pPr>
      <w:r>
        <w:t>KSD current assets under custody (KRW 3,149T figure is from 2014)</w:t>
      </w:r>
    </w:p>
    <w:p>
      <w:pPr>
        <w:pStyle w:val="ListNumber"/>
      </w:pPr>
      <w:r>
        <w:t>KRX extended trading hours plans beyond current off-hours session</w:t>
      </w:r>
    </w:p>
    <w:p>
      <w:pPr>
        <w:pStyle w:val="ListNumber"/>
      </w:pPr>
      <w:r>
        <w:t>KRX T+1 settlement migration timeline (under active review)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Appendix: Research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**Total exchanges/organizations researched**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60 (23 equities + 17 derivatives + 20 clearing)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**Total English research documents**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**Total Korean translations**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**Total DOCX exports**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180 (90 EN + 90 KO)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**Grand total files**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360+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**Research period**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2026-04-03 to 2026-04-13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**Sessions executed**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 (E1-E3, D1-D3, C1-C3, T1-T3, K1-K3)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**Glossary terms (EN)**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355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**Glossary terms (KO)**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374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**[unverified] tags**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~215 across 50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**[estimated] tags**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~28 across 7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**TBD/placeholder items**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**Jurisdictions covered**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20+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**Trading systems analyzed**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25+ distinct platforms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**CCPs/CSDs profiled**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 organizations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**Regulatory frameworks**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 regional analyses (3 per domain)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Document generated: 2026-04-13</w:t>
      </w:r>
    </w:p>
    <w:p>
      <w:r>
        <w:t>Project: Global Exchange Research for KRX IT Department</w:t>
      </w:r>
    </w:p>
    <w:p>
      <w:r>
        <w:t>Status: Phase 5 — KRX Deep-Dive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