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B58BA" w14:textId="77777777" w:rsidR="00D0580D" w:rsidRDefault="00D0580D"/>
    <w:p w14:paraId="17D7BDB3" w14:textId="77777777" w:rsidR="00D0580D" w:rsidRDefault="00D0580D"/>
    <w:p w14:paraId="4A95459B" w14:textId="77777777" w:rsidR="00D0580D" w:rsidRDefault="00D0580D"/>
    <w:p w14:paraId="5B9C3362" w14:textId="77777777" w:rsidR="00D0580D" w:rsidRDefault="00000000">
      <w:pPr>
        <w:jc w:val="center"/>
      </w:pPr>
      <w:r>
        <w:rPr>
          <w:b/>
          <w:color w:val="1565C0"/>
        </w:rPr>
        <w:t>SENA — PROGRAMA DE FORMACIÓN</w:t>
      </w:r>
    </w:p>
    <w:p w14:paraId="126C1BE8" w14:textId="77777777" w:rsidR="00D0580D" w:rsidRDefault="00D0580D"/>
    <w:p w14:paraId="58775CEF" w14:textId="77777777" w:rsidR="00D0580D" w:rsidRDefault="00000000">
      <w:pPr>
        <w:jc w:val="center"/>
      </w:pPr>
      <w:r>
        <w:rPr>
          <w:b/>
          <w:color w:val="1A237E"/>
          <w:sz w:val="52"/>
        </w:rPr>
        <w:t>Documento técnico de código fuente</w:t>
      </w:r>
    </w:p>
    <w:p w14:paraId="76352BDD" w14:textId="77777777" w:rsidR="00D0580D" w:rsidRDefault="00000000">
      <w:pPr>
        <w:jc w:val="center"/>
      </w:pPr>
      <w:r>
        <w:rPr>
          <w:i/>
          <w:color w:val="37474F"/>
          <w:sz w:val="26"/>
        </w:rPr>
        <w:t>Evidencia 1 - Norma 220501096</w:t>
      </w:r>
    </w:p>
    <w:p w14:paraId="70E0C4D4" w14:textId="77777777" w:rsidR="00D0580D" w:rsidRDefault="00D0580D"/>
    <w:p w14:paraId="79EBE97B" w14:textId="77777777" w:rsidR="00D0580D" w:rsidRDefault="00D0580D"/>
    <w:p w14:paraId="6A69063F" w14:textId="77777777" w:rsidR="00D0580D" w:rsidRDefault="00D0580D"/>
    <w:p w14:paraId="5A2194BF" w14:textId="77777777" w:rsidR="00D0580D" w:rsidRDefault="00D058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56"/>
        <w:gridCol w:w="4556"/>
      </w:tblGrid>
      <w:tr w:rsidR="00D0580D" w14:paraId="49F11311" w14:textId="77777777">
        <w:tc>
          <w:tcPr>
            <w:tcW w:w="4561" w:type="dxa"/>
            <w:shd w:val="clear" w:color="auto" w:fill="1A237E"/>
          </w:tcPr>
          <w:p w14:paraId="555458E0" w14:textId="77777777" w:rsidR="00D0580D" w:rsidRDefault="00000000">
            <w:r>
              <w:rPr>
                <w:b/>
                <w:color w:val="FFFFFF"/>
                <w:sz w:val="20"/>
              </w:rPr>
              <w:t>Aprendiz:</w:t>
            </w:r>
          </w:p>
        </w:tc>
        <w:tc>
          <w:tcPr>
            <w:tcW w:w="4561" w:type="dxa"/>
            <w:shd w:val="clear" w:color="auto" w:fill="F5F5F5"/>
          </w:tcPr>
          <w:p w14:paraId="1FE25C06" w14:textId="77777777" w:rsidR="00D0580D" w:rsidRDefault="00000000">
            <w:r>
              <w:rPr>
                <w:color w:val="37474F"/>
                <w:sz w:val="20"/>
              </w:rPr>
              <w:t>Keiner Lara</w:t>
            </w:r>
          </w:p>
        </w:tc>
      </w:tr>
      <w:tr w:rsidR="00D0580D" w14:paraId="6C21AC2D" w14:textId="77777777">
        <w:tc>
          <w:tcPr>
            <w:tcW w:w="4561" w:type="dxa"/>
            <w:shd w:val="clear" w:color="auto" w:fill="1A237E"/>
          </w:tcPr>
          <w:p w14:paraId="4075588E" w14:textId="77777777" w:rsidR="00D0580D" w:rsidRDefault="00000000">
            <w:r>
              <w:rPr>
                <w:b/>
                <w:color w:val="FFFFFF"/>
                <w:sz w:val="20"/>
              </w:rPr>
              <w:t>Programa SENA:</w:t>
            </w:r>
          </w:p>
        </w:tc>
        <w:tc>
          <w:tcPr>
            <w:tcW w:w="4561" w:type="dxa"/>
            <w:shd w:val="clear" w:color="auto" w:fill="F5F5F5"/>
          </w:tcPr>
          <w:p w14:paraId="70D31035" w14:textId="77777777" w:rsidR="00D0580D" w:rsidRDefault="00000000">
            <w:r>
              <w:rPr>
                <w:color w:val="37474F"/>
                <w:sz w:val="20"/>
              </w:rPr>
              <w:t>Desarrollo de software</w:t>
            </w:r>
          </w:p>
        </w:tc>
      </w:tr>
      <w:tr w:rsidR="00D0580D" w14:paraId="0708BB11" w14:textId="77777777">
        <w:tc>
          <w:tcPr>
            <w:tcW w:w="4561" w:type="dxa"/>
            <w:shd w:val="clear" w:color="auto" w:fill="1A237E"/>
          </w:tcPr>
          <w:p w14:paraId="62D71BFA" w14:textId="77777777" w:rsidR="00D0580D" w:rsidRDefault="00000000">
            <w:r>
              <w:rPr>
                <w:b/>
                <w:color w:val="FFFFFF"/>
                <w:sz w:val="20"/>
              </w:rPr>
              <w:t>Ruta Riwi:</w:t>
            </w:r>
          </w:p>
        </w:tc>
        <w:tc>
          <w:tcPr>
            <w:tcW w:w="4561" w:type="dxa"/>
            <w:shd w:val="clear" w:color="auto" w:fill="F5F5F5"/>
          </w:tcPr>
          <w:p w14:paraId="715939BB" w14:textId="77777777" w:rsidR="00D0580D" w:rsidRDefault="00000000">
            <w:r>
              <w:rPr>
                <w:color w:val="37474F"/>
                <w:sz w:val="20"/>
              </w:rPr>
              <w:t>Analítica de Datos</w:t>
            </w:r>
          </w:p>
        </w:tc>
      </w:tr>
      <w:tr w:rsidR="00D0580D" w14:paraId="06A5BF04" w14:textId="77777777">
        <w:tc>
          <w:tcPr>
            <w:tcW w:w="4561" w:type="dxa"/>
            <w:shd w:val="clear" w:color="auto" w:fill="1A237E"/>
          </w:tcPr>
          <w:p w14:paraId="74FD1FAA" w14:textId="77777777" w:rsidR="00D0580D" w:rsidRDefault="00000000">
            <w:r>
              <w:rPr>
                <w:b/>
                <w:color w:val="FFFFFF"/>
                <w:sz w:val="20"/>
              </w:rPr>
              <w:t>Proyecto:</w:t>
            </w:r>
          </w:p>
        </w:tc>
        <w:tc>
          <w:tcPr>
            <w:tcW w:w="4561" w:type="dxa"/>
            <w:shd w:val="clear" w:color="auto" w:fill="F5F5F5"/>
          </w:tcPr>
          <w:p w14:paraId="2DB4A835" w14:textId="77777777" w:rsidR="00D0580D" w:rsidRDefault="00000000">
            <w:r>
              <w:rPr>
                <w:color w:val="37474F"/>
                <w:sz w:val="20"/>
              </w:rPr>
              <w:t>Plataforma de Postulación a Empleabilidad</w:t>
            </w:r>
          </w:p>
        </w:tc>
      </w:tr>
      <w:tr w:rsidR="00D0580D" w14:paraId="2D3924BB" w14:textId="77777777">
        <w:tc>
          <w:tcPr>
            <w:tcW w:w="4561" w:type="dxa"/>
            <w:shd w:val="clear" w:color="auto" w:fill="1A237E"/>
          </w:tcPr>
          <w:p w14:paraId="1F9DB40D" w14:textId="77777777" w:rsidR="00D0580D" w:rsidRDefault="00000000">
            <w:r>
              <w:rPr>
                <w:b/>
                <w:color w:val="FFFFFF"/>
                <w:sz w:val="20"/>
              </w:rPr>
              <w:t>Fecha:</w:t>
            </w:r>
          </w:p>
        </w:tc>
        <w:tc>
          <w:tcPr>
            <w:tcW w:w="4561" w:type="dxa"/>
            <w:shd w:val="clear" w:color="auto" w:fill="F5F5F5"/>
          </w:tcPr>
          <w:p w14:paraId="00112806" w14:textId="77777777" w:rsidR="00D0580D" w:rsidRDefault="00000000">
            <w:r>
              <w:rPr>
                <w:color w:val="37474F"/>
                <w:sz w:val="20"/>
              </w:rPr>
              <w:t>Marzo 2026</w:t>
            </w:r>
          </w:p>
        </w:tc>
      </w:tr>
    </w:tbl>
    <w:p w14:paraId="0442D668" w14:textId="77777777" w:rsidR="00D0580D" w:rsidRDefault="00000000">
      <w:r>
        <w:br w:type="page"/>
      </w:r>
    </w:p>
    <w:p w14:paraId="132804F0" w14:textId="77777777" w:rsidR="00D0580D" w:rsidRDefault="00000000">
      <w:pPr>
        <w:pStyle w:val="Ttulo1"/>
      </w:pPr>
      <w:r>
        <w:rPr>
          <w:color w:val="1A237E"/>
          <w:sz w:val="36"/>
        </w:rPr>
        <w:lastRenderedPageBreak/>
        <w:t>1. Estructura del Proyecto</w:t>
      </w:r>
    </w:p>
    <w:p w14:paraId="015224A9" w14:textId="77777777" w:rsidR="00D0580D" w:rsidRDefault="00000000">
      <w:pPr>
        <w:spacing w:after="120"/>
        <w:rPr>
          <w:color w:val="37474F"/>
        </w:rPr>
      </w:pPr>
      <w:r>
        <w:rPr>
          <w:color w:val="37474F"/>
        </w:rPr>
        <w:t xml:space="preserve">Organización general del ecosistema de software, siguiendo patrones profesionales de arquitectura de </w:t>
      </w:r>
      <w:proofErr w:type="spellStart"/>
      <w:r>
        <w:rPr>
          <w:color w:val="37474F"/>
        </w:rPr>
        <w:t>datos</w:t>
      </w:r>
      <w:proofErr w:type="spellEnd"/>
      <w:r>
        <w:rPr>
          <w:color w:val="37474F"/>
        </w:rPr>
        <w:t xml:space="preserve"> y frontend.</w:t>
      </w:r>
    </w:p>
    <w:p w14:paraId="457D35B5" w14:textId="77777777" w:rsidR="002B5525" w:rsidRDefault="002B5525">
      <w:pPr>
        <w:spacing w:after="120"/>
      </w:pPr>
    </w:p>
    <w:p w14:paraId="47552715" w14:textId="77777777" w:rsidR="00D0580D" w:rsidRDefault="00000000">
      <w:pPr>
        <w:shd w:val="clear" w:color="auto" w:fill="F5F5F5"/>
        <w:ind w:left="567" w:right="567"/>
      </w:pPr>
      <w:r>
        <w:rPr>
          <w:rFonts w:ascii="Consolas" w:hAnsi="Consolas"/>
          <w:sz w:val="18"/>
        </w:rPr>
        <w:t>Prueba-Empleabilidad-Analitica-SENA/</w:t>
      </w:r>
      <w:r>
        <w:rPr>
          <w:rFonts w:ascii="Consolas" w:hAnsi="Consolas"/>
          <w:sz w:val="18"/>
        </w:rPr>
        <w:br/>
        <w:t>├── .env                        # Credenciales</w:t>
      </w:r>
      <w:r>
        <w:rPr>
          <w:rFonts w:ascii="Consolas" w:hAnsi="Consolas"/>
          <w:sz w:val="18"/>
        </w:rPr>
        <w:br/>
        <w:t>├── README.md                   # Documentación principal</w:t>
      </w:r>
      <w:r>
        <w:rPr>
          <w:rFonts w:ascii="Consolas" w:hAnsi="Consolas"/>
          <w:sz w:val="18"/>
        </w:rPr>
        <w:br/>
        <w:t>├── bbdd.sql                    # SQL Script</w:t>
      </w:r>
      <w:r>
        <w:rPr>
          <w:rFonts w:ascii="Consolas" w:hAnsi="Consolas"/>
          <w:sz w:val="18"/>
        </w:rPr>
        <w:br/>
        <w:t>├── requirements.txt            # Dependencias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scripts/                    # Ingeniería de datos (Core)</w:t>
      </w:r>
      <w:r>
        <w:rPr>
          <w:rFonts w:ascii="Consolas" w:hAnsi="Consolas"/>
          <w:sz w:val="18"/>
        </w:rPr>
        <w:br/>
        <w:t>│   ├── limpieza.py             # Pipeline ETL</w:t>
      </w:r>
      <w:r>
        <w:rPr>
          <w:rFonts w:ascii="Consolas" w:hAnsi="Consolas"/>
          <w:sz w:val="18"/>
        </w:rPr>
        <w:br/>
        <w:t>│   └── conexion_carga_datos.py # Cargador de PostgreSQL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portal/                     # Frontend (HTML/CSS)</w:t>
      </w:r>
      <w:r>
        <w:rPr>
          <w:rFonts w:ascii="Consolas" w:hAnsi="Consolas"/>
          <w:sz w:val="18"/>
        </w:rPr>
        <w:br/>
        <w:t>│   ├── index.html</w:t>
      </w:r>
      <w:r>
        <w:rPr>
          <w:rFonts w:ascii="Consolas" w:hAnsi="Consolas"/>
          <w:sz w:val="18"/>
        </w:rPr>
        <w:br/>
        <w:t>│   └── styles.css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└── normas/                     # Entregables de certificación</w:t>
      </w:r>
      <w:r>
        <w:rPr>
          <w:rFonts w:ascii="Consolas" w:hAnsi="Consolas"/>
          <w:sz w:val="18"/>
        </w:rPr>
        <w:br/>
      </w:r>
    </w:p>
    <w:p w14:paraId="28C9399B" w14:textId="77777777" w:rsidR="00D0580D" w:rsidRDefault="00000000">
      <w:pPr>
        <w:pStyle w:val="Ttulo1"/>
      </w:pPr>
      <w:r>
        <w:rPr>
          <w:color w:val="1A237E"/>
          <w:sz w:val="36"/>
        </w:rPr>
        <w:t>2. Descripción de Carpetas y Módulos</w:t>
      </w:r>
    </w:p>
    <w:p w14:paraId="4AB3C09B" w14:textId="77777777" w:rsidR="00D0580D" w:rsidRDefault="00000000">
      <w:pPr>
        <w:spacing w:after="120"/>
      </w:pPr>
      <w:r>
        <w:rPr>
          <w:color w:val="37474F"/>
        </w:rPr>
        <w:t>• scripts/: Núcleo de la inteligencia de datos. Gestiona la limpieza, curación e inyección transaccional en PostgreSQL.</w:t>
      </w:r>
    </w:p>
    <w:p w14:paraId="6CF0D738" w14:textId="77777777" w:rsidR="00D0580D" w:rsidRDefault="00000000">
      <w:pPr>
        <w:spacing w:after="120"/>
      </w:pPr>
      <w:r>
        <w:rPr>
          <w:color w:val="37474F"/>
        </w:rPr>
        <w:t>• portal/: Desarrollado con tecnologías web estándar para la visualización de métricas y storytelling.</w:t>
      </w:r>
    </w:p>
    <w:p w14:paraId="6E7D622C" w14:textId="77777777" w:rsidR="00D0580D" w:rsidRDefault="00000000">
      <w:pPr>
        <w:spacing w:after="120"/>
      </w:pPr>
      <w:r>
        <w:rPr>
          <w:color w:val="37474F"/>
        </w:rPr>
        <w:t>• normas/: Contenedor de la documentación técnica y funcional para la certificación SENA.</w:t>
      </w:r>
    </w:p>
    <w:p w14:paraId="5B2C224D" w14:textId="77777777" w:rsidR="00D0580D" w:rsidRDefault="00000000">
      <w:pPr>
        <w:pStyle w:val="Ttulo1"/>
      </w:pPr>
      <w:r>
        <w:rPr>
          <w:color w:val="1A237E"/>
          <w:sz w:val="36"/>
        </w:rPr>
        <w:t>3. Explicación del Flujo del Sistema</w:t>
      </w:r>
    </w:p>
    <w:p w14:paraId="472CC89A" w14:textId="77777777" w:rsidR="00D0580D" w:rsidRDefault="00000000">
      <w:pPr>
        <w:spacing w:after="120"/>
      </w:pPr>
      <w:r>
        <w:rPr>
          <w:color w:val="37474F"/>
        </w:rPr>
        <w:t>El sistema funciona bajo un pipeline secuencial de alta eficiencia:</w:t>
      </w:r>
    </w:p>
    <w:p w14:paraId="1C18939D" w14:textId="77777777" w:rsidR="00D0580D" w:rsidRDefault="00000000">
      <w:pPr>
        <w:spacing w:after="120"/>
      </w:pPr>
      <w:r>
        <w:rPr>
          <w:color w:val="37474F"/>
        </w:rPr>
        <w:t>1. Extracción: Procesamiento de archivos planos (CSV) de ~2M de filas mediante Pandas.</w:t>
      </w:r>
    </w:p>
    <w:p w14:paraId="75E3B570" w14:textId="77777777" w:rsidR="00D0580D" w:rsidRDefault="00000000">
      <w:pPr>
        <w:spacing w:after="120"/>
      </w:pPr>
      <w:r>
        <w:rPr>
          <w:color w:val="37474F"/>
        </w:rPr>
        <w:t>2. Transformación: Normalización de texto, eliminación de incongruencias y cálculo de indicadores temporales.</w:t>
      </w:r>
    </w:p>
    <w:p w14:paraId="3BB48DDD" w14:textId="77777777" w:rsidR="00D0580D" w:rsidRDefault="00000000">
      <w:pPr>
        <w:spacing w:after="120"/>
      </w:pPr>
      <w:r>
        <w:rPr>
          <w:color w:val="37474F"/>
        </w:rPr>
        <w:t>3. Carga: Persistencia en PostgreSQL mediante el motor SQLAlchemy bajo transacciones atómicas.</w:t>
      </w:r>
    </w:p>
    <w:p w14:paraId="23D22DBC" w14:textId="77777777" w:rsidR="002B5525" w:rsidRDefault="00000000" w:rsidP="002B5525">
      <w:pPr>
        <w:spacing w:after="120"/>
        <w:rPr>
          <w:color w:val="37474F"/>
        </w:rPr>
      </w:pPr>
      <w:r>
        <w:rPr>
          <w:color w:val="37474F"/>
        </w:rPr>
        <w:t xml:space="preserve">4. Despliegue: Publicación de hallazgos en </w:t>
      </w:r>
      <w:proofErr w:type="spellStart"/>
      <w:r>
        <w:rPr>
          <w:color w:val="37474F"/>
        </w:rPr>
        <w:t>el</w:t>
      </w:r>
      <w:proofErr w:type="spellEnd"/>
      <w:r>
        <w:rPr>
          <w:color w:val="37474F"/>
        </w:rPr>
        <w:t xml:space="preserve"> portal web </w:t>
      </w:r>
      <w:proofErr w:type="spellStart"/>
      <w:r>
        <w:rPr>
          <w:color w:val="37474F"/>
        </w:rPr>
        <w:t>corporativo</w:t>
      </w:r>
      <w:proofErr w:type="spellEnd"/>
      <w:r>
        <w:rPr>
          <w:color w:val="37474F"/>
        </w:rPr>
        <w:t>.</w:t>
      </w:r>
    </w:p>
    <w:p w14:paraId="6B52B375" w14:textId="77777777" w:rsidR="002B5525" w:rsidRDefault="002B5525" w:rsidP="002B5525">
      <w:pPr>
        <w:spacing w:after="120"/>
        <w:rPr>
          <w:color w:val="37474F"/>
        </w:rPr>
      </w:pPr>
    </w:p>
    <w:p w14:paraId="5A62BD12" w14:textId="77777777" w:rsidR="002B5525" w:rsidRDefault="002B5525" w:rsidP="002B5525">
      <w:pPr>
        <w:spacing w:after="120"/>
        <w:rPr>
          <w:color w:val="37474F"/>
        </w:rPr>
      </w:pPr>
    </w:p>
    <w:p w14:paraId="21EE5581" w14:textId="77777777" w:rsidR="002B5525" w:rsidRDefault="002B5525" w:rsidP="002B5525">
      <w:pPr>
        <w:spacing w:after="120"/>
        <w:rPr>
          <w:color w:val="37474F"/>
        </w:rPr>
      </w:pPr>
    </w:p>
    <w:p w14:paraId="2A121119" w14:textId="18FC4BA2" w:rsidR="00D0580D" w:rsidRDefault="00000000" w:rsidP="002B5525">
      <w:pPr>
        <w:spacing w:after="120"/>
      </w:pPr>
      <w:r>
        <w:rPr>
          <w:b/>
          <w:color w:val="1A237E"/>
          <w:sz w:val="36"/>
        </w:rPr>
        <w:t xml:space="preserve">4. </w:t>
      </w:r>
      <w:proofErr w:type="spellStart"/>
      <w:r>
        <w:rPr>
          <w:b/>
          <w:color w:val="1A237E"/>
          <w:sz w:val="36"/>
        </w:rPr>
        <w:t>Fragmentos</w:t>
      </w:r>
      <w:proofErr w:type="spellEnd"/>
      <w:r>
        <w:rPr>
          <w:b/>
          <w:color w:val="1A237E"/>
          <w:sz w:val="36"/>
        </w:rPr>
        <w:t xml:space="preserve"> de Código </w:t>
      </w:r>
      <w:proofErr w:type="spellStart"/>
      <w:r>
        <w:rPr>
          <w:b/>
          <w:color w:val="1A237E"/>
          <w:sz w:val="36"/>
        </w:rPr>
        <w:t>Relevantes</w:t>
      </w:r>
      <w:proofErr w:type="spellEnd"/>
      <w:r>
        <w:rPr>
          <w:b/>
          <w:color w:val="1A237E"/>
          <w:sz w:val="36"/>
        </w:rPr>
        <w:t xml:space="preserve"> </w:t>
      </w:r>
      <w:proofErr w:type="spellStart"/>
      <w:r>
        <w:rPr>
          <w:b/>
          <w:color w:val="1A237E"/>
          <w:sz w:val="36"/>
        </w:rPr>
        <w:t>Comentados</w:t>
      </w:r>
      <w:proofErr w:type="spellEnd"/>
    </w:p>
    <w:p w14:paraId="1226A7CE" w14:textId="77777777" w:rsidR="00D0580D" w:rsidRDefault="00000000">
      <w:pPr>
        <w:spacing w:after="120"/>
        <w:rPr>
          <w:color w:val="37474F"/>
        </w:rPr>
      </w:pPr>
      <w:r>
        <w:rPr>
          <w:color w:val="37474F"/>
        </w:rPr>
        <w:t xml:space="preserve">Evidencia técnica de la implementación siguiendo estándares de </w:t>
      </w:r>
      <w:proofErr w:type="spellStart"/>
      <w:r>
        <w:rPr>
          <w:color w:val="37474F"/>
        </w:rPr>
        <w:t>codificación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limpia</w:t>
      </w:r>
      <w:proofErr w:type="spellEnd"/>
      <w:r>
        <w:rPr>
          <w:color w:val="37474F"/>
        </w:rPr>
        <w:t xml:space="preserve"> y </w:t>
      </w:r>
      <w:proofErr w:type="spellStart"/>
      <w:r>
        <w:rPr>
          <w:color w:val="37474F"/>
        </w:rPr>
        <w:t>modularidad</w:t>
      </w:r>
      <w:proofErr w:type="spellEnd"/>
      <w:r>
        <w:rPr>
          <w:color w:val="37474F"/>
        </w:rPr>
        <w:t>.</w:t>
      </w:r>
    </w:p>
    <w:p w14:paraId="3B4A1AB8" w14:textId="77777777" w:rsidR="002B5525" w:rsidRDefault="002B5525">
      <w:pPr>
        <w:spacing w:after="120"/>
      </w:pPr>
    </w:p>
    <w:p w14:paraId="70003465" w14:textId="77777777" w:rsidR="00D0580D" w:rsidRDefault="00000000">
      <w:pPr>
        <w:pStyle w:val="Ttulo2"/>
      </w:pPr>
      <w:r>
        <w:rPr>
          <w:color w:val="1A237E"/>
          <w:sz w:val="28"/>
        </w:rPr>
        <w:t>4.1 Lógica de Limpieza y Normalización</w:t>
      </w:r>
    </w:p>
    <w:p w14:paraId="52E6E720" w14:textId="77777777" w:rsidR="00D0580D" w:rsidRDefault="00000000">
      <w:pPr>
        <w:jc w:val="center"/>
      </w:pPr>
      <w:r>
        <w:rPr>
          <w:noProof/>
        </w:rPr>
        <w:drawing>
          <wp:inline distT="0" distB="0" distL="0" distR="0" wp14:anchorId="0BB42801" wp14:editId="196F76E6">
            <wp:extent cx="5486400" cy="46282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ca de limpiez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87C5" w14:textId="77777777" w:rsidR="00D0580D" w:rsidRDefault="00000000">
      <w:pPr>
        <w:spacing w:after="240"/>
        <w:jc w:val="center"/>
      </w:pPr>
      <w:r>
        <w:rPr>
          <w:i/>
          <w:color w:val="616161"/>
          <w:sz w:val="18"/>
        </w:rPr>
        <w:t>Figura 1: Implementación del componente de curación de datos mediante expresiones regulares y normalización unicode.</w:t>
      </w:r>
    </w:p>
    <w:p w14:paraId="19124597" w14:textId="77777777" w:rsidR="002B5525" w:rsidRDefault="002B5525">
      <w:pPr>
        <w:pStyle w:val="Ttulo2"/>
        <w:rPr>
          <w:color w:val="1A237E"/>
          <w:sz w:val="28"/>
        </w:rPr>
      </w:pPr>
    </w:p>
    <w:p w14:paraId="5DBD186F" w14:textId="77777777" w:rsidR="002B5525" w:rsidRDefault="002B5525">
      <w:pPr>
        <w:pStyle w:val="Ttulo2"/>
        <w:rPr>
          <w:color w:val="1A237E"/>
          <w:sz w:val="28"/>
        </w:rPr>
      </w:pPr>
    </w:p>
    <w:p w14:paraId="09C91B87" w14:textId="77777777" w:rsidR="002B5525" w:rsidRDefault="002B5525" w:rsidP="002B5525"/>
    <w:p w14:paraId="27E1363D" w14:textId="77777777" w:rsidR="002B5525" w:rsidRPr="002B5525" w:rsidRDefault="002B5525" w:rsidP="002B5525"/>
    <w:p w14:paraId="768E85E7" w14:textId="23AA77A7" w:rsidR="00D0580D" w:rsidRDefault="00000000">
      <w:pPr>
        <w:pStyle w:val="Ttulo2"/>
      </w:pPr>
      <w:r>
        <w:rPr>
          <w:color w:val="1A237E"/>
          <w:sz w:val="28"/>
        </w:rPr>
        <w:lastRenderedPageBreak/>
        <w:t>4.2 Motor de Carga Transaccional (PostgreSQL)</w:t>
      </w:r>
    </w:p>
    <w:p w14:paraId="54B3DA24" w14:textId="77777777" w:rsidR="00D0580D" w:rsidRDefault="00000000">
      <w:pPr>
        <w:spacing w:after="120"/>
        <w:rPr>
          <w:color w:val="37474F"/>
        </w:rPr>
      </w:pPr>
      <w:r>
        <w:rPr>
          <w:color w:val="37474F"/>
        </w:rPr>
        <w:t xml:space="preserve">Se </w:t>
      </w:r>
      <w:proofErr w:type="spellStart"/>
      <w:r>
        <w:rPr>
          <w:color w:val="37474F"/>
        </w:rPr>
        <w:t>utiliza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una</w:t>
      </w:r>
      <w:proofErr w:type="spellEnd"/>
      <w:r>
        <w:rPr>
          <w:color w:val="37474F"/>
        </w:rPr>
        <w:t xml:space="preserve"> </w:t>
      </w:r>
      <w:proofErr w:type="spellStart"/>
      <w:r>
        <w:rPr>
          <w:color w:val="37474F"/>
        </w:rPr>
        <w:t>arquitectura</w:t>
      </w:r>
      <w:proofErr w:type="spellEnd"/>
      <w:r>
        <w:rPr>
          <w:color w:val="37474F"/>
        </w:rPr>
        <w:t xml:space="preserve"> de transacción segura para asegurar que las dimensiones (Star Schema) se carguen íntegramente sin </w:t>
      </w:r>
      <w:proofErr w:type="spellStart"/>
      <w:r>
        <w:rPr>
          <w:color w:val="37474F"/>
        </w:rPr>
        <w:t>pérdida</w:t>
      </w:r>
      <w:proofErr w:type="spellEnd"/>
      <w:r>
        <w:rPr>
          <w:color w:val="37474F"/>
        </w:rPr>
        <w:t xml:space="preserve"> de </w:t>
      </w:r>
      <w:proofErr w:type="spellStart"/>
      <w:r>
        <w:rPr>
          <w:color w:val="37474F"/>
        </w:rPr>
        <w:t>datos</w:t>
      </w:r>
      <w:proofErr w:type="spellEnd"/>
      <w:r>
        <w:rPr>
          <w:color w:val="37474F"/>
        </w:rPr>
        <w:t>.</w:t>
      </w:r>
    </w:p>
    <w:p w14:paraId="110E5B9B" w14:textId="77777777" w:rsidR="002B5525" w:rsidRDefault="002B5525">
      <w:pPr>
        <w:spacing w:after="120"/>
      </w:pPr>
    </w:p>
    <w:p w14:paraId="12C46E39" w14:textId="77777777" w:rsidR="00D0580D" w:rsidRDefault="00000000">
      <w:pPr>
        <w:jc w:val="center"/>
      </w:pPr>
      <w:r>
        <w:rPr>
          <w:noProof/>
        </w:rPr>
        <w:drawing>
          <wp:inline distT="0" distB="0" distL="0" distR="0" wp14:anchorId="6431026F" wp14:editId="473754F5">
            <wp:extent cx="5486400" cy="41381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tor_Carga_Dim_Reg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3DB4" w14:textId="77777777" w:rsidR="00D0580D" w:rsidRDefault="00000000">
      <w:pPr>
        <w:spacing w:after="240"/>
        <w:jc w:val="center"/>
        <w:rPr>
          <w:i/>
          <w:color w:val="616161"/>
          <w:sz w:val="18"/>
        </w:rPr>
      </w:pPr>
      <w:r>
        <w:rPr>
          <w:i/>
          <w:color w:val="616161"/>
          <w:sz w:val="18"/>
        </w:rPr>
        <w:t xml:space="preserve">Figura 2: Ejemplo de carga transaccional para la </w:t>
      </w:r>
      <w:proofErr w:type="spellStart"/>
      <w:r>
        <w:rPr>
          <w:i/>
          <w:color w:val="616161"/>
          <w:sz w:val="18"/>
        </w:rPr>
        <w:t>dimensión</w:t>
      </w:r>
      <w:proofErr w:type="spellEnd"/>
      <w:r>
        <w:rPr>
          <w:i/>
          <w:color w:val="616161"/>
          <w:sz w:val="18"/>
        </w:rPr>
        <w:t xml:space="preserve"> </w:t>
      </w:r>
      <w:proofErr w:type="spellStart"/>
      <w:r>
        <w:rPr>
          <w:i/>
          <w:color w:val="616161"/>
          <w:sz w:val="18"/>
        </w:rPr>
        <w:t>Geográfica</w:t>
      </w:r>
      <w:proofErr w:type="spellEnd"/>
      <w:r>
        <w:rPr>
          <w:i/>
          <w:color w:val="616161"/>
          <w:sz w:val="18"/>
        </w:rPr>
        <w:t xml:space="preserve"> </w:t>
      </w:r>
      <w:proofErr w:type="spellStart"/>
      <w:r>
        <w:rPr>
          <w:i/>
          <w:color w:val="616161"/>
          <w:sz w:val="18"/>
        </w:rPr>
        <w:t>mediante</w:t>
      </w:r>
      <w:proofErr w:type="spellEnd"/>
      <w:r>
        <w:rPr>
          <w:i/>
          <w:color w:val="616161"/>
          <w:sz w:val="18"/>
        </w:rPr>
        <w:t xml:space="preserve"> </w:t>
      </w:r>
      <w:proofErr w:type="spellStart"/>
      <w:r>
        <w:rPr>
          <w:i/>
          <w:color w:val="616161"/>
          <w:sz w:val="18"/>
        </w:rPr>
        <w:t>SQLAlchemy</w:t>
      </w:r>
      <w:proofErr w:type="spellEnd"/>
      <w:r>
        <w:rPr>
          <w:i/>
          <w:color w:val="616161"/>
          <w:sz w:val="18"/>
        </w:rPr>
        <w:t>.</w:t>
      </w:r>
    </w:p>
    <w:p w14:paraId="2E673C53" w14:textId="77777777" w:rsidR="002B5525" w:rsidRDefault="002B5525">
      <w:pPr>
        <w:spacing w:after="240"/>
        <w:jc w:val="center"/>
        <w:rPr>
          <w:i/>
          <w:color w:val="616161"/>
          <w:sz w:val="18"/>
        </w:rPr>
      </w:pPr>
    </w:p>
    <w:p w14:paraId="1D59310B" w14:textId="77777777" w:rsidR="002B5525" w:rsidRDefault="002B5525">
      <w:pPr>
        <w:spacing w:after="240"/>
        <w:jc w:val="center"/>
        <w:rPr>
          <w:i/>
          <w:color w:val="616161"/>
          <w:sz w:val="18"/>
        </w:rPr>
      </w:pPr>
    </w:p>
    <w:p w14:paraId="100A7359" w14:textId="192FFC0C" w:rsidR="002B5525" w:rsidRDefault="002B5525" w:rsidP="002B5525">
      <w:pPr>
        <w:pStyle w:val="Ttulo2"/>
      </w:pPr>
      <w:r>
        <w:rPr>
          <w:color w:val="1A237E"/>
          <w:sz w:val="28"/>
        </w:rPr>
        <w:t>4.</w:t>
      </w:r>
      <w:r>
        <w:rPr>
          <w:color w:val="1A237E"/>
          <w:sz w:val="28"/>
        </w:rPr>
        <w:t>3</w:t>
      </w:r>
      <w:r>
        <w:rPr>
          <w:color w:val="1A237E"/>
          <w:sz w:val="28"/>
        </w:rPr>
        <w:t xml:space="preserve"> Motor de Carga Transaccional</w:t>
      </w:r>
      <w:r>
        <w:rPr>
          <w:color w:val="1A237E"/>
          <w:sz w:val="28"/>
        </w:rPr>
        <w:t xml:space="preserve"> Para Ventas</w:t>
      </w:r>
      <w:r>
        <w:rPr>
          <w:color w:val="1A237E"/>
          <w:sz w:val="28"/>
        </w:rPr>
        <w:t xml:space="preserve"> (PostgreSQL)</w:t>
      </w:r>
    </w:p>
    <w:p w14:paraId="4A20EA3C" w14:textId="1DDCB91E" w:rsidR="002B5525" w:rsidRDefault="002B5525" w:rsidP="002B5525">
      <w:pPr>
        <w:spacing w:after="120"/>
        <w:rPr>
          <w:color w:val="37474F"/>
        </w:rPr>
      </w:pPr>
      <w:r w:rsidRPr="002B5525">
        <w:rPr>
          <w:color w:val="37474F"/>
        </w:rPr>
        <w:t xml:space="preserve">Se </w:t>
      </w:r>
      <w:proofErr w:type="spellStart"/>
      <w:r w:rsidRPr="002B5525">
        <w:rPr>
          <w:color w:val="37474F"/>
        </w:rPr>
        <w:t>utiliza</w:t>
      </w:r>
      <w:proofErr w:type="spellEnd"/>
      <w:r w:rsidRPr="002B5525">
        <w:rPr>
          <w:color w:val="37474F"/>
        </w:rPr>
        <w:t xml:space="preserve"> </w:t>
      </w:r>
      <w:proofErr w:type="spellStart"/>
      <w:r w:rsidRPr="002B5525">
        <w:rPr>
          <w:color w:val="37474F"/>
        </w:rPr>
        <w:t>una</w:t>
      </w:r>
      <w:proofErr w:type="spellEnd"/>
      <w:r w:rsidRPr="002B5525">
        <w:rPr>
          <w:color w:val="37474F"/>
        </w:rPr>
        <w:t xml:space="preserve"> </w:t>
      </w:r>
      <w:proofErr w:type="spellStart"/>
      <w:r w:rsidRPr="002B5525">
        <w:rPr>
          <w:color w:val="37474F"/>
        </w:rPr>
        <w:t>arquitectura</w:t>
      </w:r>
      <w:proofErr w:type="spellEnd"/>
      <w:r w:rsidRPr="002B5525">
        <w:rPr>
          <w:color w:val="37474F"/>
        </w:rPr>
        <w:t xml:space="preserve"> de </w:t>
      </w:r>
      <w:proofErr w:type="spellStart"/>
      <w:r w:rsidRPr="002B5525">
        <w:rPr>
          <w:color w:val="37474F"/>
        </w:rPr>
        <w:t>transacciones</w:t>
      </w:r>
      <w:proofErr w:type="spellEnd"/>
      <w:r w:rsidRPr="002B5525">
        <w:rPr>
          <w:color w:val="37474F"/>
        </w:rPr>
        <w:t xml:space="preserve"> </w:t>
      </w:r>
      <w:proofErr w:type="spellStart"/>
      <w:r w:rsidRPr="002B5525">
        <w:rPr>
          <w:color w:val="37474F"/>
        </w:rPr>
        <w:t>seguras</w:t>
      </w:r>
      <w:proofErr w:type="spellEnd"/>
      <w:r w:rsidRPr="002B5525">
        <w:rPr>
          <w:color w:val="37474F"/>
        </w:rPr>
        <w:t xml:space="preserve"> para </w:t>
      </w:r>
      <w:proofErr w:type="spellStart"/>
      <w:r w:rsidRPr="002B5525">
        <w:rPr>
          <w:color w:val="37474F"/>
        </w:rPr>
        <w:t>garantizar</w:t>
      </w:r>
      <w:proofErr w:type="spellEnd"/>
      <w:r w:rsidRPr="002B5525">
        <w:rPr>
          <w:color w:val="37474F"/>
        </w:rPr>
        <w:t xml:space="preserve"> la </w:t>
      </w:r>
      <w:proofErr w:type="spellStart"/>
      <w:r w:rsidRPr="002B5525">
        <w:rPr>
          <w:color w:val="37474F"/>
        </w:rPr>
        <w:t>integridad</w:t>
      </w:r>
      <w:proofErr w:type="spellEnd"/>
      <w:r w:rsidRPr="002B5525">
        <w:rPr>
          <w:color w:val="37474F"/>
        </w:rPr>
        <w:t xml:space="preserve"> de las </w:t>
      </w:r>
      <w:proofErr w:type="spellStart"/>
      <w:r w:rsidRPr="002B5525">
        <w:rPr>
          <w:color w:val="37474F"/>
        </w:rPr>
        <w:t>dimensiones</w:t>
      </w:r>
      <w:proofErr w:type="spellEnd"/>
      <w:r w:rsidRPr="002B5525">
        <w:rPr>
          <w:color w:val="37474F"/>
        </w:rPr>
        <w:t xml:space="preserve"> </w:t>
      </w:r>
      <w:proofErr w:type="spellStart"/>
      <w:r w:rsidRPr="002B5525">
        <w:rPr>
          <w:color w:val="37474F"/>
        </w:rPr>
        <w:t>en</w:t>
      </w:r>
      <w:proofErr w:type="spellEnd"/>
      <w:r w:rsidRPr="002B5525">
        <w:rPr>
          <w:color w:val="37474F"/>
        </w:rPr>
        <w:t xml:space="preserve"> </w:t>
      </w:r>
      <w:proofErr w:type="spellStart"/>
      <w:r w:rsidRPr="002B5525">
        <w:rPr>
          <w:color w:val="37474F"/>
        </w:rPr>
        <w:t>el</w:t>
      </w:r>
      <w:proofErr w:type="spellEnd"/>
      <w:r w:rsidRPr="002B5525">
        <w:rPr>
          <w:color w:val="37474F"/>
        </w:rPr>
        <w:t xml:space="preserve"> </w:t>
      </w:r>
      <w:r w:rsidRPr="002B5525">
        <w:rPr>
          <w:b/>
          <w:bCs/>
          <w:color w:val="37474F"/>
        </w:rPr>
        <w:t>Star Schema</w:t>
      </w:r>
      <w:r w:rsidRPr="002B5525">
        <w:rPr>
          <w:color w:val="37474F"/>
        </w:rPr>
        <w:t xml:space="preserve"> (</w:t>
      </w:r>
      <w:proofErr w:type="spellStart"/>
      <w:r w:rsidRPr="002B5525">
        <w:rPr>
          <w:color w:val="37474F"/>
        </w:rPr>
        <w:t>modelo</w:t>
      </w:r>
      <w:proofErr w:type="spellEnd"/>
      <w:r w:rsidRPr="002B5525">
        <w:rPr>
          <w:color w:val="37474F"/>
        </w:rPr>
        <w:t xml:space="preserve"> </w:t>
      </w:r>
      <w:proofErr w:type="spellStart"/>
      <w:r w:rsidRPr="002B5525">
        <w:rPr>
          <w:color w:val="37474F"/>
        </w:rPr>
        <w:t>en</w:t>
      </w:r>
      <w:proofErr w:type="spellEnd"/>
      <w:r w:rsidRPr="002B5525">
        <w:rPr>
          <w:color w:val="37474F"/>
        </w:rPr>
        <w:t xml:space="preserve"> </w:t>
      </w:r>
      <w:proofErr w:type="spellStart"/>
      <w:r w:rsidRPr="002B5525">
        <w:rPr>
          <w:color w:val="37474F"/>
        </w:rPr>
        <w:t>estrella</w:t>
      </w:r>
      <w:proofErr w:type="spellEnd"/>
      <w:r w:rsidRPr="002B5525">
        <w:rPr>
          <w:color w:val="37474F"/>
        </w:rPr>
        <w:t xml:space="preserve">). Esta </w:t>
      </w:r>
      <w:proofErr w:type="spellStart"/>
      <w:r w:rsidRPr="002B5525">
        <w:rPr>
          <w:color w:val="37474F"/>
        </w:rPr>
        <w:t>tabla</w:t>
      </w:r>
      <w:proofErr w:type="spellEnd"/>
      <w:r w:rsidRPr="002B5525">
        <w:rPr>
          <w:color w:val="37474F"/>
        </w:rPr>
        <w:t xml:space="preserve"> es fundamental para </w:t>
      </w:r>
      <w:proofErr w:type="spellStart"/>
      <w:r w:rsidRPr="002B5525">
        <w:rPr>
          <w:color w:val="37474F"/>
        </w:rPr>
        <w:t>obtener</w:t>
      </w:r>
      <w:proofErr w:type="spellEnd"/>
      <w:r w:rsidRPr="002B5525">
        <w:rPr>
          <w:color w:val="37474F"/>
        </w:rPr>
        <w:t xml:space="preserve"> las </w:t>
      </w:r>
      <w:proofErr w:type="spellStart"/>
      <w:r w:rsidRPr="002B5525">
        <w:rPr>
          <w:color w:val="37474F"/>
        </w:rPr>
        <w:t>medidas</w:t>
      </w:r>
      <w:proofErr w:type="spellEnd"/>
      <w:r w:rsidRPr="002B5525">
        <w:rPr>
          <w:color w:val="37474F"/>
        </w:rPr>
        <w:t xml:space="preserve"> y </w:t>
      </w:r>
      <w:proofErr w:type="spellStart"/>
      <w:r w:rsidRPr="002B5525">
        <w:rPr>
          <w:color w:val="37474F"/>
        </w:rPr>
        <w:t>estadísticas</w:t>
      </w:r>
      <w:proofErr w:type="spellEnd"/>
      <w:r w:rsidRPr="002B5525">
        <w:rPr>
          <w:color w:val="37474F"/>
        </w:rPr>
        <w:t xml:space="preserve"> </w:t>
      </w:r>
      <w:proofErr w:type="spellStart"/>
      <w:r w:rsidRPr="002B5525">
        <w:rPr>
          <w:color w:val="37474F"/>
        </w:rPr>
        <w:t>presentadas</w:t>
      </w:r>
      <w:proofErr w:type="spellEnd"/>
      <w:r w:rsidRPr="002B5525">
        <w:rPr>
          <w:color w:val="37474F"/>
        </w:rPr>
        <w:t xml:space="preserve"> </w:t>
      </w:r>
      <w:proofErr w:type="spellStart"/>
      <w:r w:rsidRPr="002B5525">
        <w:rPr>
          <w:color w:val="37474F"/>
        </w:rPr>
        <w:t>en</w:t>
      </w:r>
      <w:proofErr w:type="spellEnd"/>
      <w:r w:rsidRPr="002B5525">
        <w:rPr>
          <w:color w:val="37474F"/>
        </w:rPr>
        <w:t xml:space="preserve"> </w:t>
      </w:r>
      <w:proofErr w:type="spellStart"/>
      <w:r w:rsidRPr="002B5525">
        <w:rPr>
          <w:color w:val="37474F"/>
        </w:rPr>
        <w:t>el</w:t>
      </w:r>
      <w:proofErr w:type="spellEnd"/>
      <w:r w:rsidRPr="002B5525">
        <w:rPr>
          <w:color w:val="37474F"/>
        </w:rPr>
        <w:t xml:space="preserve"> </w:t>
      </w:r>
      <w:proofErr w:type="spellStart"/>
      <w:r w:rsidRPr="002B5525">
        <w:rPr>
          <w:color w:val="37474F"/>
        </w:rPr>
        <w:t>tablero</w:t>
      </w:r>
      <w:proofErr w:type="spellEnd"/>
      <w:r w:rsidRPr="002B5525">
        <w:rPr>
          <w:color w:val="37474F"/>
        </w:rPr>
        <w:t xml:space="preserve"> de </w:t>
      </w:r>
      <w:r w:rsidRPr="002B5525">
        <w:rPr>
          <w:b/>
          <w:bCs/>
          <w:color w:val="37474F"/>
        </w:rPr>
        <w:t>Power BI</w:t>
      </w:r>
      <w:r w:rsidRPr="002B5525">
        <w:rPr>
          <w:color w:val="37474F"/>
        </w:rPr>
        <w:t xml:space="preserve">, </w:t>
      </w:r>
      <w:proofErr w:type="spellStart"/>
      <w:r w:rsidRPr="002B5525">
        <w:rPr>
          <w:color w:val="37474F"/>
        </w:rPr>
        <w:t>permitiendo</w:t>
      </w:r>
      <w:proofErr w:type="spellEnd"/>
      <w:r w:rsidRPr="002B5525">
        <w:rPr>
          <w:color w:val="37474F"/>
        </w:rPr>
        <w:t xml:space="preserve"> </w:t>
      </w:r>
      <w:proofErr w:type="spellStart"/>
      <w:r w:rsidRPr="002B5525">
        <w:rPr>
          <w:color w:val="37474F"/>
        </w:rPr>
        <w:t>visualizar</w:t>
      </w:r>
      <w:proofErr w:type="spellEnd"/>
      <w:r w:rsidRPr="002B5525">
        <w:rPr>
          <w:color w:val="37474F"/>
        </w:rPr>
        <w:t xml:space="preserve"> </w:t>
      </w:r>
      <w:proofErr w:type="spellStart"/>
      <w:r w:rsidRPr="002B5525">
        <w:rPr>
          <w:color w:val="37474F"/>
        </w:rPr>
        <w:t>métricas</w:t>
      </w:r>
      <w:proofErr w:type="spellEnd"/>
      <w:r w:rsidRPr="002B5525">
        <w:rPr>
          <w:color w:val="37474F"/>
        </w:rPr>
        <w:t xml:space="preserve"> </w:t>
      </w:r>
      <w:proofErr w:type="spellStart"/>
      <w:r w:rsidRPr="002B5525">
        <w:rPr>
          <w:color w:val="37474F"/>
        </w:rPr>
        <w:t>estratégicas</w:t>
      </w:r>
      <w:proofErr w:type="spellEnd"/>
      <w:r w:rsidRPr="002B5525">
        <w:rPr>
          <w:color w:val="37474F"/>
        </w:rPr>
        <w:t xml:space="preserve"> que </w:t>
      </w:r>
      <w:proofErr w:type="spellStart"/>
      <w:r w:rsidRPr="002B5525">
        <w:rPr>
          <w:color w:val="37474F"/>
        </w:rPr>
        <w:t>ayudan</w:t>
      </w:r>
      <w:proofErr w:type="spellEnd"/>
      <w:r w:rsidRPr="002B5525">
        <w:rPr>
          <w:color w:val="37474F"/>
        </w:rPr>
        <w:t xml:space="preserve"> al </w:t>
      </w:r>
      <w:proofErr w:type="spellStart"/>
      <w:r>
        <w:rPr>
          <w:color w:val="37474F"/>
        </w:rPr>
        <w:t>equipo</w:t>
      </w:r>
      <w:proofErr w:type="spellEnd"/>
      <w:r w:rsidRPr="002B5525">
        <w:rPr>
          <w:color w:val="37474F"/>
        </w:rPr>
        <w:t xml:space="preserve"> a </w:t>
      </w:r>
      <w:proofErr w:type="spellStart"/>
      <w:r w:rsidRPr="002B5525">
        <w:rPr>
          <w:color w:val="37474F"/>
        </w:rPr>
        <w:t>tomar</w:t>
      </w:r>
      <w:proofErr w:type="spellEnd"/>
      <w:r w:rsidRPr="002B5525">
        <w:rPr>
          <w:color w:val="37474F"/>
        </w:rPr>
        <w:t xml:space="preserve"> </w:t>
      </w:r>
      <w:proofErr w:type="spellStart"/>
      <w:r w:rsidRPr="002B5525">
        <w:rPr>
          <w:color w:val="37474F"/>
        </w:rPr>
        <w:t>mejores</w:t>
      </w:r>
      <w:proofErr w:type="spellEnd"/>
      <w:r w:rsidRPr="002B5525">
        <w:rPr>
          <w:color w:val="37474F"/>
        </w:rPr>
        <w:t xml:space="preserve"> </w:t>
      </w:r>
      <w:proofErr w:type="spellStart"/>
      <w:r w:rsidRPr="002B5525">
        <w:rPr>
          <w:color w:val="37474F"/>
        </w:rPr>
        <w:t>decisiones</w:t>
      </w:r>
      <w:proofErr w:type="spellEnd"/>
      <w:r w:rsidRPr="002B5525">
        <w:rPr>
          <w:color w:val="37474F"/>
        </w:rPr>
        <w:t xml:space="preserve">, </w:t>
      </w:r>
      <w:proofErr w:type="spellStart"/>
      <w:r w:rsidRPr="002B5525">
        <w:rPr>
          <w:color w:val="37474F"/>
        </w:rPr>
        <w:t>generar</w:t>
      </w:r>
      <w:proofErr w:type="spellEnd"/>
      <w:r w:rsidRPr="002B5525">
        <w:rPr>
          <w:color w:val="37474F"/>
        </w:rPr>
        <w:t xml:space="preserve"> </w:t>
      </w:r>
      <w:proofErr w:type="spellStart"/>
      <w:r w:rsidRPr="002B5525">
        <w:rPr>
          <w:color w:val="37474F"/>
        </w:rPr>
        <w:t>impacto</w:t>
      </w:r>
      <w:proofErr w:type="spellEnd"/>
      <w:r w:rsidRPr="002B5525">
        <w:rPr>
          <w:color w:val="37474F"/>
        </w:rPr>
        <w:t xml:space="preserve"> y </w:t>
      </w:r>
      <w:proofErr w:type="spellStart"/>
      <w:r w:rsidRPr="002B5525">
        <w:rPr>
          <w:color w:val="37474F"/>
        </w:rPr>
        <w:t>aumentar</w:t>
      </w:r>
      <w:proofErr w:type="spellEnd"/>
      <w:r w:rsidRPr="002B5525">
        <w:rPr>
          <w:color w:val="37474F"/>
        </w:rPr>
        <w:t xml:space="preserve"> la </w:t>
      </w:r>
      <w:proofErr w:type="spellStart"/>
      <w:r w:rsidRPr="002B5525">
        <w:rPr>
          <w:color w:val="37474F"/>
        </w:rPr>
        <w:t>rentabilidad</w:t>
      </w:r>
      <w:proofErr w:type="spellEnd"/>
      <w:r w:rsidRPr="002B5525">
        <w:rPr>
          <w:color w:val="37474F"/>
        </w:rPr>
        <w:t xml:space="preserve"> de la </w:t>
      </w:r>
      <w:proofErr w:type="spellStart"/>
      <w:r w:rsidRPr="002B5525">
        <w:rPr>
          <w:color w:val="37474F"/>
        </w:rPr>
        <w:t>empresa</w:t>
      </w:r>
      <w:proofErr w:type="spellEnd"/>
      <w:r w:rsidRPr="002B5525">
        <w:rPr>
          <w:color w:val="37474F"/>
        </w:rPr>
        <w:t>.</w:t>
      </w:r>
    </w:p>
    <w:p w14:paraId="6DDCD052" w14:textId="77777777" w:rsidR="00D0580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0C325C7" wp14:editId="31AADE1C">
            <wp:extent cx="5486347" cy="7462520"/>
            <wp:effectExtent l="0" t="0" r="63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tor__Carga_Fact_Vent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3888" cy="748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C0E4" w14:textId="77777777" w:rsidR="00D0580D" w:rsidRDefault="00000000">
      <w:pPr>
        <w:spacing w:after="240"/>
        <w:jc w:val="center"/>
      </w:pPr>
      <w:proofErr w:type="spellStart"/>
      <w:r>
        <w:rPr>
          <w:i/>
          <w:color w:val="616161"/>
          <w:sz w:val="18"/>
        </w:rPr>
        <w:t>Figura</w:t>
      </w:r>
      <w:proofErr w:type="spellEnd"/>
      <w:r>
        <w:rPr>
          <w:i/>
          <w:color w:val="616161"/>
          <w:sz w:val="18"/>
        </w:rPr>
        <w:t xml:space="preserve"> 3: </w:t>
      </w:r>
      <w:proofErr w:type="spellStart"/>
      <w:r>
        <w:rPr>
          <w:i/>
          <w:color w:val="616161"/>
          <w:sz w:val="18"/>
        </w:rPr>
        <w:t>Componente</w:t>
      </w:r>
      <w:proofErr w:type="spellEnd"/>
      <w:r>
        <w:rPr>
          <w:i/>
          <w:color w:val="616161"/>
          <w:sz w:val="18"/>
        </w:rPr>
        <w:t xml:space="preserve"> de inyección masiva para la Tabla de Hechos (Fact Ventas).</w:t>
      </w:r>
    </w:p>
    <w:p w14:paraId="624565D0" w14:textId="1EEC5350" w:rsidR="002B5525" w:rsidRPr="002B5525" w:rsidRDefault="00000000" w:rsidP="002B5525">
      <w:pPr>
        <w:pStyle w:val="Ttulo1"/>
        <w:rPr>
          <w:color w:val="1A237E"/>
          <w:sz w:val="36"/>
        </w:rPr>
      </w:pPr>
      <w:r>
        <w:rPr>
          <w:color w:val="1A237E"/>
          <w:sz w:val="36"/>
        </w:rPr>
        <w:lastRenderedPageBreak/>
        <w:t>5. Tecnologías Usadas (Stack Tecnológico)</w:t>
      </w:r>
    </w:p>
    <w:p w14:paraId="04934C00" w14:textId="77777777" w:rsidR="002B5525" w:rsidRPr="002B5525" w:rsidRDefault="002B5525" w:rsidP="002B5525">
      <w:pPr>
        <w:spacing w:after="120"/>
        <w:rPr>
          <w:color w:val="37474F"/>
          <w:lang w:val="es-CO"/>
        </w:rPr>
      </w:pPr>
      <w:r w:rsidRPr="002B5525">
        <w:rPr>
          <w:color w:val="37474F"/>
          <w:lang w:val="es-CO"/>
        </w:rPr>
        <w:t xml:space="preserve">La selección del </w:t>
      </w:r>
      <w:proofErr w:type="spellStart"/>
      <w:r w:rsidRPr="002B5525">
        <w:rPr>
          <w:color w:val="37474F"/>
          <w:lang w:val="es-CO"/>
        </w:rPr>
        <w:t>stack</w:t>
      </w:r>
      <w:proofErr w:type="spellEnd"/>
      <w:r w:rsidRPr="002B5525">
        <w:rPr>
          <w:color w:val="37474F"/>
          <w:lang w:val="es-CO"/>
        </w:rPr>
        <w:t xml:space="preserve"> tecnológico se basó en criterios de escalabilidad, integridad de datos y experiencia de usuario (UX), empleando herramientas de estándar industrial para soluciones de analítica avanzada:</w:t>
      </w:r>
    </w:p>
    <w:p w14:paraId="21D760DC" w14:textId="77777777" w:rsidR="002B5525" w:rsidRPr="002B5525" w:rsidRDefault="002B5525" w:rsidP="002B5525">
      <w:pPr>
        <w:numPr>
          <w:ilvl w:val="0"/>
          <w:numId w:val="10"/>
        </w:numPr>
        <w:spacing w:after="120"/>
        <w:rPr>
          <w:color w:val="37474F"/>
          <w:lang w:val="es-CO"/>
        </w:rPr>
      </w:pPr>
      <w:r w:rsidRPr="002B5525">
        <w:rPr>
          <w:b/>
          <w:bCs/>
          <w:color w:val="37474F"/>
          <w:lang w:val="es-CO"/>
        </w:rPr>
        <w:t>Ingeniería de Datos y Procesamiento (Python Core):</w:t>
      </w:r>
    </w:p>
    <w:p w14:paraId="5EABAEFD" w14:textId="77777777" w:rsidR="002B5525" w:rsidRPr="002B5525" w:rsidRDefault="002B5525" w:rsidP="002B5525">
      <w:pPr>
        <w:numPr>
          <w:ilvl w:val="1"/>
          <w:numId w:val="10"/>
        </w:numPr>
        <w:spacing w:after="120"/>
        <w:rPr>
          <w:color w:val="37474F"/>
          <w:lang w:val="es-CO"/>
        </w:rPr>
      </w:pPr>
      <w:r w:rsidRPr="002B5525">
        <w:rPr>
          <w:b/>
          <w:bCs/>
          <w:color w:val="37474F"/>
          <w:lang w:val="es-CO"/>
        </w:rPr>
        <w:t xml:space="preserve">Pandas &amp; </w:t>
      </w:r>
      <w:proofErr w:type="spellStart"/>
      <w:r w:rsidRPr="002B5525">
        <w:rPr>
          <w:b/>
          <w:bCs/>
          <w:color w:val="37474F"/>
          <w:lang w:val="es-CO"/>
        </w:rPr>
        <w:t>NumPy</w:t>
      </w:r>
      <w:proofErr w:type="spellEnd"/>
      <w:r w:rsidRPr="002B5525">
        <w:rPr>
          <w:b/>
          <w:bCs/>
          <w:color w:val="37474F"/>
          <w:lang w:val="es-CO"/>
        </w:rPr>
        <w:t>:</w:t>
      </w:r>
      <w:r w:rsidRPr="002B5525">
        <w:rPr>
          <w:color w:val="37474F"/>
          <w:lang w:val="es-CO"/>
        </w:rPr>
        <w:t> Utilizados no solo para la manipulación básica, sino para el procesamiento de estructuras de datos matriciales (</w:t>
      </w:r>
      <w:proofErr w:type="spellStart"/>
      <w:r w:rsidRPr="002B5525">
        <w:rPr>
          <w:color w:val="37474F"/>
          <w:lang w:val="es-CO"/>
        </w:rPr>
        <w:t>DataFrames</w:t>
      </w:r>
      <w:proofErr w:type="spellEnd"/>
      <w:r w:rsidRPr="002B5525">
        <w:rPr>
          <w:color w:val="37474F"/>
          <w:lang w:val="es-CO"/>
        </w:rPr>
        <w:t>) que optimizan el uso de memoria al manejar cerca de 2 millones de registros.</w:t>
      </w:r>
    </w:p>
    <w:p w14:paraId="001974E9" w14:textId="32E1E3C9" w:rsidR="002B5525" w:rsidRPr="002B5525" w:rsidRDefault="002B5525" w:rsidP="002B5525">
      <w:pPr>
        <w:numPr>
          <w:ilvl w:val="1"/>
          <w:numId w:val="10"/>
        </w:numPr>
        <w:spacing w:after="120"/>
        <w:rPr>
          <w:color w:val="37474F"/>
          <w:lang w:val="es-CO"/>
        </w:rPr>
      </w:pPr>
      <w:r w:rsidRPr="002B5525">
        <w:rPr>
          <w:b/>
          <w:bCs/>
          <w:color w:val="37474F"/>
          <w:lang w:val="es-CO"/>
        </w:rPr>
        <w:t>Python-</w:t>
      </w:r>
      <w:proofErr w:type="spellStart"/>
      <w:r w:rsidRPr="002B5525">
        <w:rPr>
          <w:b/>
          <w:bCs/>
          <w:color w:val="37474F"/>
          <w:lang w:val="es-CO"/>
        </w:rPr>
        <w:t>Decouple</w:t>
      </w:r>
      <w:proofErr w:type="spellEnd"/>
      <w:r w:rsidRPr="002B5525">
        <w:rPr>
          <w:b/>
          <w:bCs/>
          <w:color w:val="37474F"/>
          <w:lang w:val="es-CO"/>
        </w:rPr>
        <w:t>:</w:t>
      </w:r>
      <w:r w:rsidRPr="002B5525">
        <w:rPr>
          <w:color w:val="37474F"/>
          <w:lang w:val="es-CO"/>
        </w:rPr>
        <w:t> Implementado para cumplir con estándares de seguridad (Principio de Separación de Responsabilidades), gestionando credenciales de base de datos de forma aislada mediante variables de entorno (.</w:t>
      </w:r>
      <w:proofErr w:type="spellStart"/>
      <w:r w:rsidRPr="002B5525">
        <w:rPr>
          <w:color w:val="37474F"/>
          <w:lang w:val="es-CO"/>
        </w:rPr>
        <w:t>env</w:t>
      </w:r>
      <w:proofErr w:type="spellEnd"/>
      <w:r w:rsidRPr="002B5525">
        <w:rPr>
          <w:color w:val="37474F"/>
          <w:lang w:val="es-CO"/>
        </w:rPr>
        <w:t>).</w:t>
      </w:r>
    </w:p>
    <w:p w14:paraId="6BA6C351" w14:textId="77777777" w:rsidR="002B5525" w:rsidRPr="002B5525" w:rsidRDefault="002B5525" w:rsidP="002B5525">
      <w:pPr>
        <w:numPr>
          <w:ilvl w:val="0"/>
          <w:numId w:val="10"/>
        </w:numPr>
        <w:spacing w:after="120"/>
        <w:rPr>
          <w:color w:val="37474F"/>
          <w:lang w:val="es-CO"/>
        </w:rPr>
      </w:pPr>
      <w:r w:rsidRPr="002B5525">
        <w:rPr>
          <w:b/>
          <w:bCs/>
          <w:color w:val="37474F"/>
          <w:lang w:val="es-CO"/>
        </w:rPr>
        <w:t>Arquitectura de Almacenamiento (PostgreSQL &amp; SQL):</w:t>
      </w:r>
    </w:p>
    <w:p w14:paraId="779FEEDD" w14:textId="77777777" w:rsidR="002B5525" w:rsidRPr="002B5525" w:rsidRDefault="002B5525" w:rsidP="002B5525">
      <w:pPr>
        <w:numPr>
          <w:ilvl w:val="1"/>
          <w:numId w:val="10"/>
        </w:numPr>
        <w:spacing w:after="120"/>
        <w:rPr>
          <w:color w:val="37474F"/>
          <w:lang w:val="es-CO"/>
        </w:rPr>
      </w:pPr>
      <w:r w:rsidRPr="002B5525">
        <w:rPr>
          <w:b/>
          <w:bCs/>
          <w:color w:val="37474F"/>
          <w:lang w:val="es-CO"/>
        </w:rPr>
        <w:t>PostgreSQL 13+:</w:t>
      </w:r>
      <w:r w:rsidRPr="002B5525">
        <w:rPr>
          <w:color w:val="37474F"/>
          <w:lang w:val="es-CO"/>
        </w:rPr>
        <w:t> Elegido como motor relacional por su robustez en transacciones ACID, asegurando que los datos de ventas LATAM mantengan su integridad referencial bajo un Modelo de Estrella.</w:t>
      </w:r>
    </w:p>
    <w:p w14:paraId="4D9B8640" w14:textId="77777777" w:rsidR="002B5525" w:rsidRPr="002B5525" w:rsidRDefault="002B5525" w:rsidP="002B5525">
      <w:pPr>
        <w:numPr>
          <w:ilvl w:val="1"/>
          <w:numId w:val="10"/>
        </w:numPr>
        <w:spacing w:after="120"/>
        <w:rPr>
          <w:color w:val="37474F"/>
          <w:lang w:val="es-CO"/>
        </w:rPr>
      </w:pPr>
      <w:proofErr w:type="spellStart"/>
      <w:r w:rsidRPr="002B5525">
        <w:rPr>
          <w:b/>
          <w:bCs/>
          <w:color w:val="37474F"/>
          <w:lang w:val="es-CO"/>
        </w:rPr>
        <w:t>SQLAlchemy</w:t>
      </w:r>
      <w:proofErr w:type="spellEnd"/>
      <w:r w:rsidRPr="002B5525">
        <w:rPr>
          <w:b/>
          <w:bCs/>
          <w:color w:val="37474F"/>
          <w:lang w:val="es-CO"/>
        </w:rPr>
        <w:t xml:space="preserve"> </w:t>
      </w:r>
      <w:proofErr w:type="spellStart"/>
      <w:r w:rsidRPr="002B5525">
        <w:rPr>
          <w:b/>
          <w:bCs/>
          <w:color w:val="37474F"/>
          <w:lang w:val="es-CO"/>
        </w:rPr>
        <w:t>Engine</w:t>
      </w:r>
      <w:proofErr w:type="spellEnd"/>
      <w:r w:rsidRPr="002B5525">
        <w:rPr>
          <w:b/>
          <w:bCs/>
          <w:color w:val="37474F"/>
          <w:lang w:val="es-CO"/>
        </w:rPr>
        <w:t>:</w:t>
      </w:r>
      <w:r w:rsidRPr="002B5525">
        <w:rPr>
          <w:color w:val="37474F"/>
          <w:lang w:val="es-CO"/>
        </w:rPr>
        <w:t> Implementado para gestionar el pool de conexiones y ejecutar transacciones atómicas de carga masiva, minimizando la latencia entre la capa de procesamiento (Python) y la persistencia de datos.</w:t>
      </w:r>
    </w:p>
    <w:p w14:paraId="627A29BA" w14:textId="77777777" w:rsidR="002B5525" w:rsidRPr="002B5525" w:rsidRDefault="002B5525" w:rsidP="002B5525">
      <w:pPr>
        <w:numPr>
          <w:ilvl w:val="0"/>
          <w:numId w:val="10"/>
        </w:numPr>
        <w:spacing w:after="120"/>
        <w:rPr>
          <w:color w:val="37474F"/>
          <w:lang w:val="es-CO"/>
        </w:rPr>
      </w:pPr>
      <w:r w:rsidRPr="002B5525">
        <w:rPr>
          <w:b/>
          <w:bCs/>
          <w:color w:val="37474F"/>
          <w:lang w:val="es-CO"/>
        </w:rPr>
        <w:t>Visualización y Comunicación de Hallazgos (</w:t>
      </w:r>
      <w:proofErr w:type="spellStart"/>
      <w:r w:rsidRPr="002B5525">
        <w:rPr>
          <w:b/>
          <w:bCs/>
          <w:color w:val="37474F"/>
          <w:lang w:val="es-CO"/>
        </w:rPr>
        <w:t>Frontend</w:t>
      </w:r>
      <w:proofErr w:type="spellEnd"/>
      <w:r w:rsidRPr="002B5525">
        <w:rPr>
          <w:b/>
          <w:bCs/>
          <w:color w:val="37474F"/>
          <w:lang w:val="es-CO"/>
        </w:rPr>
        <w:t>):</w:t>
      </w:r>
    </w:p>
    <w:p w14:paraId="039FB4AB" w14:textId="77777777" w:rsidR="002B5525" w:rsidRPr="002B5525" w:rsidRDefault="002B5525" w:rsidP="002B5525">
      <w:pPr>
        <w:numPr>
          <w:ilvl w:val="1"/>
          <w:numId w:val="10"/>
        </w:numPr>
        <w:spacing w:after="120"/>
        <w:rPr>
          <w:color w:val="37474F"/>
          <w:lang w:val="es-CO"/>
        </w:rPr>
      </w:pPr>
      <w:r w:rsidRPr="002B5525">
        <w:rPr>
          <w:b/>
          <w:bCs/>
          <w:color w:val="37474F"/>
          <w:lang w:val="es-CO"/>
        </w:rPr>
        <w:t>HTML5 &amp; CSS3 (</w:t>
      </w:r>
      <w:proofErr w:type="spellStart"/>
      <w:r w:rsidRPr="002B5525">
        <w:rPr>
          <w:b/>
          <w:bCs/>
          <w:color w:val="37474F"/>
          <w:lang w:val="es-CO"/>
        </w:rPr>
        <w:t>Glassmorphism</w:t>
      </w:r>
      <w:proofErr w:type="spellEnd"/>
      <w:r w:rsidRPr="002B5525">
        <w:rPr>
          <w:b/>
          <w:bCs/>
          <w:color w:val="37474F"/>
          <w:lang w:val="es-CO"/>
        </w:rPr>
        <w:t>):</w:t>
      </w:r>
      <w:r w:rsidRPr="002B5525">
        <w:rPr>
          <w:color w:val="37474F"/>
          <w:lang w:val="es-CO"/>
        </w:rPr>
        <w:t xml:space="preserve"> Diseño de interfaz premium mediante técnicas modernas de desenfoque de fondo y transparencias, mejorando la legibilidad de </w:t>
      </w:r>
      <w:proofErr w:type="spellStart"/>
      <w:r w:rsidRPr="002B5525">
        <w:rPr>
          <w:color w:val="37474F"/>
          <w:lang w:val="es-CO"/>
        </w:rPr>
        <w:t>KPIs</w:t>
      </w:r>
      <w:proofErr w:type="spellEnd"/>
      <w:r w:rsidRPr="002B5525">
        <w:rPr>
          <w:color w:val="37474F"/>
          <w:lang w:val="es-CO"/>
        </w:rPr>
        <w:t xml:space="preserve"> críticos sin fatiga visual.</w:t>
      </w:r>
    </w:p>
    <w:p w14:paraId="20E2AD69" w14:textId="77777777" w:rsidR="002B5525" w:rsidRPr="002B5525" w:rsidRDefault="002B5525" w:rsidP="002B5525">
      <w:pPr>
        <w:numPr>
          <w:ilvl w:val="1"/>
          <w:numId w:val="10"/>
        </w:numPr>
        <w:spacing w:after="120"/>
        <w:rPr>
          <w:color w:val="37474F"/>
          <w:lang w:val="es-CO"/>
        </w:rPr>
      </w:pPr>
      <w:r w:rsidRPr="002B5525">
        <w:rPr>
          <w:b/>
          <w:bCs/>
          <w:color w:val="37474F"/>
          <w:lang w:val="es-CO"/>
        </w:rPr>
        <w:t>Chart.js:</w:t>
      </w:r>
      <w:r w:rsidRPr="002B5525">
        <w:rPr>
          <w:color w:val="37474F"/>
          <w:lang w:val="es-CO"/>
        </w:rPr>
        <w:t xml:space="preserve"> Integración de gráficos dinámicos que permiten al </w:t>
      </w:r>
      <w:proofErr w:type="spellStart"/>
      <w:r w:rsidRPr="002B5525">
        <w:rPr>
          <w:color w:val="37474F"/>
          <w:lang w:val="es-CO"/>
        </w:rPr>
        <w:t>stakeholder</w:t>
      </w:r>
      <w:proofErr w:type="spellEnd"/>
      <w:r w:rsidRPr="002B5525">
        <w:rPr>
          <w:color w:val="37474F"/>
          <w:lang w:val="es-CO"/>
        </w:rPr>
        <w:t xml:space="preserve"> interactuar con los datos (</w:t>
      </w:r>
      <w:proofErr w:type="spellStart"/>
      <w:r w:rsidRPr="002B5525">
        <w:rPr>
          <w:color w:val="37474F"/>
          <w:lang w:val="es-CO"/>
        </w:rPr>
        <w:t>hover</w:t>
      </w:r>
      <w:proofErr w:type="spellEnd"/>
      <w:r w:rsidRPr="002B5525">
        <w:rPr>
          <w:color w:val="37474F"/>
          <w:lang w:val="es-CO"/>
        </w:rPr>
        <w:t xml:space="preserve"> </w:t>
      </w:r>
      <w:proofErr w:type="spellStart"/>
      <w:r w:rsidRPr="002B5525">
        <w:rPr>
          <w:color w:val="37474F"/>
          <w:lang w:val="es-CO"/>
        </w:rPr>
        <w:t>effects</w:t>
      </w:r>
      <w:proofErr w:type="spellEnd"/>
      <w:r w:rsidRPr="002B5525">
        <w:rPr>
          <w:color w:val="37474F"/>
          <w:lang w:val="es-CO"/>
        </w:rPr>
        <w:t>, filtros radiales) directamente desde el navegador.</w:t>
      </w:r>
    </w:p>
    <w:p w14:paraId="33234BD8" w14:textId="77777777" w:rsidR="002B5525" w:rsidRPr="002B5525" w:rsidRDefault="002B5525" w:rsidP="002B5525">
      <w:pPr>
        <w:numPr>
          <w:ilvl w:val="0"/>
          <w:numId w:val="10"/>
        </w:numPr>
        <w:spacing w:after="120"/>
        <w:rPr>
          <w:color w:val="37474F"/>
          <w:lang w:val="es-CO"/>
        </w:rPr>
      </w:pPr>
      <w:r w:rsidRPr="002B5525">
        <w:rPr>
          <w:b/>
          <w:bCs/>
          <w:color w:val="37474F"/>
          <w:lang w:val="es-CO"/>
        </w:rPr>
        <w:t xml:space="preserve">Business </w:t>
      </w:r>
      <w:proofErr w:type="spellStart"/>
      <w:r w:rsidRPr="002B5525">
        <w:rPr>
          <w:b/>
          <w:bCs/>
          <w:color w:val="37474F"/>
          <w:lang w:val="es-CO"/>
        </w:rPr>
        <w:t>Intelligence</w:t>
      </w:r>
      <w:proofErr w:type="spellEnd"/>
      <w:r w:rsidRPr="002B5525">
        <w:rPr>
          <w:b/>
          <w:bCs/>
          <w:color w:val="37474F"/>
          <w:lang w:val="es-CO"/>
        </w:rPr>
        <w:t xml:space="preserve"> &amp; </w:t>
      </w:r>
      <w:proofErr w:type="spellStart"/>
      <w:r w:rsidRPr="002B5525">
        <w:rPr>
          <w:b/>
          <w:bCs/>
          <w:color w:val="37474F"/>
          <w:lang w:val="es-CO"/>
        </w:rPr>
        <w:t>Storytelling</w:t>
      </w:r>
      <w:proofErr w:type="spellEnd"/>
      <w:r w:rsidRPr="002B5525">
        <w:rPr>
          <w:b/>
          <w:bCs/>
          <w:color w:val="37474F"/>
          <w:lang w:val="es-CO"/>
        </w:rPr>
        <w:t>:</w:t>
      </w:r>
    </w:p>
    <w:p w14:paraId="6C2167DF" w14:textId="77777777" w:rsidR="002B5525" w:rsidRPr="002B5525" w:rsidRDefault="002B5525" w:rsidP="002B5525">
      <w:pPr>
        <w:numPr>
          <w:ilvl w:val="1"/>
          <w:numId w:val="10"/>
        </w:numPr>
        <w:spacing w:after="120"/>
        <w:rPr>
          <w:color w:val="37474F"/>
          <w:lang w:val="es-CO"/>
        </w:rPr>
      </w:pPr>
      <w:r w:rsidRPr="002B5525">
        <w:rPr>
          <w:b/>
          <w:bCs/>
          <w:color w:val="37474F"/>
          <w:lang w:val="es-CO"/>
        </w:rPr>
        <w:t xml:space="preserve">Microsoft </w:t>
      </w:r>
      <w:proofErr w:type="spellStart"/>
      <w:r w:rsidRPr="002B5525">
        <w:rPr>
          <w:b/>
          <w:bCs/>
          <w:color w:val="37474F"/>
          <w:lang w:val="es-CO"/>
        </w:rPr>
        <w:t>Power</w:t>
      </w:r>
      <w:proofErr w:type="spellEnd"/>
      <w:r w:rsidRPr="002B5525">
        <w:rPr>
          <w:b/>
          <w:bCs/>
          <w:color w:val="37474F"/>
          <w:lang w:val="es-CO"/>
        </w:rPr>
        <w:t xml:space="preserve"> BI:</w:t>
      </w:r>
      <w:r w:rsidRPr="002B5525">
        <w:rPr>
          <w:color w:val="37474F"/>
          <w:lang w:val="es-CO"/>
        </w:rPr>
        <w:t xml:space="preserve"> Herramienta líder para la creación de cuadros de mando ejecutivos, conectada vía </w:t>
      </w:r>
      <w:proofErr w:type="spellStart"/>
      <w:r w:rsidRPr="002B5525">
        <w:rPr>
          <w:color w:val="37474F"/>
          <w:lang w:val="es-CO"/>
        </w:rPr>
        <w:t>DirectQuery</w:t>
      </w:r>
      <w:proofErr w:type="spellEnd"/>
      <w:r w:rsidRPr="002B5525">
        <w:rPr>
          <w:color w:val="37474F"/>
          <w:lang w:val="es-CO"/>
        </w:rPr>
        <w:t>/</w:t>
      </w:r>
      <w:proofErr w:type="spellStart"/>
      <w:r w:rsidRPr="002B5525">
        <w:rPr>
          <w:color w:val="37474F"/>
          <w:lang w:val="es-CO"/>
        </w:rPr>
        <w:t>Import</w:t>
      </w:r>
      <w:proofErr w:type="spellEnd"/>
      <w:r w:rsidRPr="002B5525">
        <w:rPr>
          <w:color w:val="37474F"/>
          <w:lang w:val="es-CO"/>
        </w:rPr>
        <w:t xml:space="preserve"> a PostgreSQL para transformar datos crudos en narrativa visual estratégica y hallazgos accionables.</w:t>
      </w:r>
    </w:p>
    <w:p w14:paraId="4D853E4E" w14:textId="2036A878" w:rsidR="00D0580D" w:rsidRDefault="00D0580D" w:rsidP="002B5525">
      <w:pPr>
        <w:spacing w:after="120"/>
      </w:pPr>
    </w:p>
    <w:sectPr w:rsidR="00D0580D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EB7497"/>
    <w:multiLevelType w:val="multilevel"/>
    <w:tmpl w:val="0CA2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1079520">
    <w:abstractNumId w:val="8"/>
  </w:num>
  <w:num w:numId="2" w16cid:durableId="114837708">
    <w:abstractNumId w:val="6"/>
  </w:num>
  <w:num w:numId="3" w16cid:durableId="1803889908">
    <w:abstractNumId w:val="5"/>
  </w:num>
  <w:num w:numId="4" w16cid:durableId="354963557">
    <w:abstractNumId w:val="4"/>
  </w:num>
  <w:num w:numId="5" w16cid:durableId="1746370383">
    <w:abstractNumId w:val="7"/>
  </w:num>
  <w:num w:numId="6" w16cid:durableId="1990817591">
    <w:abstractNumId w:val="3"/>
  </w:num>
  <w:num w:numId="7" w16cid:durableId="1497377388">
    <w:abstractNumId w:val="2"/>
  </w:num>
  <w:num w:numId="8" w16cid:durableId="461119061">
    <w:abstractNumId w:val="1"/>
  </w:num>
  <w:num w:numId="9" w16cid:durableId="1839148225">
    <w:abstractNumId w:val="0"/>
  </w:num>
  <w:num w:numId="10" w16cid:durableId="12762076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5525"/>
    <w:rsid w:val="00326F90"/>
    <w:rsid w:val="004C0CE8"/>
    <w:rsid w:val="00AA1D8D"/>
    <w:rsid w:val="00B47730"/>
    <w:rsid w:val="00CB0664"/>
    <w:rsid w:val="00D058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F95C70"/>
  <w14:defaultImageDpi w14:val="300"/>
  <w15:docId w15:val="{A8F6D545-2D6A-4347-95FE-5BE1978E0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525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5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81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107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122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735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Keiner Lara</cp:lastModifiedBy>
  <cp:revision>2</cp:revision>
  <dcterms:created xsi:type="dcterms:W3CDTF">2026-03-28T18:55:00Z</dcterms:created>
  <dcterms:modified xsi:type="dcterms:W3CDTF">2026-03-28T18:55:00Z</dcterms:modified>
  <cp:category/>
</cp:coreProperties>
</file>