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4318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467100" cy="131445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467100" cy="1314450"/>
                    </a:xfrm>
                    <a:prstGeom prst="rect">
                      <a:avLst/>
                    </a:prstGeom>
                    <a:noFill/>
                    <a:ln w="9525">
                      <a:noFill/>
                    </a:ln>
                  </pic:spPr>
                </pic:pic>
              </a:graphicData>
            </a:graphic>
          </wp:inline>
        </w:drawing>
      </w:r>
    </w:p>
    <w:p w14:paraId="2C34B35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jc w:val="center"/>
        <w:rPr>
          <w:rFonts w:hint="default" w:ascii="Times New Roman" w:hAnsi="Times New Roman" w:cs="Times New Roman"/>
          <w:b/>
          <w:bCs/>
          <w:lang w:val="en-US"/>
        </w:rPr>
      </w:pPr>
      <w:r>
        <w:rPr>
          <w:rFonts w:hint="default" w:ascii="Times New Roman" w:hAnsi="Times New Roman" w:cs="Times New Roman"/>
          <w:b/>
          <w:bCs/>
          <w:lang w:val="en-US"/>
        </w:rPr>
        <w:t>KEINIKA JOEL MOSES</w:t>
      </w:r>
    </w:p>
    <w:p w14:paraId="40263668">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M26B13/022</w:t>
      </w:r>
    </w:p>
    <w:p w14:paraId="2B2A47C0">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B36771</w:t>
      </w:r>
    </w:p>
    <w:p w14:paraId="33ECC575">
      <w:pPr>
        <w:rPr>
          <w:rFonts w:hint="default"/>
          <w:lang w:val="en-US"/>
        </w:rPr>
      </w:pPr>
    </w:p>
    <w:p w14:paraId="0579B7E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1</w:t>
      </w:r>
    </w:p>
    <w:p w14:paraId="77C2678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My position on this article is highly supportive, as it addresses a critical economic turning point for developing nations like Uganda. Embracing and actively investing in Artificial Intelligence (AI) is no longer a luxury or a futuristic concept; it is an urgent developmental requirement. Rather than viewing AI merely as a foreign consumer product, the article rightly frames it as an economic infrastructure</w:t>
      </w:r>
      <w:r>
        <w:rPr>
          <w:rFonts w:hint="default" w:ascii="Times New Roman" w:hAnsi="Times New Roman" w:eastAsia="sans-serif" w:cs="Times New Roman"/>
          <w:color w:val="1F1F1F"/>
          <w:sz w:val="24"/>
          <w:szCs w:val="24"/>
          <w:lang w:val="en-US"/>
        </w:rPr>
        <w:t xml:space="preserve"> </w:t>
      </w:r>
      <w:r>
        <w:rPr>
          <w:rFonts w:hint="default" w:ascii="Times New Roman" w:hAnsi="Times New Roman" w:eastAsia="sans-serif" w:cs="Times New Roman"/>
          <w:color w:val="1F1F1F"/>
          <w:sz w:val="24"/>
          <w:szCs w:val="24"/>
        </w:rPr>
        <w:t xml:space="preserve">a foundational "new soil" required to cultivate local wealth and boost sector productivity. While the challenges of initial capital costs, digital divides, and infrastructural deficits are real, a proactive approach to AI governance and investment is the only way to ensure Uganda remains globally competitive. </w:t>
      </w:r>
    </w:p>
    <w:p w14:paraId="198A76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lang w:val="en-US"/>
        </w:rPr>
      </w:pPr>
    </w:p>
    <w:p w14:paraId="26ED168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The article highlights that digitalization and artificial intelligence present historic opportunities for developing nations to accelerate economic growth and enhance public service delivery. However, a significant digital divide persists, as nearly one-third of the global population remains offline and millions lack the foundational digital IDs necessary to access modern services. To bridge this gap, tech experts and policymakers advocate for a major shift from being passive technology consumers to becoming active investors in digital infrastructure and local talent. Practical "small AI" solutions, such as localized mobile applications, offer immediate entry points to revolutionize vital sectors like agriculture, healthcare, and education. Furthermore, developing robust national data strategies and ethical governance frameworks is essential to ensure these technological advancements are safe, inclusive, and tailored to local economic realities. Ultimately, the piece underscores that treating AI readiness as an optional path is no longer viable if a nation aims to compete in the modern global economy. </w:t>
      </w:r>
    </w:p>
    <w:p w14:paraId="3746E3F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7116DFB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lang w:val="en-US"/>
        </w:rPr>
      </w:pPr>
      <w:r>
        <w:rPr>
          <w:rFonts w:hint="default" w:ascii="Times New Roman" w:hAnsi="Times New Roman" w:eastAsia="sans-serif" w:cs="Times New Roman"/>
          <w:b/>
          <w:bCs/>
          <w:color w:val="1F1F1F"/>
          <w:sz w:val="24"/>
          <w:szCs w:val="24"/>
        </w:rPr>
        <w:t>The Necessity of Mindset Shifts in Policy</w:t>
      </w:r>
      <w:r>
        <w:rPr>
          <w:rFonts w:hint="default" w:ascii="Times New Roman" w:hAnsi="Times New Roman" w:eastAsia="sans-serif" w:cs="Times New Roman"/>
          <w:color w:val="1F1F1F"/>
          <w:sz w:val="24"/>
          <w:szCs w:val="24"/>
        </w:rPr>
        <w:t xml:space="preserve"> The article’s emphasis on transforming how leadership perceives AI is highly commendable. Often, technological advancements are siloed strictly within ICT ministries, isolated from broader national economic plans. By urging central bank governors, finance ministers, and key economic decision-makers to sit at the tech table, the article accurately diagnoses why many digital strategies stall. Without aligning financial policies, national budgets, and tax incentives to support cloud computing, hardware imports, and data infrastructure, an AI strategy remains a theoretical ambition rather than an economic reality. </w:t>
      </w:r>
      <w:r>
        <w:rPr>
          <w:rFonts w:hint="default" w:ascii="Times New Roman" w:hAnsi="Times New Roman" w:eastAsia="sans-serif" w:cs="Times New Roman"/>
          <w:color w:val="1F1F1F"/>
          <w:sz w:val="24"/>
          <w:szCs w:val="24"/>
          <w:lang w:val="en-US"/>
        </w:rPr>
        <w:t xml:space="preserve">   </w:t>
      </w:r>
    </w:p>
    <w:p w14:paraId="302E985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lang w:val="en-US"/>
        </w:rPr>
      </w:pPr>
    </w:p>
    <w:p w14:paraId="4FC862E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The Practicality of "Small AI" and Localized Solutions</w:t>
      </w:r>
      <w:r>
        <w:rPr>
          <w:rFonts w:hint="default" w:ascii="Times New Roman" w:hAnsi="Times New Roman" w:eastAsia="sans-serif" w:cs="Times New Roman"/>
          <w:color w:val="1F1F1F"/>
          <w:sz w:val="24"/>
          <w:szCs w:val="24"/>
        </w:rPr>
        <w:t xml:space="preserve"> One of the most valuable insights from the discussion is the focus on "small AI" and domain-specific applications tailored to the domestic context. Developing nations do not necessarily need to compete in building resource-heavy, generalized global models; instead, the focus should be on building localized tools that understand regional languages and address specific gaps. Applying predictive algorithms to smallholder agriculture or using mobile-based diagnostics for rural health workers democratizes the technology. This approach directly demonstrates that AI can solve real-world problems for ordinary citizens, rather than just serving elite urban populations. </w:t>
      </w:r>
    </w:p>
    <w:p w14:paraId="22AD1EC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45E17E7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Confronting Infrastructure and Sovereign Data Realities</w:t>
      </w:r>
      <w:r>
        <w:rPr>
          <w:rFonts w:hint="default" w:ascii="Times New Roman" w:hAnsi="Times New Roman" w:eastAsia="sans-serif" w:cs="Times New Roman"/>
          <w:color w:val="1F1F1F"/>
          <w:sz w:val="24"/>
          <w:szCs w:val="24"/>
        </w:rPr>
        <w:t xml:space="preserve"> While the promise of AI is immense, the article correctly juxtaposes this potential against harsh local infrastructure limitations. High costs of computing power, fragmented data systems built in institutional silos, and uneven internet connectivity across rural areas present significant hurdles to widespread adoption. To make an AI revolution sustainable, governments must deliberately invest in open, interoperable digital public infrastructure and incentivize the creation of national data repositories. Addressing these structural roadblocks while ensuring data protection and privacy is the only way to build a resilient and sovereign digital ecosystem. </w:t>
      </w:r>
    </w:p>
    <w:p w14:paraId="05CEFF4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40C8D8B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Target Audience:</w:t>
      </w:r>
      <w:r>
        <w:rPr>
          <w:rFonts w:hint="default" w:ascii="Times New Roman" w:hAnsi="Times New Roman" w:eastAsia="sans-serif" w:cs="Times New Roman"/>
          <w:color w:val="1F1F1F"/>
          <w:sz w:val="24"/>
          <w:szCs w:val="24"/>
        </w:rPr>
        <w:t xml:space="preserve"> The Ministry of Finance, Planning and Economic Development (MoFPED) policymakers and economic planners in Uganda. </w:t>
      </w:r>
      <w:r>
        <w:rPr>
          <w:rFonts w:hint="default" w:eastAsia="sans-serif" w:cs="Times New Roman"/>
          <w:color w:val="1F1F1F"/>
          <w:sz w:val="24"/>
          <w:szCs w:val="24"/>
          <w:lang w:val="en-US"/>
        </w:rPr>
        <w:t xml:space="preserve"> </w:t>
      </w:r>
      <w:bookmarkStart w:id="0" w:name="_GoBack"/>
      <w:bookmarkEnd w:id="0"/>
      <w:r>
        <w:rPr>
          <w:rFonts w:hint="default" w:ascii="Times New Roman" w:hAnsi="Times New Roman" w:eastAsia="sans-serif" w:cs="Times New Roman"/>
          <w:b/>
          <w:bCs/>
          <w:color w:val="1F1F1F"/>
          <w:sz w:val="24"/>
          <w:szCs w:val="24"/>
        </w:rPr>
        <w:t>Reason:</w:t>
      </w:r>
      <w:r>
        <w:rPr>
          <w:rFonts w:hint="default" w:ascii="Times New Roman" w:hAnsi="Times New Roman" w:eastAsia="sans-serif" w:cs="Times New Roman"/>
          <w:color w:val="1F1F1F"/>
          <w:sz w:val="24"/>
          <w:szCs w:val="24"/>
        </w:rPr>
        <w:t xml:space="preserve"> I highly recommend this article to economic planners because it shifts the narrative of AI away from being an isolated IT project to being a fundamental platform for national wealth creation. As Uganda structures its long-term development strategies, planners need to understand that investing in digital public infrastructure, artificial intelligence skills, and compute capacity yields massive multiplier effects across agriculture, tax administration, and commerce. This piece provides them with the clear economic justification needed to prioritize and integrate technology funding into core national budgetary frameworks.</w:t>
      </w:r>
      <w:r>
        <w:rPr>
          <w:rFonts w:hint="default" w:eastAsia="sans-serif" w:cs="Times New Roman"/>
          <w:color w:val="1F1F1F"/>
          <w:sz w:val="24"/>
          <w:szCs w:val="24"/>
          <w:lang w:val="en-US"/>
        </w:rPr>
        <w:t xml:space="preserve"> </w:t>
      </w:r>
      <w:r>
        <w:rPr>
          <w:rFonts w:hint="default" w:ascii="Times New Roman" w:hAnsi="Times New Roman" w:eastAsia="sans-serif" w:cs="Times New Roman"/>
          <w:color w:val="1F1F1F"/>
          <w:sz w:val="24"/>
          <w:szCs w:val="24"/>
        </w:rPr>
        <w:fldChar w:fldCharType="begin"/>
      </w:r>
      <w:r>
        <w:rPr>
          <w:rFonts w:hint="default" w:ascii="Times New Roman" w:hAnsi="Times New Roman" w:eastAsia="sans-serif" w:cs="Times New Roman"/>
          <w:color w:val="1F1F1F"/>
          <w:sz w:val="24"/>
          <w:szCs w:val="24"/>
        </w:rPr>
        <w:instrText xml:space="preserve"> HYPERLINK "https://www.youtube.com/watch?v=SguFdvfPVRA" \t "https://gemini.google.com/app/_blank" </w:instrText>
      </w:r>
      <w:r>
        <w:rPr>
          <w:rFonts w:hint="default" w:ascii="Times New Roman" w:hAnsi="Times New Roman" w:eastAsia="sans-serif" w:cs="Times New Roman"/>
          <w:color w:val="1F1F1F"/>
          <w:sz w:val="24"/>
          <w:szCs w:val="24"/>
        </w:rPr>
        <w:fldChar w:fldCharType="separate"/>
      </w:r>
      <w:r>
        <w:rPr>
          <w:rStyle w:val="5"/>
          <w:rFonts w:hint="default" w:ascii="Times New Roman" w:hAnsi="Times New Roman" w:eastAsia="sans-serif" w:cs="Times New Roman"/>
          <w:color w:val="1F1F1F"/>
          <w:sz w:val="24"/>
          <w:szCs w:val="24"/>
        </w:rPr>
        <w:t>Artificial Intelligence Is Here to Stay | Uganda Urged to Streamline AI Ecosystem</w:t>
      </w:r>
      <w:r>
        <w:rPr>
          <w:rFonts w:hint="default" w:ascii="Times New Roman" w:hAnsi="Times New Roman" w:eastAsia="sans-serif" w:cs="Times New Roman"/>
          <w:color w:val="1F1F1F"/>
          <w:sz w:val="24"/>
          <w:szCs w:val="24"/>
        </w:rPr>
        <w:fldChar w:fldCharType="end"/>
      </w:r>
      <w:r>
        <w:rPr>
          <w:rFonts w:hint="default" w:eastAsia="sans-serif" w:cs="Times New Roman"/>
          <w:color w:val="1F1F1F"/>
          <w:sz w:val="24"/>
          <w:szCs w:val="24"/>
          <w:lang w:val="en-US"/>
        </w:rPr>
        <w:t xml:space="preserve"> </w:t>
      </w:r>
      <w:r>
        <w:rPr>
          <w:rFonts w:hint="default" w:ascii="Times New Roman" w:hAnsi="Times New Roman" w:eastAsia="sans-serif" w:cs="Times New Roman"/>
          <w:color w:val="1F1F1F"/>
          <w:sz w:val="24"/>
          <w:szCs w:val="24"/>
        </w:rPr>
        <w:t xml:space="preserve">This broadcast from the Uganda Deep Technology Summit discusses the current fragmentation and funding challenges within Uganda's AI ecosystem, expanding on the article's call for strategic support and national investment. </w:t>
      </w:r>
    </w:p>
    <w:p w14:paraId="083D72D7">
      <w:pPr>
        <w:rPr>
          <w:rFonts w:hint="default" w:ascii="Times New Roman" w:hAnsi="Times New Roman" w:cs="Times New Roman"/>
          <w:b/>
          <w:bCs/>
          <w:sz w:val="24"/>
          <w:szCs w:val="24"/>
          <w:lang w:val="en-US"/>
        </w:rPr>
      </w:pPr>
    </w:p>
    <w:p w14:paraId="307FED25">
      <w:pPr>
        <w:rPr>
          <w:rFonts w:hint="default" w:ascii="Times New Roman" w:hAnsi="Times New Roman"/>
          <w:b/>
          <w:bCs/>
          <w:sz w:val="24"/>
          <w:szCs w:val="24"/>
          <w:lang w:val="en-US"/>
        </w:rPr>
      </w:pPr>
      <w:r>
        <w:rPr>
          <w:rFonts w:hint="default" w:ascii="Times New Roman" w:hAnsi="Times New Roman" w:cs="Times New Roman"/>
          <w:b/>
          <w:bCs/>
          <w:sz w:val="24"/>
          <w:szCs w:val="24"/>
          <w:lang w:val="en-US"/>
        </w:rPr>
        <w:t>Source;</w:t>
      </w:r>
      <w:r>
        <w:rPr>
          <w:rFonts w:hint="default" w:ascii="Times New Roman" w:hAnsi="Times New Roman" w:cs="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"https://www.monitor.co.ug/uganda/business/technology/digitising-why-we-need-to-leverage-and-invest-in-ai-5332126" </w:instrText>
      </w:r>
      <w:r>
        <w:rPr>
          <w:rFonts w:hint="default" w:ascii="Times New Roman" w:hAnsi="Times New Roman"/>
          <w:b w:val="0"/>
          <w:bCs w:val="0"/>
          <w:sz w:val="24"/>
          <w:szCs w:val="24"/>
          <w:lang w:val="en-US"/>
        </w:rPr>
        <w:fldChar w:fldCharType="separate"/>
      </w:r>
      <w:r>
        <w:rPr>
          <w:rStyle w:val="5"/>
          <w:rFonts w:hint="default" w:ascii="Times New Roman" w:hAnsi="Times New Roman"/>
          <w:b w:val="0"/>
          <w:bCs w:val="0"/>
          <w:sz w:val="24"/>
          <w:szCs w:val="24"/>
          <w:lang w:val="en-US"/>
        </w:rPr>
        <w:t>https://www.monitor.co.ug/uganda/business/technology/digitising-why-we-need-to-leverage-and-invest-in-ai-5332126</w:t>
      </w:r>
      <w:r>
        <w:rPr>
          <w:rFonts w:hint="default" w:ascii="Times New Roman" w:hAnsi="Times New Roman"/>
          <w:b w:val="0"/>
          <w:bCs w:val="0"/>
          <w:sz w:val="24"/>
          <w:szCs w:val="24"/>
          <w:lang w:val="en-US"/>
        </w:rPr>
        <w:fldChar w:fldCharType="end"/>
      </w:r>
      <w:r>
        <w:rPr>
          <w:rFonts w:hint="default" w:ascii="Times New Roman" w:hAnsi="Times New Roman"/>
          <w:b w:val="0"/>
          <w:bCs w:val="0"/>
          <w:sz w:val="24"/>
          <w:szCs w:val="24"/>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A1F92"/>
    <w:rsid w:val="1A7E05E7"/>
    <w:rsid w:val="21AA1F92"/>
    <w:rsid w:val="305E3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2026-05-27T14:51:00Z</dcterms:created>
  <dc:creator>dell</dc:creator>
  <cp:lastModifiedBy>dell</cp:lastModifiedBy>
  <dcterms:modified xsi:type="dcterms:W3CDTF">2026-06-15T08:30:55Z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088DF220F4FF4875B3781B6D81CFCA84_11</vt:lpwstr>
  </property>
</Properties>
</file>