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DuckLake separates the metadata describing the lake house from the actual data files in my project, Duck Lake maintains the catalog and table information, while the actual table data is written as parquet files in Rust FS object storage. This separation is useful compared to putting everything into one self-contained database file because the two parts of the system have different jobs. Catalog manages information about Shema's tables, snapshots, and which files belong to which version of the data. RustFS handles the larger objects and can scale independently from the catalog.</w:t>
      </w:r>
    </w:p>
    <w:p w:rsidR="00000000" w:rsidDel="00000000" w:rsidP="00000000" w:rsidRDefault="00000000" w:rsidRPr="00000000" w14:paraId="0000000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especially useful for the computer vision data in my project. I did not need to put large images, video fragments, and all the lake house metadata into one database file. The storage layer could hold the larger files, while Duck Lake provided a structured SQL interface over the data. It also means that clients can query a relatively small catalog to determine which files belong to a particular snapshot, instead of trying to discover the state of the lake house by scanning the storage system. </w:t>
      </w:r>
    </w:p>
    <w:p w:rsidR="00000000" w:rsidDel="00000000" w:rsidP="00000000" w:rsidRDefault="00000000" w:rsidRPr="00000000" w14:paraId="000000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consistency implications when several clients read at the same time. A client should see the files associated with a consistent duct leak snapshot rather than an arbitrary mix of files from different changes. Because the snapshot represents a particular state of the lakehouse, readers can continue to refer to a consistent version even while newer changes create additional snapshots. The catalog is therefore important because it determines which physical data files logically belong to a version being read.</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DuckLake models change using new data and metadata rather than simply destroying the previous state. Updates can be represented as delete plus insert operations, and changes result on immutable snapshots. The snapshots should record the logical state of the lake house at different points in its history. Older parquet files can therefore remain available even after a newer snapshot changes, which records are considered current.</w:t>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demonstrated this directly with silver dot Coco under score annotations. Before making a deliberately bad change, snapshot 11436 contained 714 rows. I deleted all annotations associated with one image, producing Snapchat 11437 with only 694 rows. My installed DuckLake version did not have the ducklake_rollback function I initially attempted to call. Instead, I restored the current table from the known good historical snapshot. This created snapshot 11438 and brought the current table back to 714 rows. This result demonstrates the same important recovery principle, an older snapshot can be.Recover data after a bad change. The cost is that keeping history requires additional storage and metadata. Old data files cannot necessarily be immediately discarded if historical snapshots still reference them. As snapshots accumulate, both the catalog history and retain data files can grow. I saw an extreme example during development because an early use of thousands of individual inserts generated a very large number of snapshots. In a long running production system, snapshot retention and cleanup would therefore have to be managed instead of keeping every historical version forever.</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DuckLake does not provide traditional primary key and constraint enforcement, so I have to enforce data quality through the transformation pipeline itself. I treated the raw layers of the least restrictive layer and performed validation when producing silver and gold. I also explicitly cast columns to the intended types during the silver transformation. IDs became integer types, URIs became strings, and bounding box measurements became numeric values. This prevented the Silver layer from simply inheriting whatever types happen to arrive during ingestion. </w:t>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was then produced only from the clean Silver tables. The COCO gold table joined images and annotations using image_id, while the VisDrone Gold table selected valid fragment records. Therefore, quality came from SQL transformations, deduplication, null filtering, type normalization, and controlled joins rather than the database constraints. In a larger system, I would add explicit validation queries that fail the pipeline where uniqueness or quality expectations are violated.</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insert into a duck like raw table involves both the catalog and object storage. Suppose I insert one row into a raw table. From the SQL user's perspective, this looks like an ordinary database operation, but DuckLake casts the logical operation to persistent lakehouse state. </w:t>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Duck Lake processes the SQL operation and records a corresponding metadata in its catalog. The catalog tracks information needed to understand the table and its physical data files. The change also produces a new snapshot representing the new logical state of the lakehouse. </w:t>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data itself does not simply become bytes inside the catalog. DuckLake writes table data into Parquet data files. In my setup those files are stored through the S3 compatible storage item provided by RustFS. The catalog then contains the metadata that allows DuckLake to determine that Parquet object belongs to the table and snapshot.</w:t>
      </w:r>
    </w:p>
    <w:p w:rsidR="00000000" w:rsidDel="00000000" w:rsidP="00000000" w:rsidRDefault="00000000" w:rsidRPr="00000000" w14:paraId="0000000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confirmed this connection early on the project by creating a small raw.test_data table and then observing the DuckLake data appearing in the RustFS lakehouse bucket. The important distinction is that the catalog contains the information needed to interpret the lake house, while RustFS contains the physical objects. The snapshot ties a logical version to the table of the appropriate stored data files.</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Putting the catalog in an SQL database gives DuckLake a centralized place for managing table metadata and transactional state. This differs from the file only table formats, where much of the table metadata is itself represented by files placed alongside the data. </w:t>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SQL catalog makes several operations convenient. DuckLake can query structured metadata directly, track snapshots, determine which files belong to a table version, and coordinate changes without discovering the table state by repeatedly listing and interpreting files in object storage. SQL databases are already designed for structured queries and transactional metadata operations, so they are in a natural place to manage this information. </w:t>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trade-off. The lakehouse is no longer represented only by a directory of portable files. The SQL catalog becomes an important piece of state that must also be available, backed up and kept consistent. Moving or recreating the system can therefore require both the catalog and object storage rather than copying only a set of data files. It also introduces another component into architecture. </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project, the tradeoff was worthwhile because DuckLake gave DuckDB a straightforward way to manage snapshots and table versions while RustFS independently handled object storage. This project demonstrated that a lakehouse is not just a folder containing Parquet files, this catalog is what gives those files their table structure, history and meaning.</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image in video bites never enter my duck leg tables because they are large unstructured objects and do not need to be stored directly inside relational rows. Instead I uploaded  COCO images and generated VisDrone MP4 fragments to RustFS. DuckLake stores metadata and references to those objects. </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Coco rows contain information such as image ID, image URI, image dimensions, category IDs, bounding boxes, and area. An image_uri looks like s3://lakehouse/assets/coco/images/coco_139.jpg.  The URI tells a later application where to retrieve the actual image when it is needed. </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idea is even more important for video. I processed 300 frames from each of two VisDrone sequences and divided each sequence into 100 frame fragments, producing six MP4 files. The fragment index contains fields including sequence_name, fragment_ID, fragment_rri, start_frame, end_frame, start_time, end_time, n_objects and the silver layer, object_density. </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this information is stored as structured metadata, DuckDB can answer questions about the videos without decoding or scanning the MP4 files. </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Duck DB only needs to scan a small fragment index table to answer this query. It does not need to download six MP4 files, decode hundreds of frames, and inspect their contents. The query identified fragment 1 of uav0000117_02622_v as the busiest fragment with 5,502 annotations and object density of 55.02. </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separation is one of the most important design ideas in the project. SQL is used to decide which media is useful and object storage is accessed only if the application actually needs the corresponding image of your video bytes. This makes the lake house much more practical for AI workloads involving large and structured data.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