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Georgia" w:cs="Georgia" w:eastAsia="Georgia" w:hAnsi="Georgia"/>
          <w:b/>
          <w:bCs/>
          <w:color w:val="2A7F8E"/>
          <w:spacing w:val="200"/>
          <w:sz w:val="28"/>
          <w:szCs w:val="28"/>
        </w:rPr>
        <w:t xml:space="preserve">COASTAL WEALTH</w:t>
      </w:r>
    </w:p>
    <w:p>
      <w:pPr>
        <w:pBdr>
          <w:bottom w:val="single" w:color="C9973B" w:sz="6" w:space="8"/>
        </w:pBdr>
        <w:spacing w:after="120"/>
        <w:jc w:val="center"/>
      </w:pPr>
      <w:r>
        <w:rPr>
          <w:rFonts w:ascii="Georgia" w:cs="Georgia" w:eastAsia="Georgia" w:hAnsi="Georgia"/>
          <w:b/>
          <w:bCs/>
          <w:color w:val="1B2A4A"/>
          <w:sz w:val="52"/>
          <w:szCs w:val="52"/>
        </w:rPr>
        <w:t xml:space="preserve">Product Requirements Document</w:t>
      </w:r>
    </w:p>
    <w:p>
      <w:pPr>
        <w:spacing w:after="200"/>
      </w:pPr>
    </w:p>
    <w:p>
      <w:pPr>
        <w:spacing w:after="80"/>
        <w:jc w:val="center"/>
      </w:pPr>
      <w:r>
        <w:rPr>
          <w:rFonts w:ascii="Georgia" w:cs="Georgia" w:eastAsia="Georgia" w:hAnsi="Georgia"/>
          <w:color w:val="2A7F8E"/>
          <w:sz w:val="36"/>
          <w:szCs w:val="36"/>
        </w:rPr>
        <w:t xml:space="preserve">AdvisorConnect: The Case Board</w:t>
      </w:r>
    </w:p>
    <w:p>
      <w:pPr>
        <w:spacing w:after="80"/>
        <w:jc w:val="center"/>
      </w:pPr>
      <w:r>
        <w:rPr>
          <w:rFonts w:ascii="Arial" w:cs="Arial" w:eastAsia="Arial" w:hAnsi="Arial"/>
          <w:i/>
          <w:iCs/>
          <w:color w:val="1B2A4A"/>
          <w:sz w:val="24"/>
          <w:szCs w:val="24"/>
        </w:rPr>
        <w:t xml:space="preserve">An Internal Mentorship &amp; Co-Work Matching Platform</w:t>
      </w:r>
    </w:p>
    <w:p>
      <w:pPr>
        <w:spacing w:after="800"/>
      </w:pPr>
    </w:p>
    <w:p>
      <w:pPr>
        <w:spacing w:after="80"/>
        <w:jc w:val="center"/>
      </w:pPr>
      <w:r>
        <w:rPr>
          <w:rFonts w:ascii="Arial" w:cs="Arial" w:eastAsia="Arial" w:hAnsi="Arial"/>
          <w:color w:val="1B2A4A"/>
          <w:sz w:val="22"/>
          <w:szCs w:val="22"/>
        </w:rPr>
        <w:t xml:space="preserve">Prepared for: Kristen — VP, Training &amp; Development</w:t>
      </w:r>
    </w:p>
    <w:p>
      <w:pPr>
        <w:spacing w:after="80"/>
        <w:jc w:val="center"/>
      </w:pPr>
      <w:r>
        <w:rPr>
          <w:rFonts w:ascii="Arial" w:cs="Arial" w:eastAsia="Arial" w:hAnsi="Arial"/>
          <w:color w:val="1B2A4A"/>
          <w:sz w:val="22"/>
          <w:szCs w:val="22"/>
        </w:rPr>
        <w:t xml:space="preserve">Prepared by: Keir Dillon — Interim CMO, Coastal Wealth</w:t>
      </w:r>
    </w:p>
    <w:p>
      <w:pPr>
        <w:spacing w:after="80"/>
        <w:jc w:val="center"/>
      </w:pPr>
      <w:r>
        <w:rPr>
          <w:rFonts w:ascii="Arial" w:cs="Arial" w:eastAsia="Arial" w:hAnsi="Arial"/>
          <w:color w:val="2A7F8E"/>
          <w:sz w:val="22"/>
          <w:szCs w:val="22"/>
        </w:rPr>
        <w:t xml:space="preserve">Date: April 2026  |  Version 1.0  |  Status: Draft for Review</w:t>
      </w:r>
    </w:p>
    <w:p>
      <w:pPr>
        <w:spacing w:after="80"/>
        <w:jc w:val="center"/>
      </w:pPr>
      <w:r>
        <w:rPr>
          <w:rFonts w:ascii="Arial" w:cs="Arial" w:eastAsia="Arial" w:hAnsi="Arial"/>
          <w:i/>
          <w:iCs/>
          <w:color w:val="888888"/>
          <w:sz w:val="20"/>
          <w:szCs w:val="20"/>
        </w:rPr>
        <w:t xml:space="preserve">Classification: Internal — Coastal Wealth 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pPr>
      <w:r>
        <w:rPr>
          <w:rFonts w:ascii="Arial" w:cs="Arial" w:eastAsia="Arial" w:hAnsi="Arial"/>
          <w:color w:val="1B2A4A"/>
          <w:sz w:val="22"/>
          <w:szCs w:val="22"/>
        </w:rPr>
        <w:t xml:space="preserve">Coastal Wealth’s 350+ advisor network represents an extraordinary concentration of expertise spanning dozens of specialties, client segments, and geographic markets across Florida and Georgia. Today, that expertise is largely siloed — a junior advisor preparing for a high-stakes meeting with a complex prospect has no structured way to discover that a seasoned colleague two offices over has deep experience in exactly that scenario.</w:t>
      </w:r>
    </w:p>
    <w:p>
      <w:pPr>
        <w:spacing w:after="160"/>
      </w:pPr>
      <w:r>
        <w:rPr>
          <w:rFonts w:ascii="Arial" w:cs="Arial" w:eastAsia="Arial" w:hAnsi="Arial"/>
          <w:color w:val="1B2A4A"/>
          <w:sz w:val="22"/>
          <w:szCs w:val="22"/>
        </w:rPr>
        <w:t xml:space="preserve">AdvisorConnect (working title: “The Case Board”) solves this by creating a lightweight, internal matching platform where advisors post upcoming client opportunities and experienced colleagues opt in to mentor, shadow, or co-work on them. Think of it as the surgical case board from Grey’s Anatomy meets a Tinder-style browse-and-match interface — purpose-built for financial advisors in a compliance-conscious environment.</w:t>
      </w:r>
    </w:p>
    <w:p>
      <w:pPr>
        <w:spacing w:after="160"/>
      </w:pPr>
      <w:r>
        <w:rPr>
          <w:rFonts w:ascii="Arial" w:cs="Arial" w:eastAsia="Arial" w:hAnsi="Arial"/>
          <w:color w:val="1B2A4A"/>
          <w:sz w:val="22"/>
          <w:szCs w:val="22"/>
        </w:rPr>
        <w:t xml:space="preserve">The platform is designed exclusively for internal Coastal Wealth use. It is not a SaaS product for external sale. The goal is to accelerate advisor development, improve client outcomes, increase close rates on complex cases, and strengthen the connective tissue of Coastal Wealth’s collaborative culture — a key differentiator in recruiting.</w:t>
      </w:r>
    </w:p>
    <w:p>
      <w:pPr>
        <w:pStyle w:val="Heading1"/>
      </w:pPr>
      <w:r>
        <w:t xml:space="preserve">2. Problem Statement</w:t>
      </w:r>
    </w:p>
    <w:p>
      <w:pPr>
        <w:pStyle w:val="Heading2"/>
      </w:pPr>
      <w:r>
        <w:t xml:space="preserve">2.1 Current State</w:t>
      </w:r>
    </w:p>
    <w:p>
      <w:pPr>
        <w:pStyle w:val="ListParagraph"/>
        <w:numPr>
          <w:ilvl w:val="0"/>
          <w:numId w:val="2"/>
        </w:numPr>
        <w:spacing w:after="80"/>
      </w:pPr>
      <w:r>
        <w:rPr>
          <w:rFonts w:ascii="Arial" w:cs="Arial" w:eastAsia="Arial" w:hAnsi="Arial"/>
          <w:color w:val="1B2A4A"/>
          <w:sz w:val="22"/>
          <w:szCs w:val="22"/>
        </w:rPr>
        <w:t xml:space="preserve">Junior and mid-level advisors frequently encounter prospect meetings that exceed their experience level (business succession, complex estate planning, specialized industries, high-net-worth scenarios).</w:t>
      </w:r>
    </w:p>
    <w:p>
      <w:pPr>
        <w:pStyle w:val="ListParagraph"/>
        <w:numPr>
          <w:ilvl w:val="0"/>
          <w:numId w:val="2"/>
        </w:numPr>
        <w:spacing w:after="80"/>
      </w:pPr>
      <w:r>
        <w:rPr>
          <w:rFonts w:ascii="Arial" w:cs="Arial" w:eastAsia="Arial" w:hAnsi="Arial"/>
          <w:color w:val="1B2A4A"/>
          <w:sz w:val="22"/>
          <w:szCs w:val="22"/>
        </w:rPr>
        <w:t xml:space="preserve">There is no structured mechanism for advisors to signal they need support, discover available mentors, or coordinate co-work opportunities.</w:t>
      </w:r>
    </w:p>
    <w:p>
      <w:pPr>
        <w:pStyle w:val="ListParagraph"/>
        <w:numPr>
          <w:ilvl w:val="0"/>
          <w:numId w:val="2"/>
        </w:numPr>
        <w:spacing w:after="80"/>
      </w:pPr>
      <w:r>
        <w:rPr>
          <w:rFonts w:ascii="Arial" w:cs="Arial" w:eastAsia="Arial" w:hAnsi="Arial"/>
          <w:color w:val="1B2A4A"/>
          <w:sz w:val="22"/>
          <w:szCs w:val="22"/>
        </w:rPr>
        <w:t xml:space="preserve">Senior advisors with deep specialization have limited visibility into where their expertise could create the most impact across the network.</w:t>
      </w:r>
    </w:p>
    <w:p>
      <w:pPr>
        <w:pStyle w:val="ListParagraph"/>
        <w:numPr>
          <w:ilvl w:val="0"/>
          <w:numId w:val="2"/>
        </w:numPr>
        <w:spacing w:after="80"/>
      </w:pPr>
      <w:r>
        <w:rPr>
          <w:rFonts w:ascii="Arial" w:cs="Arial" w:eastAsia="Arial" w:hAnsi="Arial"/>
          <w:color w:val="1B2A4A"/>
          <w:sz w:val="22"/>
          <w:szCs w:val="22"/>
        </w:rPr>
        <w:t xml:space="preserve">Mentorship happens informally and unevenly — dependent on office proximity, personal relationships, and chance encounters.</w:t>
      </w:r>
    </w:p>
    <w:p>
      <w:pPr>
        <w:pStyle w:val="ListParagraph"/>
        <w:numPr>
          <w:ilvl w:val="0"/>
          <w:numId w:val="2"/>
        </w:numPr>
        <w:spacing w:after="80"/>
      </w:pPr>
      <w:r>
        <w:rPr>
          <w:rFonts w:ascii="Arial" w:cs="Arial" w:eastAsia="Arial" w:hAnsi="Arial"/>
          <w:color w:val="1B2A4A"/>
          <w:sz w:val="22"/>
          <w:szCs w:val="22"/>
        </w:rPr>
        <w:t xml:space="preserve">The Training &amp; Development team lacks data on mentorship activity, skill gaps, and collaboration patterns across the advisor base.</w:t>
      </w:r>
    </w:p>
    <w:p>
      <w:pPr>
        <w:pStyle w:val="Heading2"/>
      </w:pPr>
      <w:r>
        <w:t xml:space="preserve">2.2 Impact of Inaction</w:t>
      </w:r>
    </w:p>
    <w:p>
      <w:pPr>
        <w:pStyle w:val="ListParagraph"/>
        <w:numPr>
          <w:ilvl w:val="0"/>
          <w:numId w:val="2"/>
        </w:numPr>
        <w:spacing w:after="80"/>
      </w:pPr>
      <w:r>
        <w:rPr>
          <w:rFonts w:ascii="Arial" w:cs="Arial" w:eastAsia="Arial" w:hAnsi="Arial"/>
          <w:color w:val="1B2A4A"/>
          <w:sz w:val="22"/>
          <w:szCs w:val="22"/>
        </w:rPr>
        <w:t xml:space="preserve">Lost revenue from under-prepared meetings with high-value prospects.</w:t>
      </w:r>
    </w:p>
    <w:p>
      <w:pPr>
        <w:pStyle w:val="ListParagraph"/>
        <w:numPr>
          <w:ilvl w:val="0"/>
          <w:numId w:val="2"/>
        </w:numPr>
        <w:spacing w:after="80"/>
      </w:pPr>
      <w:r>
        <w:rPr>
          <w:rFonts w:ascii="Arial" w:cs="Arial" w:eastAsia="Arial" w:hAnsi="Arial"/>
          <w:color w:val="1B2A4A"/>
          <w:sz w:val="22"/>
          <w:szCs w:val="22"/>
        </w:rPr>
        <w:t xml:space="preserve">Slower advisor development timelines and higher early-career attrition.</w:t>
      </w:r>
    </w:p>
    <w:p>
      <w:pPr>
        <w:pStyle w:val="ListParagraph"/>
        <w:numPr>
          <w:ilvl w:val="0"/>
          <w:numId w:val="2"/>
        </w:numPr>
        <w:spacing w:after="80"/>
      </w:pPr>
      <w:r>
        <w:rPr>
          <w:rFonts w:ascii="Arial" w:cs="Arial" w:eastAsia="Arial" w:hAnsi="Arial"/>
          <w:color w:val="1B2A4A"/>
          <w:sz w:val="22"/>
          <w:szCs w:val="22"/>
        </w:rPr>
        <w:t xml:space="preserve">Missed cross-selling and deepening opportunities on complex cases.</w:t>
      </w:r>
    </w:p>
    <w:p>
      <w:pPr>
        <w:pStyle w:val="ListParagraph"/>
        <w:numPr>
          <w:ilvl w:val="0"/>
          <w:numId w:val="2"/>
        </w:numPr>
        <w:spacing w:after="80"/>
      </w:pPr>
      <w:r>
        <w:rPr>
          <w:rFonts w:ascii="Arial" w:cs="Arial" w:eastAsia="Arial" w:hAnsi="Arial"/>
          <w:color w:val="1B2A4A"/>
          <w:sz w:val="22"/>
          <w:szCs w:val="22"/>
        </w:rPr>
        <w:t xml:space="preserve">Inability to leverage Coastal Wealth’s scale as a competitive advantage in recruiting (“you’ll never work alone on a case you’re not ready for”).</w:t>
      </w:r>
    </w:p>
    <w:p>
      <w:pPr>
        <w:pStyle w:val="Heading1"/>
      </w:pPr>
      <w:r>
        <w:t xml:space="preserve">3. Product Vision &amp; Goals</w:t>
      </w:r>
    </w:p>
    <w:p>
      <w:pPr>
        <w:pStyle w:val="Heading2"/>
      </w:pPr>
      <w:r>
        <w:t xml:space="preserve">3.1 Vision Statement</w:t>
      </w:r>
    </w:p>
    <w:p>
      <w:pPr>
        <w:spacing w:after="160"/>
      </w:pPr>
      <w:r>
        <w:rPr>
          <w:rFonts w:ascii="Arial" w:cs="Arial" w:eastAsia="Arial" w:hAnsi="Arial"/>
          <w:color w:val="1B2A4A"/>
          <w:sz w:val="22"/>
          <w:szCs w:val="22"/>
        </w:rPr>
        <w:t xml:space="preserve">Every Coastal Wealth advisor walks into every meeting with the right expertise at the table — whether it’s their own or a colleague’s. AdvisorConnect makes the full depth of Coastal Wealth’s collective knowledge discoverable, matchable, and actionable in under two minutes.</w:t>
      </w:r>
    </w:p>
    <w:p>
      <w:pPr>
        <w:pStyle w:val="Heading2"/>
      </w:pPr>
      <w:r>
        <w:t xml:space="preserve">3.2 Success Metrics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200"/>
        <w:gridCol w:w="2660"/>
      </w:tblGrid>
      <w:tr>
        <w:tc>
          <w:tcPr>
            <w:tcW w:type="dxa" w:w="3500"/>
            <w:tcBorders>
              <w:top w:val="single" w:color="E0E4E8" w:sz="1"/>
              <w:left w:val="single" w:color="E0E4E8" w:sz="1"/>
              <w:bottom w:val="single" w:color="E0E4E8" w:sz="1"/>
              <w:right w:val="single" w:color="E0E4E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E0E4E8" w:sz="1"/>
              <w:left w:val="single" w:color="E0E4E8" w:sz="1"/>
              <w:bottom w:val="single" w:color="E0E4E8" w:sz="1"/>
              <w:right w:val="single" w:color="E0E4E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 (6 months)</w:t>
            </w:r>
          </w:p>
        </w:tc>
        <w:tc>
          <w:tcPr>
            <w:tcW w:type="dxa" w:w="2660"/>
            <w:tcBorders>
              <w:top w:val="single" w:color="E0E4E8" w:sz="1"/>
              <w:left w:val="single" w:color="E0E4E8" w:sz="1"/>
              <w:bottom w:val="single" w:color="E0E4E8" w:sz="1"/>
              <w:right w:val="single" w:color="E0E4E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5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Weekly active case posts</w:t>
            </w:r>
          </w:p>
        </w:tc>
        <w:tc>
          <w:tcPr>
            <w:tcW w:type="dxa" w:w="3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15+ new cases/week</w:t>
            </w:r>
          </w:p>
        </w:tc>
        <w:tc>
          <w:tcPr>
            <w:tcW w:type="dxa" w:w="26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Platform analytics</w:t>
            </w:r>
          </w:p>
        </w:tc>
      </w:tr>
      <w:tr>
        <w:tc>
          <w:tcPr>
            <w:tcW w:type="dxa" w:w="35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Match acceptance rate</w:t>
            </w:r>
          </w:p>
        </w:tc>
        <w:tc>
          <w:tcPr>
            <w:tcW w:type="dxa" w:w="3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&gt;40% of posts get a match</w:t>
            </w:r>
          </w:p>
        </w:tc>
        <w:tc>
          <w:tcPr>
            <w:tcW w:type="dxa" w:w="26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Platform analytics</w:t>
            </w:r>
          </w:p>
        </w:tc>
      </w:tr>
      <w:tr>
        <w:tc>
          <w:tcPr>
            <w:tcW w:type="dxa" w:w="35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Senior advisor participation</w:t>
            </w:r>
          </w:p>
        </w:tc>
        <w:tc>
          <w:tcPr>
            <w:tcW w:type="dxa" w:w="3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50+ active senior profiles</w:t>
            </w:r>
          </w:p>
        </w:tc>
        <w:tc>
          <w:tcPr>
            <w:tcW w:type="dxa" w:w="26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Profile count</w:t>
            </w:r>
          </w:p>
        </w:tc>
      </w:tr>
      <w:tr>
        <w:tc>
          <w:tcPr>
            <w:tcW w:type="dxa" w:w="35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Advisor satisfaction (NPS)</w:t>
            </w:r>
          </w:p>
        </w:tc>
        <w:tc>
          <w:tcPr>
            <w:tcW w:type="dxa" w:w="3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&gt;60 NPS from participants</w:t>
            </w:r>
          </w:p>
        </w:tc>
        <w:tc>
          <w:tcPr>
            <w:tcW w:type="dxa" w:w="26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Quarterly survey</w:t>
            </w:r>
          </w:p>
        </w:tc>
      </w:tr>
      <w:tr>
        <w:tc>
          <w:tcPr>
            <w:tcW w:type="dxa" w:w="35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Time to first match</w:t>
            </w:r>
          </w:p>
        </w:tc>
        <w:tc>
          <w:tcPr>
            <w:tcW w:type="dxa" w:w="3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&lt;48 hours average</w:t>
            </w:r>
          </w:p>
        </w:tc>
        <w:tc>
          <w:tcPr>
            <w:tcW w:type="dxa" w:w="26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Platform analytics</w:t>
            </w:r>
          </w:p>
        </w:tc>
      </w:tr>
      <w:tr>
        <w:tc>
          <w:tcPr>
            <w:tcW w:type="dxa" w:w="35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Close rate lift on matched cases</w:t>
            </w:r>
          </w:p>
        </w:tc>
        <w:tc>
          <w:tcPr>
            <w:tcW w:type="dxa" w:w="3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&gt;15% vs. unmatched baseline</w:t>
            </w:r>
          </w:p>
        </w:tc>
        <w:tc>
          <w:tcPr>
            <w:tcW w:type="dxa" w:w="26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CRM cross-reference</w:t>
            </w:r>
          </w:p>
        </w:tc>
      </w:tr>
    </w:tbl>
    <w:p>
      <w:pPr>
        <w:spacing w:after="200"/>
      </w:pPr>
    </w:p>
    <w:p>
      <w:pPr>
        <w:pStyle w:val="Heading1"/>
      </w:pPr>
      <w:r>
        <w:t xml:space="preserve">4. User Personas</w:t>
      </w:r>
    </w:p>
    <w:p>
      <w:pPr>
        <w:pStyle w:val="Heading2"/>
      </w:pPr>
      <w:r>
        <w:t xml:space="preserve">4.1 The Case Poster (Junior/Mid-Level Advisor)</w:t>
      </w:r>
    </w:p>
    <w:p>
      <w:pPr>
        <w:pStyle w:val="ListParagraph"/>
        <w:numPr>
          <w:ilvl w:val="0"/>
          <w:numId w:val="2"/>
        </w:numPr>
        <w:spacing w:after="80"/>
      </w:pPr>
      <w:r>
        <w:rPr>
          <w:rFonts w:ascii="Arial" w:cs="Arial" w:eastAsia="Arial" w:hAnsi="Arial"/>
          <w:b/>
          <w:bCs/>
          <w:color w:val="1B2A4A"/>
          <w:sz w:val="22"/>
          <w:szCs w:val="22"/>
        </w:rPr>
        <w:t xml:space="preserve">Profile: </w:t>
      </w:r>
      <w:r>
        <w:rPr>
          <w:rFonts w:ascii="Arial" w:cs="Arial" w:eastAsia="Arial" w:hAnsi="Arial"/>
          <w:color w:val="1B2A4A"/>
          <w:sz w:val="22"/>
          <w:szCs w:val="22"/>
        </w:rPr>
        <w:t xml:space="preserve">1–7 years in practice, building their book, regularly encountering prospects or client situations that stretch beyond their core competency.</w:t>
      </w:r>
    </w:p>
    <w:p>
      <w:pPr>
        <w:pStyle w:val="ListParagraph"/>
        <w:numPr>
          <w:ilvl w:val="0"/>
          <w:numId w:val="2"/>
        </w:numPr>
        <w:spacing w:after="80"/>
      </w:pPr>
      <w:r>
        <w:rPr>
          <w:rFonts w:ascii="Arial" w:cs="Arial" w:eastAsia="Arial" w:hAnsi="Arial"/>
          <w:b/>
          <w:bCs/>
          <w:color w:val="1B2A4A"/>
          <w:sz w:val="22"/>
          <w:szCs w:val="22"/>
        </w:rPr>
        <w:t xml:space="preserve">Motivation: </w:t>
      </w:r>
      <w:r>
        <w:rPr>
          <w:rFonts w:ascii="Arial" w:cs="Arial" w:eastAsia="Arial" w:hAnsi="Arial"/>
          <w:color w:val="1B2A4A"/>
          <w:sz w:val="22"/>
          <w:szCs w:val="22"/>
        </w:rPr>
        <w:t xml:space="preserve">Wants to close the deal, not lose the client. Willing to share credit for a better outcome. Wants to learn from the experience.</w:t>
      </w:r>
    </w:p>
    <w:p>
      <w:pPr>
        <w:pStyle w:val="ListParagraph"/>
        <w:numPr>
          <w:ilvl w:val="0"/>
          <w:numId w:val="2"/>
        </w:numPr>
        <w:spacing w:after="80"/>
      </w:pPr>
      <w:r>
        <w:rPr>
          <w:rFonts w:ascii="Arial" w:cs="Arial" w:eastAsia="Arial" w:hAnsi="Arial"/>
          <w:b/>
          <w:bCs/>
          <w:color w:val="1B2A4A"/>
          <w:sz w:val="22"/>
          <w:szCs w:val="22"/>
        </w:rPr>
        <w:t xml:space="preserve">Pain point: </w:t>
      </w:r>
      <w:r>
        <w:rPr>
          <w:rFonts w:ascii="Arial" w:cs="Arial" w:eastAsia="Arial" w:hAnsi="Arial"/>
          <w:color w:val="1B2A4A"/>
          <w:sz w:val="22"/>
          <w:szCs w:val="22"/>
        </w:rPr>
        <w:t xml:space="preserve">Doesn’t know who in the network has the right expertise. Doesn’t want to broadcast inexperience. Needs the process to feel professional, not like asking for help.</w:t>
      </w:r>
    </w:p>
    <w:p>
      <w:pPr>
        <w:pStyle w:val="ListParagraph"/>
        <w:numPr>
          <w:ilvl w:val="0"/>
          <w:numId w:val="2"/>
        </w:numPr>
        <w:spacing w:after="80"/>
      </w:pPr>
      <w:r>
        <w:rPr>
          <w:rFonts w:ascii="Arial" w:cs="Arial" w:eastAsia="Arial" w:hAnsi="Arial"/>
          <w:b/>
          <w:bCs/>
          <w:color w:val="1B2A4A"/>
          <w:sz w:val="22"/>
          <w:szCs w:val="22"/>
        </w:rPr>
        <w:t xml:space="preserve">Key need: </w:t>
      </w:r>
      <w:r>
        <w:rPr>
          <w:rFonts w:ascii="Arial" w:cs="Arial" w:eastAsia="Arial" w:hAnsi="Arial"/>
          <w:color w:val="1B2A4A"/>
          <w:sz w:val="22"/>
          <w:szCs w:val="22"/>
        </w:rPr>
        <w:t xml:space="preserve">Post a case in under 2 minutes using mostly drop-downs. Get matched fast. Know the senior advisor’s background before they show up.</w:t>
      </w:r>
    </w:p>
    <w:p>
      <w:pPr>
        <w:pStyle w:val="Heading2"/>
      </w:pPr>
      <w:r>
        <w:t xml:space="preserve">4.2 The Mentor/Co-Worker (Senior Advisor)</w:t>
      </w:r>
    </w:p>
    <w:p>
      <w:pPr>
        <w:pStyle w:val="ListParagraph"/>
        <w:numPr>
          <w:ilvl w:val="0"/>
          <w:numId w:val="2"/>
        </w:numPr>
        <w:spacing w:after="80"/>
      </w:pPr>
      <w:r>
        <w:rPr>
          <w:rFonts w:ascii="Arial" w:cs="Arial" w:eastAsia="Arial" w:hAnsi="Arial"/>
          <w:b/>
          <w:bCs/>
          <w:color w:val="1B2A4A"/>
          <w:sz w:val="22"/>
          <w:szCs w:val="22"/>
        </w:rPr>
        <w:t xml:space="preserve">Profile: </w:t>
      </w:r>
      <w:r>
        <w:rPr>
          <w:rFonts w:ascii="Arial" w:cs="Arial" w:eastAsia="Arial" w:hAnsi="Arial"/>
          <w:color w:val="1B2A4A"/>
          <w:sz w:val="22"/>
          <w:szCs w:val="22"/>
        </w:rPr>
        <w:t xml:space="preserve">8+ years in practice, deep specialization in 2–3 areas, established book, capacity and willingness to mentor.</w:t>
      </w:r>
    </w:p>
    <w:p>
      <w:pPr>
        <w:pStyle w:val="ListParagraph"/>
        <w:numPr>
          <w:ilvl w:val="0"/>
          <w:numId w:val="2"/>
        </w:numPr>
        <w:spacing w:after="80"/>
      </w:pPr>
      <w:r>
        <w:rPr>
          <w:rFonts w:ascii="Arial" w:cs="Arial" w:eastAsia="Arial" w:hAnsi="Arial"/>
          <w:b/>
          <w:bCs/>
          <w:color w:val="1B2A4A"/>
          <w:sz w:val="22"/>
          <w:szCs w:val="22"/>
        </w:rPr>
        <w:t xml:space="preserve">Motivation: </w:t>
      </w:r>
      <w:r>
        <w:rPr>
          <w:rFonts w:ascii="Arial" w:cs="Arial" w:eastAsia="Arial" w:hAnsi="Arial"/>
          <w:color w:val="1B2A4A"/>
          <w:sz w:val="22"/>
          <w:szCs w:val="22"/>
        </w:rPr>
        <w:t xml:space="preserve">Wants to give back, stay sharp, build internal reputation, and potentially develop referral relationships with junior advisors as their clients grow.</w:t>
      </w:r>
    </w:p>
    <w:p>
      <w:pPr>
        <w:pStyle w:val="ListParagraph"/>
        <w:numPr>
          <w:ilvl w:val="0"/>
          <w:numId w:val="2"/>
        </w:numPr>
        <w:spacing w:after="80"/>
      </w:pPr>
      <w:r>
        <w:rPr>
          <w:rFonts w:ascii="Arial" w:cs="Arial" w:eastAsia="Arial" w:hAnsi="Arial"/>
          <w:b/>
          <w:bCs/>
          <w:color w:val="1B2A4A"/>
          <w:sz w:val="22"/>
          <w:szCs w:val="22"/>
        </w:rPr>
        <w:t xml:space="preserve">Pain point: </w:t>
      </w:r>
      <w:r>
        <w:rPr>
          <w:rFonts w:ascii="Arial" w:cs="Arial" w:eastAsia="Arial" w:hAnsi="Arial"/>
          <w:color w:val="1B2A4A"/>
          <w:sz w:val="22"/>
          <w:szCs w:val="22"/>
        </w:rPr>
        <w:t xml:space="preserve">Doesn’t know where the opportunities are. Doesn’t want to scroll through irrelevant posts. Wants to be notified only when something matches their expertise.</w:t>
      </w:r>
    </w:p>
    <w:p>
      <w:pPr>
        <w:pStyle w:val="ListParagraph"/>
        <w:numPr>
          <w:ilvl w:val="0"/>
          <w:numId w:val="2"/>
        </w:numPr>
        <w:spacing w:after="80"/>
      </w:pPr>
      <w:r>
        <w:rPr>
          <w:rFonts w:ascii="Arial" w:cs="Arial" w:eastAsia="Arial" w:hAnsi="Arial"/>
          <w:b/>
          <w:bCs/>
          <w:color w:val="1B2A4A"/>
          <w:sz w:val="22"/>
          <w:szCs w:val="22"/>
        </w:rPr>
        <w:t xml:space="preserve">Key need: </w:t>
      </w:r>
      <w:r>
        <w:rPr>
          <w:rFonts w:ascii="Arial" w:cs="Arial" w:eastAsia="Arial" w:hAnsi="Arial"/>
          <w:color w:val="1B2A4A"/>
          <w:sz w:val="22"/>
          <w:szCs w:val="22"/>
        </w:rPr>
        <w:t xml:space="preserve">Set up profile once. Get smart notifications. Browse only relevant cases. One-tap to express interest.</w:t>
      </w:r>
    </w:p>
    <w:p>
      <w:pPr>
        <w:pStyle w:val="Heading2"/>
      </w:pPr>
      <w:r>
        <w:t xml:space="preserve">4.3 The Administrator (Training &amp; Development Team)</w:t>
      </w:r>
    </w:p>
    <w:p>
      <w:pPr>
        <w:pStyle w:val="ListParagraph"/>
        <w:numPr>
          <w:ilvl w:val="0"/>
          <w:numId w:val="2"/>
        </w:numPr>
        <w:spacing w:after="80"/>
      </w:pPr>
      <w:r>
        <w:rPr>
          <w:rFonts w:ascii="Arial" w:cs="Arial" w:eastAsia="Arial" w:hAnsi="Arial"/>
          <w:b/>
          <w:bCs/>
          <w:color w:val="1B2A4A"/>
          <w:sz w:val="22"/>
          <w:szCs w:val="22"/>
        </w:rPr>
        <w:t xml:space="preserve">Profile: </w:t>
      </w:r>
      <w:r>
        <w:rPr>
          <w:rFonts w:ascii="Arial" w:cs="Arial" w:eastAsia="Arial" w:hAnsi="Arial"/>
          <w:color w:val="1B2A4A"/>
          <w:sz w:val="22"/>
          <w:szCs w:val="22"/>
        </w:rPr>
        <w:t xml:space="preserve">Kristen and team. Responsible for advisor development programs, onboarding, and measuring mentorship effectiveness.</w:t>
      </w:r>
    </w:p>
    <w:p>
      <w:pPr>
        <w:pStyle w:val="ListParagraph"/>
        <w:numPr>
          <w:ilvl w:val="0"/>
          <w:numId w:val="2"/>
        </w:numPr>
        <w:spacing w:after="80"/>
      </w:pPr>
      <w:r>
        <w:rPr>
          <w:rFonts w:ascii="Arial" w:cs="Arial" w:eastAsia="Arial" w:hAnsi="Arial"/>
          <w:b/>
          <w:bCs/>
          <w:color w:val="1B2A4A"/>
          <w:sz w:val="22"/>
          <w:szCs w:val="22"/>
        </w:rPr>
        <w:t xml:space="preserve">Motivation: </w:t>
      </w:r>
      <w:r>
        <w:rPr>
          <w:rFonts w:ascii="Arial" w:cs="Arial" w:eastAsia="Arial" w:hAnsi="Arial"/>
          <w:color w:val="1B2A4A"/>
          <w:sz w:val="22"/>
          <w:szCs w:val="22"/>
        </w:rPr>
        <w:t xml:space="preserve">Wants data on collaboration patterns, skill gaps, and mentorship outcomes to improve training programs and demonstrate ROI to leadership.</w:t>
      </w:r>
    </w:p>
    <w:p>
      <w:pPr>
        <w:pStyle w:val="ListParagraph"/>
        <w:numPr>
          <w:ilvl w:val="0"/>
          <w:numId w:val="2"/>
        </w:numPr>
        <w:spacing w:after="80"/>
      </w:pPr>
      <w:r>
        <w:rPr>
          <w:rFonts w:ascii="Arial" w:cs="Arial" w:eastAsia="Arial" w:hAnsi="Arial"/>
          <w:b/>
          <w:bCs/>
          <w:color w:val="1B2A4A"/>
          <w:sz w:val="22"/>
          <w:szCs w:val="22"/>
        </w:rPr>
        <w:t xml:space="preserve">Key need: </w:t>
      </w:r>
      <w:r>
        <w:rPr>
          <w:rFonts w:ascii="Arial" w:cs="Arial" w:eastAsia="Arial" w:hAnsi="Arial"/>
          <w:color w:val="1B2A4A"/>
          <w:sz w:val="22"/>
          <w:szCs w:val="22"/>
        </w:rPr>
        <w:t xml:space="preserve">Dashboard showing activity volume, match rates, regional patterns, and advisor feedback. Ability to curate featured cases or prompt inactive senior advisors.</w:t>
      </w:r>
    </w:p>
    <w:p>
      <w:r>
        <w:br w:type="page"/>
      </w:r>
    </w:p>
    <w:p>
      <w:pPr>
        <w:pStyle w:val="Heading1"/>
      </w:pPr>
      <w:r>
        <w:t xml:space="preserve">5. Core Features &amp; Functional Requirements</w:t>
      </w:r>
    </w:p>
    <w:p>
      <w:pPr>
        <w:pStyle w:val="Heading2"/>
      </w:pPr>
      <w:r>
        <w:t xml:space="preserve">5.1 The Case Board (Primary View)</w:t>
      </w:r>
    </w:p>
    <w:p>
      <w:pPr>
        <w:spacing w:after="160"/>
      </w:pPr>
      <w:r>
        <w:rPr>
          <w:rFonts w:ascii="Arial" w:cs="Arial" w:eastAsia="Arial" w:hAnsi="Arial"/>
          <w:color w:val="1B2A4A"/>
          <w:sz w:val="22"/>
          <w:szCs w:val="22"/>
        </w:rPr>
        <w:t xml:space="preserve">The Case Board is the central hub — a feed of active case opportunities that refreshes weekly. It is the first screen advisors see when they open AdvisorConnect.</w:t>
      </w:r>
    </w:p>
    <w:p>
      <w:pPr>
        <w:pStyle w:val="ListParagraph"/>
        <w:numPr>
          <w:ilvl w:val="0"/>
          <w:numId w:val="2"/>
        </w:numPr>
        <w:spacing w:after="80"/>
      </w:pPr>
      <w:r>
        <w:rPr>
          <w:rFonts w:ascii="Arial" w:cs="Arial" w:eastAsia="Arial" w:hAnsi="Arial"/>
          <w:b/>
          <w:bCs/>
          <w:color w:val="1B2A4A"/>
          <w:sz w:val="22"/>
          <w:szCs w:val="22"/>
        </w:rPr>
        <w:t xml:space="preserve">Card-based feed layout: </w:t>
      </w:r>
      <w:r>
        <w:rPr>
          <w:rFonts w:ascii="Arial" w:cs="Arial" w:eastAsia="Arial" w:hAnsi="Arial"/>
          <w:color w:val="1B2A4A"/>
          <w:sz w:val="22"/>
          <w:szCs w:val="22"/>
        </w:rPr>
        <w:t xml:space="preserve">Each case appears as a visual card showing: case title (anonymized), client type tags, industry tags, meeting type, complexity level, region, date needed, and the posting advisor’s name and experience level.</w:t>
      </w:r>
    </w:p>
    <w:p>
      <w:pPr>
        <w:pStyle w:val="ListParagraph"/>
        <w:numPr>
          <w:ilvl w:val="0"/>
          <w:numId w:val="2"/>
        </w:numPr>
        <w:spacing w:after="80"/>
      </w:pPr>
      <w:r>
        <w:rPr>
          <w:rFonts w:ascii="Arial" w:cs="Arial" w:eastAsia="Arial" w:hAnsi="Arial"/>
          <w:b/>
          <w:bCs/>
          <w:color w:val="1B2A4A"/>
          <w:sz w:val="22"/>
          <w:szCs w:val="22"/>
        </w:rPr>
        <w:t xml:space="preserve">Smart filtering panel: </w:t>
      </w:r>
      <w:r>
        <w:rPr>
          <w:rFonts w:ascii="Arial" w:cs="Arial" w:eastAsia="Arial" w:hAnsi="Arial"/>
          <w:color w:val="1B2A4A"/>
          <w:sz w:val="22"/>
          <w:szCs w:val="22"/>
        </w:rPr>
        <w:t xml:space="preserve">Persistent sidebar (desktop) or bottom sheet (mobile) with filters for: specialization area, client type, industry, AUM range, region, complexity level, and date range.</w:t>
      </w:r>
    </w:p>
    <w:p>
      <w:pPr>
        <w:pStyle w:val="ListParagraph"/>
        <w:numPr>
          <w:ilvl w:val="0"/>
          <w:numId w:val="2"/>
        </w:numPr>
        <w:spacing w:after="80"/>
      </w:pPr>
      <w:r>
        <w:rPr>
          <w:rFonts w:ascii="Arial" w:cs="Arial" w:eastAsia="Arial" w:hAnsi="Arial"/>
          <w:b/>
          <w:bCs/>
          <w:color w:val="1B2A4A"/>
          <w:sz w:val="22"/>
          <w:szCs w:val="22"/>
        </w:rPr>
        <w:t xml:space="preserve">Saved filter presets: </w:t>
      </w:r>
      <w:r>
        <w:rPr>
          <w:rFonts w:ascii="Arial" w:cs="Arial" w:eastAsia="Arial" w:hAnsi="Arial"/>
          <w:color w:val="1B2A4A"/>
          <w:sz w:val="22"/>
          <w:szCs w:val="22"/>
        </w:rPr>
        <w:t xml:space="preserve">Senior advisors can save their preferred filter combinations (e.g., “Business succession + $2M+ AUM + South Florida”) and receive notifications when new cases match.</w:t>
      </w:r>
    </w:p>
    <w:p>
      <w:pPr>
        <w:pStyle w:val="ListParagraph"/>
        <w:numPr>
          <w:ilvl w:val="0"/>
          <w:numId w:val="2"/>
        </w:numPr>
        <w:spacing w:after="80"/>
      </w:pPr>
      <w:r>
        <w:rPr>
          <w:rFonts w:ascii="Arial" w:cs="Arial" w:eastAsia="Arial" w:hAnsi="Arial"/>
          <w:b/>
          <w:bCs/>
          <w:color w:val="1B2A4A"/>
          <w:sz w:val="22"/>
          <w:szCs w:val="22"/>
        </w:rPr>
        <w:t xml:space="preserve">Sort options: </w:t>
      </w:r>
      <w:r>
        <w:rPr>
          <w:rFonts w:ascii="Arial" w:cs="Arial" w:eastAsia="Arial" w:hAnsi="Arial"/>
          <w:color w:val="1B2A4A"/>
          <w:sz w:val="22"/>
          <w:szCs w:val="22"/>
        </w:rPr>
        <w:t xml:space="preserve">Newest first (default), urgency (meeting date soonest), complexity level, and “Best match” (algorithmic based on senior advisor’s profile tags).</w:t>
      </w:r>
    </w:p>
    <w:p>
      <w:pPr>
        <w:pStyle w:val="ListParagraph"/>
        <w:numPr>
          <w:ilvl w:val="0"/>
          <w:numId w:val="2"/>
        </w:numPr>
        <w:spacing w:after="80"/>
      </w:pPr>
      <w:r>
        <w:rPr>
          <w:rFonts w:ascii="Arial" w:cs="Arial" w:eastAsia="Arial" w:hAnsi="Arial"/>
          <w:b/>
          <w:bCs/>
          <w:color w:val="1B2A4A"/>
          <w:sz w:val="22"/>
          <w:szCs w:val="22"/>
        </w:rPr>
        <w:t xml:space="preserve">Weekly digest view: </w:t>
      </w:r>
      <w:r>
        <w:rPr>
          <w:rFonts w:ascii="Arial" w:cs="Arial" w:eastAsia="Arial" w:hAnsi="Arial"/>
          <w:color w:val="1B2A4A"/>
          <w:sz w:val="22"/>
          <w:szCs w:val="22"/>
        </w:rPr>
        <w:t xml:space="preserve">“New This Week” banner section at the top highlighting fresh posts since the advisor’s last visit.</w:t>
      </w:r>
    </w:p>
    <w:p>
      <w:pPr>
        <w:pStyle w:val="Heading2"/>
      </w:pPr>
      <w:r>
        <w:t xml:space="preserve">5.2 Case Posting Flow (For Junior/Mid-Level Advisors)</w:t>
      </w:r>
    </w:p>
    <w:p>
      <w:pPr>
        <w:spacing w:after="160"/>
      </w:pPr>
      <w:r>
        <w:rPr>
          <w:rFonts w:ascii="Arial" w:cs="Arial" w:eastAsia="Arial" w:hAnsi="Arial"/>
          <w:color w:val="1B2A4A"/>
          <w:sz w:val="22"/>
          <w:szCs w:val="22"/>
        </w:rPr>
        <w:t xml:space="preserve">The posting flow is designed for speed and compliance safety. Target completion time: under 2 minutes. All fields use drop-downs, multi-select chips, or short free-text with character limits.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E0E4E8" w:sz="1"/>
              <w:left w:val="single" w:color="E0E4E8" w:sz="1"/>
              <w:bottom w:val="single" w:color="E0E4E8" w:sz="1"/>
              <w:right w:val="single" w:color="E0E4E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E0E4E8" w:sz="1"/>
              <w:left w:val="single" w:color="E0E4E8" w:sz="1"/>
              <w:bottom w:val="single" w:color="E0E4E8" w:sz="1"/>
              <w:right w:val="single" w:color="E0E4E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Input Type</w:t>
            </w:r>
          </w:p>
        </w:tc>
        <w:tc>
          <w:tcPr>
            <w:tcW w:type="dxa" w:w="2400"/>
            <w:tcBorders>
              <w:top w:val="single" w:color="E0E4E8" w:sz="1"/>
              <w:left w:val="single" w:color="E0E4E8" w:sz="1"/>
              <w:bottom w:val="single" w:color="E0E4E8" w:sz="1"/>
              <w:right w:val="single" w:color="E0E4E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Options/Notes</w:t>
            </w:r>
          </w:p>
        </w:tc>
        <w:tc>
          <w:tcPr>
            <w:tcW w:type="dxa" w:w="2160"/>
            <w:tcBorders>
              <w:top w:val="single" w:color="E0E4E8" w:sz="1"/>
              <w:left w:val="single" w:color="E0E4E8" w:sz="1"/>
              <w:bottom w:val="single" w:color="E0E4E8" w:sz="1"/>
              <w:right w:val="single" w:color="E0E4E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Required</w:t>
            </w:r>
          </w:p>
        </w:tc>
      </w:tr>
      <w:tr>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Case Title</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Free text (60 char max)</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e.g., "Business owner succession planning"</w:t>
            </w:r>
          </w:p>
        </w:tc>
        <w:tc>
          <w:tcPr>
            <w:tcW w:type="dxa" w:w="21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Yes</w:t>
            </w:r>
          </w:p>
        </w:tc>
      </w:tr>
      <w:tr>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Client Type</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Single-select dropdown</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Individual, Business Owner, Professional (Dr/DDS/JD), Executive, Family/Multi-gen, Nonprofit, Other</w:t>
            </w:r>
          </w:p>
        </w:tc>
        <w:tc>
          <w:tcPr>
            <w:tcW w:type="dxa" w:w="21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Yes</w:t>
            </w:r>
          </w:p>
        </w:tc>
      </w:tr>
      <w:tr>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Industry</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Multi-select chips</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Healthcare, Dental, Legal, Tech, Real Estate, Manufacturing, Retail, Construction, Finance, Hospitality, Agriculture, Government, Education, Other</w:t>
            </w:r>
          </w:p>
        </w:tc>
        <w:tc>
          <w:tcPr>
            <w:tcW w:type="dxa" w:w="21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Yes</w:t>
            </w:r>
          </w:p>
        </w:tc>
      </w:tr>
      <w:tr>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AUM Range</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Single-select dropdown</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&lt;$250K, $250K–$500K, $500K–$1M, $1M–$3M, $3M–$5M, $5M–$10M, $10M+</w:t>
            </w:r>
          </w:p>
        </w:tc>
        <w:tc>
          <w:tcPr>
            <w:tcW w:type="dxa" w:w="21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Yes</w:t>
            </w:r>
          </w:p>
        </w:tc>
      </w:tr>
      <w:tr>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Meeting Type</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Single-select dropdown</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Initial discovery, Plan presentation, Annual review, Complex case review, Estate/trust discussion, Business valuation, Insurance review, Other</w:t>
            </w:r>
          </w:p>
        </w:tc>
        <w:tc>
          <w:tcPr>
            <w:tcW w:type="dxa" w:w="21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Yes</w:t>
            </w:r>
          </w:p>
        </w:tc>
      </w:tr>
      <w:tr>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Specialization Needed</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Multi-select chips</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See taxonomy in Section 6</w:t>
            </w:r>
          </w:p>
        </w:tc>
        <w:tc>
          <w:tcPr>
            <w:tcW w:type="dxa" w:w="21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Yes</w:t>
            </w:r>
          </w:p>
        </w:tc>
      </w:tr>
      <w:tr>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Complexity Level</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Visual selector (1–5)</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1 = Routine, 3 = Moderate, 5 = Highly complex</w:t>
            </w:r>
          </w:p>
        </w:tc>
        <w:tc>
          <w:tcPr>
            <w:tcW w:type="dxa" w:w="21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Yes</w:t>
            </w:r>
          </w:p>
        </w:tc>
      </w:tr>
      <w:tr>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Region</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Single-select dropdown</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Auto-populated from advisor profile; can override</w:t>
            </w:r>
          </w:p>
        </w:tc>
        <w:tc>
          <w:tcPr>
            <w:tcW w:type="dxa" w:w="21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Yes</w:t>
            </w:r>
          </w:p>
        </w:tc>
      </w:tr>
      <w:tr>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Meeting Date</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Date picker</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When is the meeting/opportunity?</w:t>
            </w:r>
          </w:p>
        </w:tc>
        <w:tc>
          <w:tcPr>
            <w:tcW w:type="dxa" w:w="21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Yes</w:t>
            </w:r>
          </w:p>
        </w:tc>
      </w:tr>
      <w:tr>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What I’m Looking For</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Multi-select chips</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Co-attend meeting, Pre-meeting strategy call, Case review/second opinion, Ongoing mentorship, Referral/warm handoff</w:t>
            </w:r>
          </w:p>
        </w:tc>
        <w:tc>
          <w:tcPr>
            <w:tcW w:type="dxa" w:w="21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Yes</w:t>
            </w:r>
          </w:p>
        </w:tc>
      </w:tr>
      <w:tr>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Additional Context</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Free text (300 char max)</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Optional notes. Compliance disclaimer displayed: "Do not include client PII."</w:t>
            </w:r>
          </w:p>
        </w:tc>
        <w:tc>
          <w:tcPr>
            <w:tcW w:type="dxa" w:w="21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No</w:t>
            </w:r>
          </w:p>
        </w:tc>
      </w:tr>
    </w:tbl>
    <w:p>
      <w:pPr>
        <w:spacing w:after="200"/>
      </w:pPr>
    </w:p>
    <w:p>
      <w:pPr>
        <w:pStyle w:val="Heading2"/>
      </w:pPr>
      <w:r>
        <w:t xml:space="preserve">5.3 Senior Advisor Profile (One-Time Setup)</w:t>
      </w:r>
    </w:p>
    <w:p>
      <w:pPr>
        <w:spacing w:after="160"/>
      </w:pPr>
      <w:r>
        <w:rPr>
          <w:rFonts w:ascii="Arial" w:cs="Arial" w:eastAsia="Arial" w:hAnsi="Arial"/>
          <w:color w:val="1B2A4A"/>
          <w:sz w:val="22"/>
          <w:szCs w:val="22"/>
        </w:rPr>
        <w:t xml:space="preserve">Senior advisors create a profile once that serves as their "matching resume." Periodic nudges (quarterly) prompt updates. Target setup time: under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E0E4E8" w:sz="1"/>
              <w:left w:val="single" w:color="E0E4E8" w:sz="1"/>
              <w:bottom w:val="single" w:color="E0E4E8" w:sz="1"/>
              <w:right w:val="single" w:color="E0E4E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E0E4E8" w:sz="1"/>
              <w:left w:val="single" w:color="E0E4E8" w:sz="1"/>
              <w:bottom w:val="single" w:color="E0E4E8" w:sz="1"/>
              <w:right w:val="single" w:color="E0E4E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Input Type</w:t>
            </w:r>
          </w:p>
        </w:tc>
        <w:tc>
          <w:tcPr>
            <w:tcW w:type="dxa" w:w="4560"/>
            <w:tcBorders>
              <w:top w:val="single" w:color="E0E4E8" w:sz="1"/>
              <w:left w:val="single" w:color="E0E4E8" w:sz="1"/>
              <w:bottom w:val="single" w:color="E0E4E8" w:sz="1"/>
              <w:right w:val="single" w:color="E0E4E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Years of Experience</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Dropdown</w:t>
            </w:r>
          </w:p>
        </w:tc>
        <w:tc>
          <w:tcPr>
            <w:tcW w:type="dxa" w:w="4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Auto-populated if data available from CRM/HR system</w:t>
            </w:r>
          </w:p>
        </w:tc>
      </w:tr>
      <w:tr>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Specialization Areas</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Multi-select chips</w:t>
            </w:r>
          </w:p>
        </w:tc>
        <w:tc>
          <w:tcPr>
            <w:tcW w:type="dxa" w:w="4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Same taxonomy as case posts (Section 6). Select all that apply.</w:t>
            </w:r>
          </w:p>
        </w:tc>
      </w:tr>
      <w:tr>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Client Types Served</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Multi-select chips</w:t>
            </w:r>
          </w:p>
        </w:tc>
        <w:tc>
          <w:tcPr>
            <w:tcW w:type="dxa" w:w="4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Same categories as case posting Client Type field.</w:t>
            </w:r>
          </w:p>
        </w:tc>
      </w:tr>
      <w:tr>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Industries of Expertise</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Multi-select chips</w:t>
            </w:r>
          </w:p>
        </w:tc>
        <w:tc>
          <w:tcPr>
            <w:tcW w:type="dxa" w:w="4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Same categories as case posting Industry field.</w:t>
            </w:r>
          </w:p>
        </w:tc>
      </w:tr>
      <w:tr>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AUM Comfort Range</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Range selector</w:t>
            </w:r>
          </w:p>
        </w:tc>
        <w:tc>
          <w:tcPr>
            <w:tcW w:type="dxa" w:w="4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Minimum and maximum AUM range they’re comfortable advising on.</w:t>
            </w:r>
          </w:p>
        </w:tc>
      </w:tr>
      <w:tr>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Region / Availability</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Multi-select + toggle</w:t>
            </w:r>
          </w:p>
        </w:tc>
        <w:tc>
          <w:tcPr>
            <w:tcW w:type="dxa" w:w="4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Primary region + willingness to work cross-region (virtual/in-person).</w:t>
            </w:r>
          </w:p>
        </w:tc>
      </w:tr>
      <w:tr>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Mentorship Style</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Multi-select chips</w:t>
            </w:r>
          </w:p>
        </w:tc>
        <w:tc>
          <w:tcPr>
            <w:tcW w:type="dxa" w:w="4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Co-attend meetings, Strategy calls only, Case review/feedback, Ongoing mentorship, Referral partner.</w:t>
            </w:r>
          </w:p>
        </w:tc>
      </w:tr>
      <w:tr>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Bio / What I Bring</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Free text (500 char max)</w:t>
            </w:r>
          </w:p>
        </w:tc>
        <w:tc>
          <w:tcPr>
            <w:tcW w:type="dxa" w:w="4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Brief narrative: "I’ve spent 15 years working with dental practice owners on succession and M&amp;A."</w:t>
            </w:r>
          </w:p>
        </w:tc>
      </w:tr>
      <w:tr>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Availability Status</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Toggle</w:t>
            </w:r>
          </w:p>
        </w:tc>
        <w:tc>
          <w:tcPr>
            <w:tcW w:type="dxa" w:w="4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Active (accepting matches) / Paused (profile hidden from matching).</w:t>
            </w:r>
          </w:p>
        </w:tc>
      </w:tr>
      <w:tr>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Notification Preferences</w:t>
            </w:r>
          </w:p>
        </w:tc>
        <w:tc>
          <w:tcPr>
            <w:tcW w:type="dxa" w:w="24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Settings panel</w:t>
            </w:r>
          </w:p>
        </w:tc>
        <w:tc>
          <w:tcPr>
            <w:tcW w:type="dxa" w:w="4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Email digest (daily/weekly), in-app notifications, push notifications. Filter by saved presets.</w:t>
            </w:r>
          </w:p>
        </w:tc>
      </w:tr>
    </w:tbl>
    <w:p>
      <w:pPr>
        <w:spacing w:after="200"/>
      </w:pPr>
    </w:p>
    <w:p>
      <w:pPr>
        <w:pStyle w:val="Heading2"/>
      </w:pPr>
      <w:r>
        <w:t xml:space="preserve">5.4 Matching &amp; Discovery</w:t>
      </w:r>
    </w:p>
    <w:p>
      <w:pPr>
        <w:spacing w:after="160"/>
      </w:pPr>
      <w:r>
        <w:rPr>
          <w:rFonts w:ascii="Arial" w:cs="Arial" w:eastAsia="Arial" w:hAnsi="Arial"/>
          <w:color w:val="1B2A4A"/>
          <w:sz w:val="22"/>
          <w:szCs w:val="22"/>
        </w:rPr>
        <w:t xml:space="preserve">Matching is the core value engine. The system supports two complementary discovery modes:</w:t>
      </w:r>
    </w:p>
    <w:p>
      <w:pPr>
        <w:pStyle w:val="Heading3"/>
      </w:pPr>
      <w:r>
        <w:t xml:space="preserve">5.4.1 Browse Mode (“The Board”)</w:t>
      </w:r>
    </w:p>
    <w:p>
      <w:pPr>
        <w:spacing w:after="160"/>
      </w:pPr>
      <w:r>
        <w:rPr>
          <w:rFonts w:ascii="Arial" w:cs="Arial" w:eastAsia="Arial" w:hAnsi="Arial"/>
          <w:color w:val="1B2A4A"/>
          <w:sz w:val="22"/>
          <w:szCs w:val="22"/>
        </w:rPr>
        <w:t xml:space="preserve">Senior advisors scroll through filtered case cards, similar to browsing a job board or Tinder-style card stack. Each card shows enough information to make a quick relevance decision. Tapping a card expands to full detail. A prominent “I’m Interested” button triggers the match flow.</w:t>
      </w:r>
    </w:p>
    <w:p>
      <w:pPr>
        <w:pStyle w:val="Heading3"/>
      </w:pPr>
      <w:r>
        <w:t xml:space="preserve">5.4.2 Smart Match Notifications</w:t>
      </w:r>
    </w:p>
    <w:p>
      <w:pPr>
        <w:spacing w:after="160"/>
      </w:pPr>
      <w:r>
        <w:rPr>
          <w:rFonts w:ascii="Arial" w:cs="Arial" w:eastAsia="Arial" w:hAnsi="Arial"/>
          <w:color w:val="1B2A4A"/>
          <w:sz w:val="22"/>
          <w:szCs w:val="22"/>
        </w:rPr>
        <w:t xml:space="preserve">When a new case is posted, the system automatically cross-references its tags against all active senior advisor profiles. Advisors whose profiles match on 3+ dimensions (specialization, client type, industry, AUM range, region) receive a push notification or email with the case summary and a one-tap “View &amp; Express Interest” action.</w:t>
      </w:r>
    </w:p>
    <w:p>
      <w:pPr>
        <w:pStyle w:val="Heading3"/>
      </w:pPr>
      <w:r>
        <w:t xml:space="preserve">5.4.3 Match Flow</w:t>
      </w:r>
    </w:p>
    <w:p>
      <w:pPr>
        <w:spacing w:after="160"/>
      </w:pPr>
      <w:r>
        <w:rPr>
          <w:rFonts w:ascii="Arial" w:cs="Arial" w:eastAsia="Arial" w:hAnsi="Arial"/>
          <w:color w:val="1B2A4A"/>
          <w:sz w:val="22"/>
          <w:szCs w:val="22"/>
        </w:rPr>
        <w:t xml:space="preserve">When a senior advisor expresses interest, the posting advisor receives a notification with the senior advisor’s profile card (specialization, experience, bio). The poster can then Accept (triggers mutual introduction and contact exchange), Decline (with optional reason for T&amp;D data), or Save for Later (holds the match for 48 hours). Once accepted, both advisors see each other’s contact information and the case moves to “Matched” status. If multiple senior advisors express interest, the poster sees all candidates and can choose.</w:t>
      </w:r>
    </w:p>
    <w:p>
      <w:pPr>
        <w:pStyle w:val="Heading2"/>
      </w:pPr>
      <w:r>
        <w:t xml:space="preserve">5.5 The Match Card (Tinder-Style UX)</w:t>
      </w:r>
    </w:p>
    <w:p>
      <w:pPr>
        <w:spacing w:after="160"/>
      </w:pPr>
      <w:r>
        <w:rPr>
          <w:rFonts w:ascii="Arial" w:cs="Arial" w:eastAsia="Arial" w:hAnsi="Arial"/>
          <w:color w:val="1B2A4A"/>
          <w:sz w:val="22"/>
          <w:szCs w:val="22"/>
        </w:rPr>
        <w:t xml:space="preserve">The match card is the signature UX element. When a senior advisor expresses interest in a case, the posting advisor sees a split-screen “match card” displaying:</w:t>
      </w:r>
    </w:p>
    <w:p>
      <w:pPr>
        <w:pStyle w:val="ListParagraph"/>
        <w:numPr>
          <w:ilvl w:val="0"/>
          <w:numId w:val="2"/>
        </w:numPr>
        <w:spacing w:after="80"/>
      </w:pPr>
      <w:r>
        <w:rPr>
          <w:rFonts w:ascii="Arial" w:cs="Arial" w:eastAsia="Arial" w:hAnsi="Arial"/>
          <w:color w:val="1B2A4A"/>
          <w:sz w:val="22"/>
          <w:szCs w:val="22"/>
        </w:rPr>
        <w:t xml:space="preserve">Left side: The case summary (anonymized client details, meeting type, what’s needed).</w:t>
      </w:r>
    </w:p>
    <w:p>
      <w:pPr>
        <w:pStyle w:val="ListParagraph"/>
        <w:numPr>
          <w:ilvl w:val="0"/>
          <w:numId w:val="2"/>
        </w:numPr>
        <w:spacing w:after="80"/>
      </w:pPr>
      <w:r>
        <w:rPr>
          <w:rFonts w:ascii="Arial" w:cs="Arial" w:eastAsia="Arial" w:hAnsi="Arial"/>
          <w:color w:val="1B2A4A"/>
          <w:sz w:val="22"/>
          <w:szCs w:val="22"/>
        </w:rPr>
        <w:t xml:space="preserve">Right side: The senior advisor’s profile (photo, name, years of experience, specializations, bio snippet, mentorship style).</w:t>
      </w:r>
    </w:p>
    <w:p>
      <w:pPr>
        <w:pStyle w:val="ListParagraph"/>
        <w:numPr>
          <w:ilvl w:val="0"/>
          <w:numId w:val="2"/>
        </w:numPr>
        <w:spacing w:after="80"/>
      </w:pPr>
      <w:r>
        <w:rPr>
          <w:rFonts w:ascii="Arial" w:cs="Arial" w:eastAsia="Arial" w:hAnsi="Arial"/>
          <w:color w:val="1B2A4A"/>
          <w:sz w:val="22"/>
          <w:szCs w:val="22"/>
        </w:rPr>
        <w:t xml:space="preserve">Bottom: Accept / Decline / Save for Later action buttons.</w:t>
      </w:r>
    </w:p>
    <w:p>
      <w:pPr>
        <w:spacing w:after="160"/>
      </w:pPr>
      <w:r>
        <w:rPr>
          <w:rFonts w:ascii="Arial" w:cs="Arial" w:eastAsia="Arial" w:hAnsi="Arial"/>
          <w:color w:val="1B2A4A"/>
          <w:sz w:val="22"/>
          <w:szCs w:val="22"/>
        </w:rPr>
        <w:t xml:space="preserve">This two-panel view gives the poster full context on both sides of the match, enabling confident, quick decisions. On mobile, this renders as a swipeable card stack: swipe right to accept, left to decline, tap to expand details.</w:t>
      </w:r>
    </w:p>
    <w:p>
      <w:pPr>
        <w:pStyle w:val="Heading2"/>
      </w:pPr>
      <w:r>
        <w:t xml:space="preserve">5.6 Dashboard &amp; Analytics (Admin View)</w:t>
      </w:r>
    </w:p>
    <w:p>
      <w:pPr>
        <w:pStyle w:val="ListParagraph"/>
        <w:numPr>
          <w:ilvl w:val="0"/>
          <w:numId w:val="2"/>
        </w:numPr>
        <w:spacing w:after="80"/>
      </w:pPr>
      <w:r>
        <w:rPr>
          <w:rFonts w:ascii="Arial" w:cs="Arial" w:eastAsia="Arial" w:hAnsi="Arial"/>
          <w:b/>
          <w:bCs/>
          <w:color w:val="1B2A4A"/>
          <w:sz w:val="22"/>
          <w:szCs w:val="22"/>
        </w:rPr>
        <w:t xml:space="preserve">Activity metrics: </w:t>
      </w:r>
      <w:r>
        <w:rPr>
          <w:rFonts w:ascii="Arial" w:cs="Arial" w:eastAsia="Arial" w:hAnsi="Arial"/>
          <w:color w:val="1B2A4A"/>
          <w:sz w:val="22"/>
          <w:szCs w:val="22"/>
        </w:rPr>
        <w:t xml:space="preserve">Cases posted per week, matches made, acceptance rate, time-to-match.</w:t>
      </w:r>
    </w:p>
    <w:p>
      <w:pPr>
        <w:pStyle w:val="ListParagraph"/>
        <w:numPr>
          <w:ilvl w:val="0"/>
          <w:numId w:val="2"/>
        </w:numPr>
        <w:spacing w:after="80"/>
      </w:pPr>
      <w:r>
        <w:rPr>
          <w:rFonts w:ascii="Arial" w:cs="Arial" w:eastAsia="Arial" w:hAnsi="Arial"/>
          <w:b/>
          <w:bCs/>
          <w:color w:val="1B2A4A"/>
          <w:sz w:val="22"/>
          <w:szCs w:val="22"/>
        </w:rPr>
        <w:t xml:space="preserve">Heatmaps: </w:t>
      </w:r>
      <w:r>
        <w:rPr>
          <w:rFonts w:ascii="Arial" w:cs="Arial" w:eastAsia="Arial" w:hAnsi="Arial"/>
          <w:color w:val="1B2A4A"/>
          <w:sz w:val="22"/>
          <w:szCs w:val="22"/>
        </w:rPr>
        <w:t xml:space="preserve">Geographic and specialization heatmaps showing where demand outstrips supply (e.g., “Business succession in Tampa has 8 open cases and only 2 active mentors”).</w:t>
      </w:r>
    </w:p>
    <w:p>
      <w:pPr>
        <w:pStyle w:val="ListParagraph"/>
        <w:numPr>
          <w:ilvl w:val="0"/>
          <w:numId w:val="2"/>
        </w:numPr>
        <w:spacing w:after="80"/>
      </w:pPr>
      <w:r>
        <w:rPr>
          <w:rFonts w:ascii="Arial" w:cs="Arial" w:eastAsia="Arial" w:hAnsi="Arial"/>
          <w:b/>
          <w:bCs/>
          <w:color w:val="1B2A4A"/>
          <w:sz w:val="22"/>
          <w:szCs w:val="22"/>
        </w:rPr>
        <w:t xml:space="preserve">Advisor leaderboard: </w:t>
      </w:r>
      <w:r>
        <w:rPr>
          <w:rFonts w:ascii="Arial" w:cs="Arial" w:eastAsia="Arial" w:hAnsi="Arial"/>
          <w:color w:val="1B2A4A"/>
          <w:sz w:val="22"/>
          <w:szCs w:val="22"/>
        </w:rPr>
        <w:t xml:space="preserve">Top mentors by engagement (optional, could be gamified with badges).</w:t>
      </w:r>
    </w:p>
    <w:p>
      <w:pPr>
        <w:pStyle w:val="ListParagraph"/>
        <w:numPr>
          <w:ilvl w:val="0"/>
          <w:numId w:val="2"/>
        </w:numPr>
        <w:spacing w:after="80"/>
      </w:pPr>
      <w:r>
        <w:rPr>
          <w:rFonts w:ascii="Arial" w:cs="Arial" w:eastAsia="Arial" w:hAnsi="Arial"/>
          <w:b/>
          <w:bCs/>
          <w:color w:val="1B2A4A"/>
          <w:sz w:val="22"/>
          <w:szCs w:val="22"/>
        </w:rPr>
        <w:t xml:space="preserve">Skill gap analysis: </w:t>
      </w:r>
      <w:r>
        <w:rPr>
          <w:rFonts w:ascii="Arial" w:cs="Arial" w:eastAsia="Arial" w:hAnsi="Arial"/>
          <w:color w:val="1B2A4A"/>
          <w:sz w:val="22"/>
          <w:szCs w:val="22"/>
        </w:rPr>
        <w:t xml:space="preserve">Where case demand tags consistently go unmatched, signaling a training or hiring need.</w:t>
      </w:r>
    </w:p>
    <w:p>
      <w:pPr>
        <w:pStyle w:val="ListParagraph"/>
        <w:numPr>
          <w:ilvl w:val="0"/>
          <w:numId w:val="2"/>
        </w:numPr>
        <w:spacing w:after="80"/>
      </w:pPr>
      <w:r>
        <w:rPr>
          <w:rFonts w:ascii="Arial" w:cs="Arial" w:eastAsia="Arial" w:hAnsi="Arial"/>
          <w:b/>
          <w:bCs/>
          <w:color w:val="1B2A4A"/>
          <w:sz w:val="22"/>
          <w:szCs w:val="22"/>
        </w:rPr>
        <w:t xml:space="preserve">Outcome tracking: </w:t>
      </w:r>
      <w:r>
        <w:rPr>
          <w:rFonts w:ascii="Arial" w:cs="Arial" w:eastAsia="Arial" w:hAnsi="Arial"/>
          <w:color w:val="1B2A4A"/>
          <w:sz w:val="22"/>
          <w:szCs w:val="22"/>
        </w:rPr>
        <w:t xml:space="preserve">Post-match feedback loop: did the meeting happen? Was it helpful? Did the case close? (Simple 3-question survey sent 2 weeks post-match.)</w:t>
      </w:r>
    </w:p>
    <w:p>
      <w:pPr>
        <w:pStyle w:val="ListParagraph"/>
        <w:numPr>
          <w:ilvl w:val="0"/>
          <w:numId w:val="2"/>
        </w:numPr>
        <w:spacing w:after="80"/>
      </w:pPr>
      <w:r>
        <w:rPr>
          <w:rFonts w:ascii="Arial" w:cs="Arial" w:eastAsia="Arial" w:hAnsi="Arial"/>
          <w:b/>
          <w:bCs/>
          <w:color w:val="1B2A4A"/>
          <w:sz w:val="22"/>
          <w:szCs w:val="22"/>
        </w:rPr>
        <w:t xml:space="preserve">Export capabilities: </w:t>
      </w:r>
      <w:r>
        <w:rPr>
          <w:rFonts w:ascii="Arial" w:cs="Arial" w:eastAsia="Arial" w:hAnsi="Arial"/>
          <w:color w:val="1B2A4A"/>
          <w:sz w:val="22"/>
          <w:szCs w:val="22"/>
        </w:rPr>
        <w:t xml:space="preserve">CSV/PDF export for leadership reporting.</w:t>
      </w:r>
    </w:p>
    <w:p>
      <w:r>
        <w:br w:type="page"/>
      </w:r>
    </w:p>
    <w:p>
      <w:pPr>
        <w:pStyle w:val="Heading1"/>
      </w:pPr>
      <w:r>
        <w:t xml:space="preserve">6. Tagging Taxonomy</w:t>
      </w:r>
    </w:p>
    <w:p>
      <w:pPr>
        <w:spacing w:after="160"/>
      </w:pPr>
      <w:r>
        <w:rPr>
          <w:rFonts w:ascii="Arial" w:cs="Arial" w:eastAsia="Arial" w:hAnsi="Arial"/>
          <w:color w:val="1B2A4A"/>
          <w:sz w:val="22"/>
          <w:szCs w:val="22"/>
        </w:rPr>
        <w:t xml:space="preserve">The tagging system is the backbone of match quality. All tags are shared across case posts and senior advisor profiles to ensure alignment. The taxonomy should be curated by the T&amp;D team and evolved over time based on usage patterns.</w:t>
      </w:r>
    </w:p>
    <w:p>
      <w:pPr>
        <w:pStyle w:val="Heading2"/>
      </w:pPr>
      <w:r>
        <w:t xml:space="preserve">6.1 Specialization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4E8" w:sz="1"/>
              <w:left w:val="single" w:color="E0E4E8" w:sz="1"/>
              <w:bottom w:val="single" w:color="E0E4E8" w:sz="1"/>
              <w:right w:val="single" w:color="E0E4E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680"/>
            <w:tcBorders>
              <w:top w:val="single" w:color="E0E4E8" w:sz="1"/>
              <w:left w:val="single" w:color="E0E4E8" w:sz="1"/>
              <w:bottom w:val="single" w:color="E0E4E8" w:sz="1"/>
              <w:right w:val="single" w:color="E0E4E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Sub-tags (examples)</w:t>
            </w:r>
          </w:p>
        </w:tc>
      </w:tr>
      <w:tr>
        <w:tc>
          <w:tcPr>
            <w:tcW w:type="dxa" w:w="468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Retirement Planning</w:t>
            </w:r>
          </w:p>
        </w:tc>
        <w:tc>
          <w:tcPr>
            <w:tcW w:type="dxa" w:w="468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401(k)/403(b), pension optimization, Social Security strategy, Roth conversions</w:t>
            </w:r>
          </w:p>
        </w:tc>
      </w:tr>
      <w:tr>
        <w:tc>
          <w:tcPr>
            <w:tcW w:type="dxa" w:w="468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Estate Planning</w:t>
            </w:r>
          </w:p>
        </w:tc>
        <w:tc>
          <w:tcPr>
            <w:tcW w:type="dxa" w:w="468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Trusts, wealth transfer, charitable giving, generation-skipping, family governance</w:t>
            </w:r>
          </w:p>
        </w:tc>
      </w:tr>
      <w:tr>
        <w:tc>
          <w:tcPr>
            <w:tcW w:type="dxa" w:w="468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Business Planning</w:t>
            </w:r>
          </w:p>
        </w:tc>
        <w:tc>
          <w:tcPr>
            <w:tcW w:type="dxa" w:w="468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Succession planning, buy-sell agreements, key person insurance, business valuation, M&amp;A advisory</w:t>
            </w:r>
          </w:p>
        </w:tc>
      </w:tr>
      <w:tr>
        <w:tc>
          <w:tcPr>
            <w:tcW w:type="dxa" w:w="468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Insurance &amp; Risk</w:t>
            </w:r>
          </w:p>
        </w:tc>
        <w:tc>
          <w:tcPr>
            <w:tcW w:type="dxa" w:w="468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Life insurance, disability, long-term care, liability, executive benefits</w:t>
            </w:r>
          </w:p>
        </w:tc>
      </w:tr>
      <w:tr>
        <w:tc>
          <w:tcPr>
            <w:tcW w:type="dxa" w:w="468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Tax Strategy</w:t>
            </w:r>
          </w:p>
        </w:tc>
        <w:tc>
          <w:tcPr>
            <w:tcW w:type="dxa" w:w="468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Tax-loss harvesting, SALT optimization, qualified opportunity zones, deferred comp</w:t>
            </w:r>
          </w:p>
        </w:tc>
      </w:tr>
      <w:tr>
        <w:tc>
          <w:tcPr>
            <w:tcW w:type="dxa" w:w="468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Investment Management</w:t>
            </w:r>
          </w:p>
        </w:tc>
        <w:tc>
          <w:tcPr>
            <w:tcW w:type="dxa" w:w="468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Portfolio construction, alternatives, concentrated stock, ESG/impact, fixed income</w:t>
            </w:r>
          </w:p>
        </w:tc>
      </w:tr>
      <w:tr>
        <w:tc>
          <w:tcPr>
            <w:tcW w:type="dxa" w:w="468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Executive &amp; Equity Comp</w:t>
            </w:r>
          </w:p>
        </w:tc>
        <w:tc>
          <w:tcPr>
            <w:tcW w:type="dxa" w:w="468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Stock options (ISO/NSO), RSUs, deferred comp, 10b5-1 plans, IPO/SPAC liquidity</w:t>
            </w:r>
          </w:p>
        </w:tc>
      </w:tr>
      <w:tr>
        <w:tc>
          <w:tcPr>
            <w:tcW w:type="dxa" w:w="468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Special Situations</w:t>
            </w:r>
          </w:p>
        </w:tc>
        <w:tc>
          <w:tcPr>
            <w:tcW w:type="dxa" w:w="468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Divorce, inheritance, sudden wealth, professional athletes, medical professionals</w:t>
            </w:r>
          </w:p>
        </w:tc>
      </w:tr>
    </w:tbl>
    <w:p>
      <w:pPr>
        <w:spacing w:after="100"/>
      </w:pPr>
    </w:p>
    <w:p>
      <w:pPr>
        <w:spacing w:after="160"/>
      </w:pPr>
      <w:r>
        <w:rPr>
          <w:rFonts w:ascii="Arial" w:cs="Arial" w:eastAsia="Arial" w:hAnsi="Arial"/>
          <w:color w:val="1B2A4A"/>
          <w:sz w:val="22"/>
          <w:szCs w:val="22"/>
        </w:rPr>
        <w:t xml:space="preserve">Note: Tags are additive. A case can carry multiple specialization tags. The T&amp;D team should review and update the taxonomy quarterly based on actual posting patterns.</w:t>
      </w:r>
    </w:p>
    <w:p>
      <w:pPr>
        <w:pStyle w:val="Heading2"/>
      </w:pPr>
      <w:r>
        <w:t xml:space="preserve">6.2 Complexity Scoring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E0E4E8" w:sz="1"/>
              <w:left w:val="single" w:color="E0E4E8" w:sz="1"/>
              <w:bottom w:val="single" w:color="E0E4E8" w:sz="1"/>
              <w:right w:val="single" w:color="E0E4E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600"/>
            <w:tcBorders>
              <w:top w:val="single" w:color="E0E4E8" w:sz="1"/>
              <w:left w:val="single" w:color="E0E4E8" w:sz="1"/>
              <w:bottom w:val="single" w:color="E0E4E8" w:sz="1"/>
              <w:right w:val="single" w:color="E0E4E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4560"/>
            <w:tcBorders>
              <w:top w:val="single" w:color="E0E4E8" w:sz="1"/>
              <w:left w:val="single" w:color="E0E4E8" w:sz="1"/>
              <w:bottom w:val="single" w:color="E0E4E8" w:sz="1"/>
              <w:right w:val="single" w:color="E0E4E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1</w:t>
            </w:r>
          </w:p>
        </w:tc>
        <w:tc>
          <w:tcPr>
            <w:tcW w:type="dxa" w:w="3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Routine</w:t>
            </w:r>
          </w:p>
        </w:tc>
        <w:tc>
          <w:tcPr>
            <w:tcW w:type="dxa" w:w="4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Standard discovery meeting or plan review. Single product or straightforward advice.</w:t>
            </w:r>
          </w:p>
        </w:tc>
      </w:tr>
      <w:tr>
        <w:tc>
          <w:tcPr>
            <w:tcW w:type="dxa" w:w="1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2</w:t>
            </w:r>
          </w:p>
        </w:tc>
        <w:tc>
          <w:tcPr>
            <w:tcW w:type="dxa" w:w="3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Moderate</w:t>
            </w:r>
          </w:p>
        </w:tc>
        <w:tc>
          <w:tcPr>
            <w:tcW w:type="dxa" w:w="4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Multi-product opportunity or mid-complexity situation. Some specialized knowledge helpful.</w:t>
            </w:r>
          </w:p>
        </w:tc>
      </w:tr>
      <w:tr>
        <w:tc>
          <w:tcPr>
            <w:tcW w:type="dxa" w:w="1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3</w:t>
            </w:r>
          </w:p>
        </w:tc>
        <w:tc>
          <w:tcPr>
            <w:tcW w:type="dxa" w:w="3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Complex</w:t>
            </w:r>
          </w:p>
        </w:tc>
        <w:tc>
          <w:tcPr>
            <w:tcW w:type="dxa" w:w="4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Multi-dimensional case involving 2+ planning areas. Significant AUM. Requires deep expertise.</w:t>
            </w:r>
          </w:p>
        </w:tc>
      </w:tr>
      <w:tr>
        <w:tc>
          <w:tcPr>
            <w:tcW w:type="dxa" w:w="1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4</w:t>
            </w:r>
          </w:p>
        </w:tc>
        <w:tc>
          <w:tcPr>
            <w:tcW w:type="dxa" w:w="3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Highly Complex</w:t>
            </w:r>
          </w:p>
        </w:tc>
        <w:tc>
          <w:tcPr>
            <w:tcW w:type="dxa" w:w="4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Sophisticated planning scenario. Business + estate + tax interplay. $5M+ AUM. Multiple stakeholders.</w:t>
            </w:r>
          </w:p>
        </w:tc>
      </w:tr>
      <w:tr>
        <w:tc>
          <w:tcPr>
            <w:tcW w:type="dxa" w:w="1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5</w:t>
            </w:r>
          </w:p>
        </w:tc>
        <w:tc>
          <w:tcPr>
            <w:tcW w:type="dxa" w:w="3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Enterprise / Whale</w:t>
            </w:r>
          </w:p>
        </w:tc>
        <w:tc>
          <w:tcPr>
            <w:tcW w:type="dxa" w:w="4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Institutional-grade complexity. $10M+. Involves legal, accounting, and multi-generational considerations. Likely requires a team approach.</w:t>
            </w:r>
          </w:p>
        </w:tc>
      </w:tr>
    </w:tbl>
    <w:p>
      <w:pPr>
        <w:spacing w:after="200"/>
      </w:pPr>
    </w:p>
    <w:p>
      <w:pPr>
        <w:pStyle w:val="Heading1"/>
      </w:pPr>
      <w:r>
        <w:t xml:space="preserve">7. Compliance &amp; Data Privacy Considerations</w:t>
      </w:r>
    </w:p>
    <w:p>
      <w:pPr>
        <w:spacing w:after="160"/>
      </w:pPr>
      <w:r>
        <w:rPr>
          <w:rFonts w:ascii="Arial" w:cs="Arial" w:eastAsia="Arial" w:hAnsi="Arial"/>
          <w:color w:val="1B2A4A"/>
          <w:sz w:val="22"/>
          <w:szCs w:val="22"/>
        </w:rPr>
        <w:t xml:space="preserve">AdvisorConnect operates in a regulated environment. The following guardrails are built into the product design from day one:</w:t>
      </w:r>
    </w:p>
    <w:p>
      <w:pPr>
        <w:pStyle w:val="Heading2"/>
      </w:pPr>
      <w:r>
        <w:t xml:space="preserve">7.1 No Client PII on the Platform</w:t>
      </w:r>
    </w:p>
    <w:p>
      <w:pPr>
        <w:spacing w:after="160"/>
      </w:pPr>
      <w:r>
        <w:rPr>
          <w:rFonts w:ascii="Arial" w:cs="Arial" w:eastAsia="Arial" w:hAnsi="Arial"/>
          <w:color w:val="1B2A4A"/>
          <w:sz w:val="22"/>
          <w:szCs w:val="22"/>
        </w:rPr>
        <w:t xml:space="preserve">Cases are posted with anonymized descriptors only (e.g., “business owner, dental practice, Tampa, $3M AUM”). No client names, account numbers, SSNs, or contact information are entered or stored in AdvisorConnect. A prominent compliance disclaimer appears on every posting form: “Do not include any personally identifiable client information. This platform is for matching purposes only.”</w:t>
      </w:r>
    </w:p>
    <w:p>
      <w:pPr>
        <w:pStyle w:val="Heading2"/>
      </w:pPr>
      <w:r>
        <w:t xml:space="preserve">7.2 Internal Access Only</w:t>
      </w:r>
    </w:p>
    <w:p>
      <w:pPr>
        <w:spacing w:after="160"/>
      </w:pPr>
      <w:r>
        <w:rPr>
          <w:rFonts w:ascii="Arial" w:cs="Arial" w:eastAsia="Arial" w:hAnsi="Arial"/>
          <w:color w:val="1B2A4A"/>
          <w:sz w:val="22"/>
          <w:szCs w:val="22"/>
        </w:rPr>
        <w:t xml:space="preserve">The platform is accessible only to authenticated Coastal Wealth advisors and authorized administrative staff. Authentication should integrate with Coastal Wealth’s existing SSO/identity provider. Role-based access control (RBAC) enforces three tiers: Advisor (post/browse/match), Admin (all advisor capabilities + dashboard + taxonomy management), and Super Admin (all admin capabilities + user management + system configuration).</w:t>
      </w:r>
    </w:p>
    <w:p>
      <w:pPr>
        <w:pStyle w:val="Heading2"/>
      </w:pPr>
      <w:r>
        <w:t xml:space="preserve">7.3 Audit Trail</w:t>
      </w:r>
    </w:p>
    <w:p>
      <w:pPr>
        <w:spacing w:after="160"/>
      </w:pPr>
      <w:r>
        <w:rPr>
          <w:rFonts w:ascii="Arial" w:cs="Arial" w:eastAsia="Arial" w:hAnsi="Arial"/>
          <w:color w:val="1B2A4A"/>
          <w:sz w:val="22"/>
          <w:szCs w:val="22"/>
        </w:rPr>
        <w:t xml:space="preserve">All actions (posts, expressions of interest, matches, declines) are logged with timestamps and user IDs. Logs are retained per Coastal Wealth’s data retention policy and are accessible to compliance officers upon request.</w:t>
      </w:r>
    </w:p>
    <w:p>
      <w:pPr>
        <w:pStyle w:val="Heading2"/>
      </w:pPr>
      <w:r>
        <w:t xml:space="preserve">7.4 Supervisory Review (Optional — Phase 2)</w:t>
      </w:r>
    </w:p>
    <w:p>
      <w:pPr>
        <w:spacing w:after="160"/>
      </w:pPr>
      <w:r>
        <w:rPr>
          <w:rFonts w:ascii="Arial" w:cs="Arial" w:eastAsia="Arial" w:hAnsi="Arial"/>
          <w:color w:val="1B2A4A"/>
          <w:sz w:val="22"/>
          <w:szCs w:val="22"/>
        </w:rPr>
        <w:t xml:space="preserve">If required by compliance, a supervisory review workflow can be added where a designated principal or compliance officer must approve case posts before they go live. This should be configurable (on/off) at the firm level.</w:t>
      </w:r>
    </w:p>
    <w:p>
      <w:pPr>
        <w:pStyle w:val="Heading2"/>
      </w:pPr>
      <w:r>
        <w:t xml:space="preserve">7.5 Data Residency &amp; Storage</w:t>
      </w:r>
    </w:p>
    <w:p>
      <w:pPr>
        <w:spacing w:after="160"/>
      </w:pPr>
      <w:r>
        <w:rPr>
          <w:rFonts w:ascii="Arial" w:cs="Arial" w:eastAsia="Arial" w:hAnsi="Arial"/>
          <w:color w:val="1B2A4A"/>
          <w:sz w:val="22"/>
          <w:szCs w:val="22"/>
        </w:rPr>
        <w:t xml:space="preserve">All data stored on U.S.-based servers. No client financial data is transmitted to or stored in AdvisorConnect. The platform stores only: advisor profiles, anonymized case descriptions, match metadata, and feedback survey responses.</w:t>
      </w:r>
    </w:p>
    <w:p>
      <w:r>
        <w:br w:type="page"/>
      </w:r>
    </w:p>
    <w:p>
      <w:pPr>
        <w:pStyle w:val="Heading1"/>
      </w:pPr>
      <w:r>
        <w:t xml:space="preserve">8. Technical Architecture (Recommended)</w:t>
      </w:r>
    </w:p>
    <w:p>
      <w:pPr>
        <w:spacing w:after="160"/>
      </w:pPr>
      <w:r>
        <w:rPr>
          <w:rFonts w:ascii="Arial" w:cs="Arial" w:eastAsia="Arial" w:hAnsi="Arial"/>
          <w:color w:val="1B2A4A"/>
          <w:sz w:val="22"/>
          <w:szCs w:val="22"/>
        </w:rPr>
        <w:t xml:space="preserve">This section outlines the recommended architecture for a v1 internal tool. The priority is speed to launch, ease of maintenance, and the ability to iterate quickly based on advisor feedback.</w:t>
      </w:r>
    </w:p>
    <w:p>
      <w:pPr>
        <w:pStyle w:val="Heading2"/>
      </w:pPr>
      <w:r>
        <w:t xml:space="preserve">8.1 Stack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4E8" w:sz="1"/>
              <w:left w:val="single" w:color="E0E4E8" w:sz="1"/>
              <w:bottom w:val="single" w:color="E0E4E8" w:sz="1"/>
              <w:right w:val="single" w:color="E0E4E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E0E4E8" w:sz="1"/>
              <w:left w:val="single" w:color="E0E4E8" w:sz="1"/>
              <w:bottom w:val="single" w:color="E0E4E8" w:sz="1"/>
              <w:right w:val="single" w:color="E0E4E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2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Frontend</w:t>
            </w:r>
          </w:p>
        </w:tc>
        <w:tc>
          <w:tcPr>
            <w:tcW w:type="dxa" w:w="6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Next.js (React) with Tailwind CSS. Responsive design (desktop + mobile). Hosted on Vercel.</w:t>
            </w:r>
          </w:p>
        </w:tc>
      </w:tr>
      <w:tr>
        <w:tc>
          <w:tcPr>
            <w:tcW w:type="dxa" w:w="2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Backend / API</w:t>
            </w:r>
          </w:p>
        </w:tc>
        <w:tc>
          <w:tcPr>
            <w:tcW w:type="dxa" w:w="6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Next.js API routes or a lightweight Node.js/Express service. Serverless preferred for cost efficiency.</w:t>
            </w:r>
          </w:p>
        </w:tc>
      </w:tr>
      <w:tr>
        <w:tc>
          <w:tcPr>
            <w:tcW w:type="dxa" w:w="2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Database</w:t>
            </w:r>
          </w:p>
        </w:tc>
        <w:tc>
          <w:tcPr>
            <w:tcW w:type="dxa" w:w="6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PostgreSQL (via Supabase or AWS RDS). Relational model suits structured tags, profiles, and match relationships.</w:t>
            </w:r>
          </w:p>
        </w:tc>
      </w:tr>
      <w:tr>
        <w:tc>
          <w:tcPr>
            <w:tcW w:type="dxa" w:w="2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Authentication</w:t>
            </w:r>
          </w:p>
        </w:tc>
        <w:tc>
          <w:tcPr>
            <w:tcW w:type="dxa" w:w="6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Integrate with Coastal Wealth SSO (likely Azure AD / Okta). Fallback: Supabase Auth with email domain restriction.</w:t>
            </w:r>
          </w:p>
        </w:tc>
      </w:tr>
      <w:tr>
        <w:tc>
          <w:tcPr>
            <w:tcW w:type="dxa" w:w="2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Notifications</w:t>
            </w:r>
          </w:p>
        </w:tc>
        <w:tc>
          <w:tcPr>
            <w:tcW w:type="dxa" w:w="6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Email via SendGrid or Amazon SES. Push notifications via web push API. In-app notification center.</w:t>
            </w:r>
          </w:p>
        </w:tc>
      </w:tr>
      <w:tr>
        <w:tc>
          <w:tcPr>
            <w:tcW w:type="dxa" w:w="2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File Storage</w:t>
            </w:r>
          </w:p>
        </w:tc>
        <w:tc>
          <w:tcPr>
            <w:tcW w:type="dxa" w:w="6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S3 or Supabase Storage for advisor profile photos.</w:t>
            </w:r>
          </w:p>
        </w:tc>
      </w:tr>
      <w:tr>
        <w:tc>
          <w:tcPr>
            <w:tcW w:type="dxa" w:w="2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Analytics</w:t>
            </w:r>
          </w:p>
        </w:tc>
        <w:tc>
          <w:tcPr>
            <w:tcW w:type="dxa" w:w="6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Mixpanel or PostHog for product analytics. Custom admin dashboard pulling from the database.</w:t>
            </w:r>
          </w:p>
        </w:tc>
      </w:tr>
    </w:tbl>
    <w:p>
      <w:pPr>
        <w:spacing w:after="100"/>
      </w:pPr>
    </w:p>
    <w:p>
      <w:pPr>
        <w:pStyle w:val="Heading2"/>
      </w:pPr>
      <w:r>
        <w:t xml:space="preserve">8.2 Data Model (Simplified)</w:t>
      </w:r>
    </w:p>
    <w:p>
      <w:pPr>
        <w:spacing w:after="160"/>
      </w:pPr>
      <w:r>
        <w:rPr>
          <w:rFonts w:ascii="Arial" w:cs="Arial" w:eastAsia="Arial" w:hAnsi="Arial"/>
          <w:color w:val="1B2A4A"/>
          <w:sz w:val="22"/>
          <w:szCs w:val="22"/>
        </w:rPr>
        <w:t xml:space="preserve">The core data model consists of four primary entities: Advisors (profile data, role, tags, preferences), Cases (anonymized client descriptors, tags, status, timestamps), Matches (case ID + advisor ID + status + timestamps + feedback), and Tags (shared taxonomy used by both cases and profiles). Relationships include: an Advisor creates many Cases; a Case receives many Match requests; a Match links one Case to one Senior Advisor; Tags are many-to-many with both Cases and Advisor profiles.</w:t>
      </w:r>
    </w:p>
    <w:p>
      <w:pPr>
        <w:pStyle w:val="Heading2"/>
      </w:pPr>
      <w:r>
        <w:t xml:space="preserve">8.3 Integration Considerations</w:t>
      </w:r>
    </w:p>
    <w:p>
      <w:pPr>
        <w:pStyle w:val="ListParagraph"/>
        <w:numPr>
          <w:ilvl w:val="0"/>
          <w:numId w:val="2"/>
        </w:numPr>
        <w:spacing w:after="80"/>
      </w:pPr>
      <w:r>
        <w:rPr>
          <w:rFonts w:ascii="Arial" w:cs="Arial" w:eastAsia="Arial" w:hAnsi="Arial"/>
          <w:b/>
          <w:bCs/>
          <w:color w:val="1B2A4A"/>
          <w:sz w:val="22"/>
          <w:szCs w:val="22"/>
        </w:rPr>
        <w:t xml:space="preserve">CRM Integration (Phase 2): </w:t>
      </w:r>
      <w:r>
        <w:rPr>
          <w:rFonts w:ascii="Arial" w:cs="Arial" w:eastAsia="Arial" w:hAnsi="Arial"/>
          <w:color w:val="1B2A4A"/>
          <w:sz w:val="22"/>
          <w:szCs w:val="22"/>
        </w:rPr>
        <w:t xml:space="preserve">If Coastal Wealth’s CRM exposes an API, advisor profile data (years of experience, region, production tier) could be auto-populated to reduce setup friction.</w:t>
      </w:r>
    </w:p>
    <w:p>
      <w:pPr>
        <w:pStyle w:val="ListParagraph"/>
        <w:numPr>
          <w:ilvl w:val="0"/>
          <w:numId w:val="2"/>
        </w:numPr>
        <w:spacing w:after="80"/>
      </w:pPr>
      <w:r>
        <w:rPr>
          <w:rFonts w:ascii="Arial" w:cs="Arial" w:eastAsia="Arial" w:hAnsi="Arial"/>
          <w:b/>
          <w:bCs/>
          <w:color w:val="1B2A4A"/>
          <w:sz w:val="22"/>
          <w:szCs w:val="22"/>
        </w:rPr>
        <w:t xml:space="preserve">Calendar Integration (Phase 2): </w:t>
      </w:r>
      <w:r>
        <w:rPr>
          <w:rFonts w:ascii="Arial" w:cs="Arial" w:eastAsia="Arial" w:hAnsi="Arial"/>
          <w:color w:val="1B2A4A"/>
          <w:sz w:val="22"/>
          <w:szCs w:val="22"/>
        </w:rPr>
        <w:t xml:space="preserve">Sync meeting dates from case posts to advisors’ calendars upon match acceptance.</w:t>
      </w:r>
    </w:p>
    <w:p>
      <w:pPr>
        <w:pStyle w:val="ListParagraph"/>
        <w:numPr>
          <w:ilvl w:val="0"/>
          <w:numId w:val="2"/>
        </w:numPr>
        <w:spacing w:after="80"/>
      </w:pPr>
      <w:r>
        <w:rPr>
          <w:rFonts w:ascii="Arial" w:cs="Arial" w:eastAsia="Arial" w:hAnsi="Arial"/>
          <w:b/>
          <w:bCs/>
          <w:color w:val="1B2A4A"/>
          <w:sz w:val="22"/>
          <w:szCs w:val="22"/>
        </w:rPr>
        <w:t xml:space="preserve">Slack/Teams Integration (Phase 2): </w:t>
      </w:r>
      <w:r>
        <w:rPr>
          <w:rFonts w:ascii="Arial" w:cs="Arial" w:eastAsia="Arial" w:hAnsi="Arial"/>
          <w:color w:val="1B2A4A"/>
          <w:sz w:val="22"/>
          <w:szCs w:val="22"/>
        </w:rPr>
        <w:t xml:space="preserve">Post weekly digest of new cases to a dedicated channel. Allow match notifications via Slack DM.</w:t>
      </w:r>
    </w:p>
    <w:p>
      <w:r>
        <w:br w:type="page"/>
      </w:r>
    </w:p>
    <w:p>
      <w:pPr>
        <w:pStyle w:val="Heading1"/>
      </w:pPr>
      <w:r>
        <w:t xml:space="preserve">9. UX Design Principles</w:t>
      </w:r>
    </w:p>
    <w:p>
      <w:pPr>
        <w:spacing w:after="160"/>
      </w:pPr>
      <w:r>
        <w:rPr>
          <w:rFonts w:ascii="Arial" w:cs="Arial" w:eastAsia="Arial" w:hAnsi="Arial"/>
          <w:color w:val="1B2A4A"/>
          <w:sz w:val="22"/>
          <w:szCs w:val="22"/>
        </w:rPr>
        <w:t xml:space="preserve">The following principles should guide all design decisions:</w:t>
      </w:r>
    </w:p>
    <w:p>
      <w:pPr>
        <w:pStyle w:val="Heading2"/>
      </w:pPr>
      <w:r>
        <w:t xml:space="preserve">9.1 Two-Minute Rule</w:t>
      </w:r>
    </w:p>
    <w:p>
      <w:pPr>
        <w:spacing w:after="160"/>
      </w:pPr>
      <w:r>
        <w:rPr>
          <w:rFonts w:ascii="Arial" w:cs="Arial" w:eastAsia="Arial" w:hAnsi="Arial"/>
          <w:color w:val="1B2A4A"/>
          <w:sz w:val="22"/>
          <w:szCs w:val="22"/>
        </w:rPr>
        <w:t xml:space="preserve">No advisor action (posting a case, expressing interest, accepting a match) should take more than two minutes. Every screen should have a clear primary action and minimal cognitive load. If it feels like filling out a form, we’ve failed. It should feel like browsing a curated feed and tapping buttons.</w:t>
      </w:r>
    </w:p>
    <w:p>
      <w:pPr>
        <w:pStyle w:val="Heading2"/>
      </w:pPr>
      <w:r>
        <w:t xml:space="preserve">9.2 Mobile-First, Desktop-Rich</w:t>
      </w:r>
    </w:p>
    <w:p>
      <w:pPr>
        <w:spacing w:after="160"/>
      </w:pPr>
      <w:r>
        <w:rPr>
          <w:rFonts w:ascii="Arial" w:cs="Arial" w:eastAsia="Arial" w:hAnsi="Arial"/>
          <w:color w:val="1B2A4A"/>
          <w:sz w:val="22"/>
          <w:szCs w:val="22"/>
        </w:rPr>
        <w:t xml:space="preserve">Many advisors are on the go. The mobile experience must be fully functional: post cases, browse, express interest, accept matches. The desktop experience adds richer filtering, side-by-side match cards, and the admin dashboard.</w:t>
      </w:r>
    </w:p>
    <w:p>
      <w:pPr>
        <w:pStyle w:val="Heading2"/>
      </w:pPr>
      <w:r>
        <w:t xml:space="preserve">9.3 Visual Over Textual</w:t>
      </w:r>
    </w:p>
    <w:p>
      <w:pPr>
        <w:spacing w:after="160"/>
      </w:pPr>
      <w:r>
        <w:rPr>
          <w:rFonts w:ascii="Arial" w:cs="Arial" w:eastAsia="Arial" w:hAnsi="Arial"/>
          <w:color w:val="1B2A4A"/>
          <w:sz w:val="22"/>
          <w:szCs w:val="22"/>
        </w:rPr>
        <w:t xml:space="preserve">Case cards use color-coded tags, iconography for client types, and a visual complexity meter (think 1–5 filled dots) rather than walls of text. A glance should convey: what kind of case, how complex, and when it’s happening.</w:t>
      </w:r>
    </w:p>
    <w:p>
      <w:pPr>
        <w:pStyle w:val="Heading2"/>
      </w:pPr>
      <w:r>
        <w:t xml:space="preserve">9.4 Notifications That Don’t Annoy</w:t>
      </w:r>
    </w:p>
    <w:p>
      <w:pPr>
        <w:spacing w:after="160"/>
      </w:pPr>
      <w:r>
        <w:rPr>
          <w:rFonts w:ascii="Arial" w:cs="Arial" w:eastAsia="Arial" w:hAnsi="Arial"/>
          <w:color w:val="1B2A4A"/>
          <w:sz w:val="22"/>
          <w:szCs w:val="22"/>
        </w:rPr>
        <w:t xml:space="preserve">Notification preferences are fully customizable. Default to a weekly email digest. Allow opt-in to real-time push for specific filter presets. Never send more than one push notification per day for new cases. Batch aggressively.</w:t>
      </w:r>
    </w:p>
    <w:p>
      <w:pPr>
        <w:pStyle w:val="Heading2"/>
      </w:pPr>
      <w:r>
        <w:t xml:space="preserve">9.5 Framing: Opportunity, Not Help</w:t>
      </w:r>
    </w:p>
    <w:p>
      <w:pPr>
        <w:spacing w:after="160"/>
      </w:pPr>
      <w:r>
        <w:rPr>
          <w:rFonts w:ascii="Arial" w:cs="Arial" w:eastAsia="Arial" w:hAnsi="Arial"/>
          <w:color w:val="1B2A4A"/>
          <w:sz w:val="22"/>
          <w:szCs w:val="22"/>
        </w:rPr>
        <w:t xml:space="preserve">The language throughout the platform frames case posts as “opportunities” and senior advisor participation as “joint work” or “collaboration,” not “help” or “mentorship.” This preserves the dignity of the posting advisor and positions the interaction as mutually beneficial. No one is “asking for help.” Everyone is “collaborating on an opportunity.”</w:t>
      </w:r>
    </w:p>
    <w:p>
      <w:r>
        <w:br w:type="page"/>
      </w:r>
    </w:p>
    <w:p>
      <w:pPr>
        <w:pStyle w:val="Heading1"/>
      </w:pPr>
      <w:r>
        <w:t xml:space="preserve">10. Phased Rollout Plan</w:t>
      </w:r>
    </w:p>
    <w:p>
      <w:pPr>
        <w:pStyle w:val="Heading2"/>
      </w:pPr>
      <w:r>
        <w:t xml:space="preserve">10.1 Phase 0: Validation (Weeks 1–3)</w:t>
      </w:r>
    </w:p>
    <w:p>
      <w:pPr>
        <w:pStyle w:val="ListParagraph"/>
        <w:numPr>
          <w:ilvl w:val="0"/>
          <w:numId w:val="2"/>
        </w:numPr>
        <w:spacing w:after="80"/>
      </w:pPr>
      <w:r>
        <w:rPr>
          <w:rFonts w:ascii="Arial" w:cs="Arial" w:eastAsia="Arial" w:hAnsi="Arial"/>
          <w:b/>
          <w:bCs/>
          <w:color w:val="1B2A4A"/>
          <w:sz w:val="22"/>
          <w:szCs w:val="22"/>
        </w:rPr>
        <w:t xml:space="preserve">Objective: </w:t>
      </w:r>
      <w:r>
        <w:rPr>
          <w:rFonts w:ascii="Arial" w:cs="Arial" w:eastAsia="Arial" w:hAnsi="Arial"/>
          <w:color w:val="1B2A4A"/>
          <w:sz w:val="22"/>
          <w:szCs w:val="22"/>
        </w:rPr>
        <w:t xml:space="preserve">Confirm demand and refine the concept before building.</w:t>
      </w:r>
    </w:p>
    <w:p>
      <w:pPr>
        <w:pStyle w:val="ListParagraph"/>
        <w:numPr>
          <w:ilvl w:val="0"/>
          <w:numId w:val="2"/>
        </w:numPr>
        <w:spacing w:after="80"/>
      </w:pPr>
      <w:r>
        <w:rPr>
          <w:rFonts w:ascii="Arial" w:cs="Arial" w:eastAsia="Arial" w:hAnsi="Arial"/>
          <w:color w:val="1B2A4A"/>
          <w:sz w:val="22"/>
          <w:szCs w:val="22"/>
        </w:rPr>
        <w:t xml:space="preserve">Run 2–3 focus groups: one with junior advisors, one with senior advisors, one with office/regional managers.</w:t>
      </w:r>
    </w:p>
    <w:p>
      <w:pPr>
        <w:pStyle w:val="ListParagraph"/>
        <w:numPr>
          <w:ilvl w:val="0"/>
          <w:numId w:val="2"/>
        </w:numPr>
        <w:spacing w:after="80"/>
      </w:pPr>
      <w:r>
        <w:rPr>
          <w:rFonts w:ascii="Arial" w:cs="Arial" w:eastAsia="Arial" w:hAnsi="Arial"/>
          <w:color w:val="1B2A4A"/>
          <w:sz w:val="22"/>
          <w:szCs w:val="22"/>
        </w:rPr>
        <w:t xml:space="preserve">Test a paper prototype or clickable Figma mockup of the Case Board and posting flow.</w:t>
      </w:r>
    </w:p>
    <w:p>
      <w:pPr>
        <w:pStyle w:val="ListParagraph"/>
        <w:numPr>
          <w:ilvl w:val="0"/>
          <w:numId w:val="2"/>
        </w:numPr>
        <w:spacing w:after="80"/>
      </w:pPr>
      <w:r>
        <w:rPr>
          <w:rFonts w:ascii="Arial" w:cs="Arial" w:eastAsia="Arial" w:hAnsi="Arial"/>
          <w:color w:val="1B2A4A"/>
          <w:sz w:val="22"/>
          <w:szCs w:val="22"/>
        </w:rPr>
        <w:t xml:space="preserve">Validate the tagging taxonomy with 10+ advisors across regions.</w:t>
      </w:r>
    </w:p>
    <w:p>
      <w:pPr>
        <w:pStyle w:val="ListParagraph"/>
        <w:numPr>
          <w:ilvl w:val="0"/>
          <w:numId w:val="2"/>
        </w:numPr>
        <w:spacing w:after="80"/>
      </w:pPr>
      <w:r>
        <w:rPr>
          <w:rFonts w:ascii="Arial" w:cs="Arial" w:eastAsia="Arial" w:hAnsi="Arial"/>
          <w:color w:val="1B2A4A"/>
          <w:sz w:val="22"/>
          <w:szCs w:val="22"/>
        </w:rPr>
        <w:t xml:space="preserve">Identify 2–3 “founding champions” — respected senior advisors who will seed the platform with active profiles at launch.</w:t>
      </w:r>
    </w:p>
    <w:p>
      <w:pPr>
        <w:pStyle w:val="Heading2"/>
      </w:pPr>
      <w:r>
        <w:t xml:space="preserve">10.2 Phase 1: MVP Launch (Weeks 4–10)</w:t>
      </w:r>
    </w:p>
    <w:p>
      <w:pPr>
        <w:pStyle w:val="ListParagraph"/>
        <w:numPr>
          <w:ilvl w:val="0"/>
          <w:numId w:val="2"/>
        </w:numPr>
        <w:spacing w:after="80"/>
      </w:pPr>
      <w:r>
        <w:rPr>
          <w:rFonts w:ascii="Arial" w:cs="Arial" w:eastAsia="Arial" w:hAnsi="Arial"/>
          <w:b/>
          <w:bCs/>
          <w:color w:val="1B2A4A"/>
          <w:sz w:val="22"/>
          <w:szCs w:val="22"/>
        </w:rPr>
        <w:t xml:space="preserve">Objective: </w:t>
      </w:r>
      <w:r>
        <w:rPr>
          <w:rFonts w:ascii="Arial" w:cs="Arial" w:eastAsia="Arial" w:hAnsi="Arial"/>
          <w:color w:val="1B2A4A"/>
          <w:sz w:val="22"/>
          <w:szCs w:val="22"/>
        </w:rPr>
        <w:t xml:space="preserve">Launch a working v1 to a pilot group of 30–50 advisors across 2–3 offices.</w:t>
      </w:r>
    </w:p>
    <w:p>
      <w:pPr>
        <w:pStyle w:val="ListParagraph"/>
        <w:numPr>
          <w:ilvl w:val="0"/>
          <w:numId w:val="2"/>
        </w:numPr>
        <w:spacing w:after="80"/>
      </w:pPr>
      <w:r>
        <w:rPr>
          <w:rFonts w:ascii="Arial" w:cs="Arial" w:eastAsia="Arial" w:hAnsi="Arial"/>
          <w:color w:val="1B2A4A"/>
          <w:sz w:val="22"/>
          <w:szCs w:val="22"/>
        </w:rPr>
        <w:t xml:space="preserve">Core features only: Case posting, senior profiles, browse/filter, express interest, accept/decline, email notifications.</w:t>
      </w:r>
    </w:p>
    <w:p>
      <w:pPr>
        <w:pStyle w:val="ListParagraph"/>
        <w:numPr>
          <w:ilvl w:val="0"/>
          <w:numId w:val="2"/>
        </w:numPr>
        <w:spacing w:after="80"/>
      </w:pPr>
      <w:r>
        <w:rPr>
          <w:rFonts w:ascii="Arial" w:cs="Arial" w:eastAsia="Arial" w:hAnsi="Arial"/>
          <w:color w:val="1B2A4A"/>
          <w:sz w:val="22"/>
          <w:szCs w:val="22"/>
        </w:rPr>
        <w:t xml:space="preserve">No smart matching algorithm — rely on tag-based filtering and manual browsing.</w:t>
      </w:r>
    </w:p>
    <w:p>
      <w:pPr>
        <w:pStyle w:val="ListParagraph"/>
        <w:numPr>
          <w:ilvl w:val="0"/>
          <w:numId w:val="2"/>
        </w:numPr>
        <w:spacing w:after="80"/>
      </w:pPr>
      <w:r>
        <w:rPr>
          <w:rFonts w:ascii="Arial" w:cs="Arial" w:eastAsia="Arial" w:hAnsi="Arial"/>
          <w:color w:val="1B2A4A"/>
          <w:sz w:val="22"/>
          <w:szCs w:val="22"/>
        </w:rPr>
        <w:t xml:space="preserve">Basic admin view with activity counts (no heatmaps or leaderboards yet).</w:t>
      </w:r>
    </w:p>
    <w:p>
      <w:pPr>
        <w:pStyle w:val="ListParagraph"/>
        <w:numPr>
          <w:ilvl w:val="0"/>
          <w:numId w:val="2"/>
        </w:numPr>
        <w:spacing w:after="80"/>
      </w:pPr>
      <w:r>
        <w:rPr>
          <w:rFonts w:ascii="Arial" w:cs="Arial" w:eastAsia="Arial" w:hAnsi="Arial"/>
          <w:color w:val="1B2A4A"/>
          <w:sz w:val="22"/>
          <w:szCs w:val="22"/>
        </w:rPr>
        <w:t xml:space="preserve">Weekly office-hour Zoom calls with pilot group to gather feedback.</w:t>
      </w:r>
    </w:p>
    <w:p>
      <w:pPr>
        <w:pStyle w:val="ListParagraph"/>
        <w:numPr>
          <w:ilvl w:val="0"/>
          <w:numId w:val="2"/>
        </w:numPr>
        <w:spacing w:after="80"/>
      </w:pPr>
      <w:r>
        <w:rPr>
          <w:rFonts w:ascii="Arial" w:cs="Arial" w:eastAsia="Arial" w:hAnsi="Arial"/>
          <w:color w:val="1B2A4A"/>
          <w:sz w:val="22"/>
          <w:szCs w:val="22"/>
        </w:rPr>
        <w:t xml:space="preserve">T&amp;D team manually seeds 5–10 case posts and encourages participation.</w:t>
      </w:r>
    </w:p>
    <w:p>
      <w:pPr>
        <w:pStyle w:val="Heading2"/>
      </w:pPr>
      <w:r>
        <w:t xml:space="preserve">10.3 Phase 2: Scale &amp; Refine (Weeks 11–20)</w:t>
      </w:r>
    </w:p>
    <w:p>
      <w:pPr>
        <w:pStyle w:val="ListParagraph"/>
        <w:numPr>
          <w:ilvl w:val="0"/>
          <w:numId w:val="2"/>
        </w:numPr>
        <w:spacing w:after="80"/>
      </w:pPr>
      <w:r>
        <w:rPr>
          <w:rFonts w:ascii="Arial" w:cs="Arial" w:eastAsia="Arial" w:hAnsi="Arial"/>
          <w:b/>
          <w:bCs/>
          <w:color w:val="1B2A4A"/>
          <w:sz w:val="22"/>
          <w:szCs w:val="22"/>
        </w:rPr>
        <w:t xml:space="preserve">Objective: </w:t>
      </w:r>
      <w:r>
        <w:rPr>
          <w:rFonts w:ascii="Arial" w:cs="Arial" w:eastAsia="Arial" w:hAnsi="Arial"/>
          <w:color w:val="1B2A4A"/>
          <w:sz w:val="22"/>
          <w:szCs w:val="22"/>
        </w:rPr>
        <w:t xml:space="preserve">Expand to all advisors. Add intelligence and polish.</w:t>
      </w:r>
    </w:p>
    <w:p>
      <w:pPr>
        <w:pStyle w:val="ListParagraph"/>
        <w:numPr>
          <w:ilvl w:val="0"/>
          <w:numId w:val="2"/>
        </w:numPr>
        <w:spacing w:after="80"/>
      </w:pPr>
      <w:r>
        <w:rPr>
          <w:rFonts w:ascii="Arial" w:cs="Arial" w:eastAsia="Arial" w:hAnsi="Arial"/>
          <w:color w:val="1B2A4A"/>
          <w:sz w:val="22"/>
          <w:szCs w:val="22"/>
        </w:rPr>
        <w:t xml:space="preserve">Open to all 350+ Coastal Wealth advisors with an internal launch campaign (email, video, office presentations).</w:t>
      </w:r>
    </w:p>
    <w:p>
      <w:pPr>
        <w:pStyle w:val="ListParagraph"/>
        <w:numPr>
          <w:ilvl w:val="0"/>
          <w:numId w:val="2"/>
        </w:numPr>
        <w:spacing w:after="80"/>
      </w:pPr>
      <w:r>
        <w:rPr>
          <w:rFonts w:ascii="Arial" w:cs="Arial" w:eastAsia="Arial" w:hAnsi="Arial"/>
          <w:color w:val="1B2A4A"/>
          <w:sz w:val="22"/>
          <w:szCs w:val="22"/>
        </w:rPr>
        <w:t xml:space="preserve">Add smart match notifications (automated cross-referencing of new posts against profiles).</w:t>
      </w:r>
    </w:p>
    <w:p>
      <w:pPr>
        <w:pStyle w:val="ListParagraph"/>
        <w:numPr>
          <w:ilvl w:val="0"/>
          <w:numId w:val="2"/>
        </w:numPr>
        <w:spacing w:after="80"/>
      </w:pPr>
      <w:r>
        <w:rPr>
          <w:rFonts w:ascii="Arial" w:cs="Arial" w:eastAsia="Arial" w:hAnsi="Arial"/>
          <w:color w:val="1B2A4A"/>
          <w:sz w:val="22"/>
          <w:szCs w:val="22"/>
        </w:rPr>
        <w:t xml:space="preserve">Add the admin dashboard with heatmaps, skill gap analysis, and outcome tracking.</w:t>
      </w:r>
    </w:p>
    <w:p>
      <w:pPr>
        <w:pStyle w:val="ListParagraph"/>
        <w:numPr>
          <w:ilvl w:val="0"/>
          <w:numId w:val="2"/>
        </w:numPr>
        <w:spacing w:after="80"/>
      </w:pPr>
      <w:r>
        <w:rPr>
          <w:rFonts w:ascii="Arial" w:cs="Arial" w:eastAsia="Arial" w:hAnsi="Arial"/>
          <w:color w:val="1B2A4A"/>
          <w:sz w:val="22"/>
          <w:szCs w:val="22"/>
        </w:rPr>
        <w:t xml:space="preserve">Add post-match feedback surveys.</w:t>
      </w:r>
    </w:p>
    <w:p>
      <w:pPr>
        <w:pStyle w:val="ListParagraph"/>
        <w:numPr>
          <w:ilvl w:val="0"/>
          <w:numId w:val="2"/>
        </w:numPr>
        <w:spacing w:after="80"/>
      </w:pPr>
      <w:r>
        <w:rPr>
          <w:rFonts w:ascii="Arial" w:cs="Arial" w:eastAsia="Arial" w:hAnsi="Arial"/>
          <w:color w:val="1B2A4A"/>
          <w:sz w:val="22"/>
          <w:szCs w:val="22"/>
        </w:rPr>
        <w:t xml:space="preserve">Gamification layer: badges for top mentors, milestone markers (e.g., “10 cases mentored”).</w:t>
      </w:r>
    </w:p>
    <w:p>
      <w:pPr>
        <w:pStyle w:val="Heading2"/>
      </w:pPr>
      <w:r>
        <w:t xml:space="preserve">10.4 Phase 3: Mature Platform (Weeks 21+)</w:t>
      </w:r>
    </w:p>
    <w:p>
      <w:pPr>
        <w:pStyle w:val="ListParagraph"/>
        <w:numPr>
          <w:ilvl w:val="0"/>
          <w:numId w:val="2"/>
        </w:numPr>
        <w:spacing w:after="80"/>
      </w:pPr>
      <w:r>
        <w:rPr>
          <w:rFonts w:ascii="Arial" w:cs="Arial" w:eastAsia="Arial" w:hAnsi="Arial"/>
          <w:b/>
          <w:bCs/>
          <w:color w:val="1B2A4A"/>
          <w:sz w:val="22"/>
          <w:szCs w:val="22"/>
        </w:rPr>
        <w:t xml:space="preserve">Objective: </w:t>
      </w:r>
      <w:r>
        <w:rPr>
          <w:rFonts w:ascii="Arial" w:cs="Arial" w:eastAsia="Arial" w:hAnsi="Arial"/>
          <w:color w:val="1B2A4A"/>
          <w:sz w:val="22"/>
          <w:szCs w:val="22"/>
        </w:rPr>
        <w:t xml:space="preserve">Optimize, integrate, and explore expansion.</w:t>
      </w:r>
    </w:p>
    <w:p>
      <w:pPr>
        <w:pStyle w:val="ListParagraph"/>
        <w:numPr>
          <w:ilvl w:val="0"/>
          <w:numId w:val="2"/>
        </w:numPr>
        <w:spacing w:after="80"/>
      </w:pPr>
      <w:r>
        <w:rPr>
          <w:rFonts w:ascii="Arial" w:cs="Arial" w:eastAsia="Arial" w:hAnsi="Arial"/>
          <w:color w:val="1B2A4A"/>
          <w:sz w:val="22"/>
          <w:szCs w:val="22"/>
        </w:rPr>
        <w:t xml:space="preserve">CRM integration for auto-populated profiles and outcome tracking.</w:t>
      </w:r>
    </w:p>
    <w:p>
      <w:pPr>
        <w:pStyle w:val="ListParagraph"/>
        <w:numPr>
          <w:ilvl w:val="0"/>
          <w:numId w:val="2"/>
        </w:numPr>
        <w:spacing w:after="80"/>
      </w:pPr>
      <w:r>
        <w:rPr>
          <w:rFonts w:ascii="Arial" w:cs="Arial" w:eastAsia="Arial" w:hAnsi="Arial"/>
          <w:color w:val="1B2A4A"/>
          <w:sz w:val="22"/>
          <w:szCs w:val="22"/>
        </w:rPr>
        <w:t xml:space="preserve">Calendar sync for matched meeting coordination.</w:t>
      </w:r>
    </w:p>
    <w:p>
      <w:pPr>
        <w:pStyle w:val="ListParagraph"/>
        <w:numPr>
          <w:ilvl w:val="0"/>
          <w:numId w:val="2"/>
        </w:numPr>
        <w:spacing w:after="80"/>
      </w:pPr>
      <w:r>
        <w:rPr>
          <w:rFonts w:ascii="Arial" w:cs="Arial" w:eastAsia="Arial" w:hAnsi="Arial"/>
          <w:color w:val="1B2A4A"/>
          <w:sz w:val="22"/>
          <w:szCs w:val="22"/>
        </w:rPr>
        <w:t xml:space="preserve">Slack/Teams integration for digest delivery.</w:t>
      </w:r>
    </w:p>
    <w:p>
      <w:pPr>
        <w:pStyle w:val="ListParagraph"/>
        <w:numPr>
          <w:ilvl w:val="0"/>
          <w:numId w:val="2"/>
        </w:numPr>
        <w:spacing w:after="80"/>
      </w:pPr>
      <w:r>
        <w:rPr>
          <w:rFonts w:ascii="Arial" w:cs="Arial" w:eastAsia="Arial" w:hAnsi="Arial"/>
          <w:color w:val="1B2A4A"/>
          <w:sz w:val="22"/>
          <w:szCs w:val="22"/>
        </w:rPr>
        <w:t xml:space="preserve">Optional: Open the concept to MassMutual’s broader advisor network (requires separate scoping).</w:t>
      </w:r>
    </w:p>
    <w:p>
      <w:pPr>
        <w:pStyle w:val="ListParagraph"/>
        <w:numPr>
          <w:ilvl w:val="0"/>
          <w:numId w:val="2"/>
        </w:numPr>
        <w:spacing w:after="80"/>
      </w:pPr>
      <w:r>
        <w:rPr>
          <w:rFonts w:ascii="Arial" w:cs="Arial" w:eastAsia="Arial" w:hAnsi="Arial"/>
          <w:color w:val="1B2A4A"/>
          <w:sz w:val="22"/>
          <w:szCs w:val="22"/>
        </w:rPr>
        <w:t xml:space="preserve">Optional: AI-powered match recommendations using historical match success data.</w:t>
      </w:r>
    </w:p>
    <w:p>
      <w:pPr>
        <w:pStyle w:val="ListParagraph"/>
        <w:numPr>
          <w:ilvl w:val="0"/>
          <w:numId w:val="2"/>
        </w:numPr>
        <w:spacing w:after="80"/>
      </w:pPr>
      <w:r>
        <w:rPr>
          <w:rFonts w:ascii="Arial" w:cs="Arial" w:eastAsia="Arial" w:hAnsi="Arial"/>
          <w:color w:val="1B2A4A"/>
          <w:sz w:val="22"/>
          <w:szCs w:val="22"/>
        </w:rPr>
        <w:t xml:space="preserve">Optional: Supervisory review workflow for compliance if needed.</w:t>
      </w:r>
    </w:p>
    <w:p>
      <w:r>
        <w:br w:type="page"/>
      </w:r>
    </w:p>
    <w:p>
      <w:pPr>
        <w:pStyle w:val="Heading1"/>
      </w:pPr>
      <w: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E0E4E8" w:sz="1"/>
              <w:left w:val="single" w:color="E0E4E8" w:sz="1"/>
              <w:bottom w:val="single" w:color="E0E4E8" w:sz="1"/>
              <w:right w:val="single" w:color="E0E4E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200"/>
            <w:tcBorders>
              <w:top w:val="single" w:color="E0E4E8" w:sz="1"/>
              <w:left w:val="single" w:color="E0E4E8" w:sz="1"/>
              <w:bottom w:val="single" w:color="E0E4E8" w:sz="1"/>
              <w:right w:val="single" w:color="E0E4E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960"/>
            <w:tcBorders>
              <w:top w:val="single" w:color="E0E4E8" w:sz="1"/>
              <w:left w:val="single" w:color="E0E4E8" w:sz="1"/>
              <w:bottom w:val="single" w:color="E0E4E8" w:sz="1"/>
              <w:right w:val="single" w:color="E0E4E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Low adoption (empty room)</w:t>
            </w:r>
          </w:p>
        </w:tc>
        <w:tc>
          <w:tcPr>
            <w:tcW w:type="dxa" w:w="3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No cases posted, senior advisors lose interest.</w:t>
            </w:r>
          </w:p>
        </w:tc>
        <w:tc>
          <w:tcPr>
            <w:tcW w:type="dxa" w:w="39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Seed with founding champions. T&amp;D team manually posts cases initially. Integrate into existing meeting rhythms (e.g., Monday morning office huddles).</w:t>
            </w:r>
          </w:p>
        </w:tc>
      </w:tr>
      <w:tr>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Poor match quality</w:t>
            </w:r>
          </w:p>
        </w:tc>
        <w:tc>
          <w:tcPr>
            <w:tcW w:type="dxa" w:w="3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Senior advisors show up to meetings they’re not suited for. Trust erodes.</w:t>
            </w:r>
          </w:p>
        </w:tc>
        <w:tc>
          <w:tcPr>
            <w:tcW w:type="dxa" w:w="39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Rich tagging taxonomy. Post-match feedback loop. Allow posters to see full senior profiles before accepting. Complexity scoring prevents mismatch.</w:t>
            </w:r>
          </w:p>
        </w:tc>
      </w:tr>
      <w:tr>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Compliance concerns (PII exposure)</w:t>
            </w:r>
          </w:p>
        </w:tc>
        <w:tc>
          <w:tcPr>
            <w:tcW w:type="dxa" w:w="3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Client data leaks through case descriptions.</w:t>
            </w:r>
          </w:p>
        </w:tc>
        <w:tc>
          <w:tcPr>
            <w:tcW w:type="dxa" w:w="39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No free-text PII fields. Compliance disclaimer on every form. Moderation by T&amp;D/compliance team. Audit trail.</w:t>
            </w:r>
          </w:p>
        </w:tc>
      </w:tr>
      <w:tr>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Senior advisor profile fatigue</w:t>
            </w:r>
          </w:p>
        </w:tc>
        <w:tc>
          <w:tcPr>
            <w:tcW w:type="dxa" w:w="3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Profiles go stale. Specializations not updated.</w:t>
            </w:r>
          </w:p>
        </w:tc>
        <w:tc>
          <w:tcPr>
            <w:tcW w:type="dxa" w:w="39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Profile setup is 5 min one-time. Quarterly nudge emails. Highlight stale profiles in admin dashboard.</w:t>
            </w:r>
          </w:p>
        </w:tc>
      </w:tr>
      <w:tr>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Cultural resistance (“asking for help” stigma)</w:t>
            </w:r>
          </w:p>
        </w:tc>
        <w:tc>
          <w:tcPr>
            <w:tcW w:type="dxa" w:w="3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Junior advisors don’t post because it feels like admitting weakness.</w:t>
            </w:r>
          </w:p>
        </w:tc>
        <w:tc>
          <w:tcPr>
            <w:tcW w:type="dxa" w:w="39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Frame as “opportunity board” not “help board.” Launch messaging emphasizes collaboration. Have respected senior advisors publicly endorse it. Jeremy/leadership champion it.</w:t>
            </w:r>
          </w:p>
        </w:tc>
      </w:tr>
      <w:tr>
        <w:tc>
          <w:tcPr>
            <w:tcW w:type="dxa" w:w="2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Overuse by a few, ignored by many</w:t>
            </w:r>
          </w:p>
        </w:tc>
        <w:tc>
          <w:tcPr>
            <w:tcW w:type="dxa" w:w="32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Platform becomes a niche tool for 10% of advisors.</w:t>
            </w:r>
          </w:p>
        </w:tc>
        <w:tc>
          <w:tcPr>
            <w:tcW w:type="dxa" w:w="39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Integrate into onboarding for all new advisors. T&amp;D team promotes weekly. Regional managers hold accountable. Gamification creates social proof.</w:t>
            </w:r>
          </w:p>
        </w:tc>
      </w:tr>
    </w:tbl>
    <w:p>
      <w:pPr>
        <w:spacing w:after="200"/>
      </w:pPr>
    </w:p>
    <w:p>
      <w:pPr>
        <w:pStyle w:val="Heading1"/>
      </w:pPr>
      <w:r>
        <w:t xml:space="preserve">12. Open Questions for Kristen &amp; Stakeholders</w:t>
      </w:r>
    </w:p>
    <w:p>
      <w:pPr>
        <w:spacing w:after="160"/>
      </w:pPr>
      <w:r>
        <w:rPr>
          <w:rFonts w:ascii="Arial" w:cs="Arial" w:eastAsia="Arial" w:hAnsi="Arial"/>
          <w:color w:val="1B2A4A"/>
          <w:sz w:val="22"/>
          <w:szCs w:val="22"/>
        </w:rPr>
        <w:t xml:space="preserve">The following questions should be resolved before development begins:</w:t>
      </w:r>
    </w:p>
    <w:p>
      <w:pPr>
        <w:pStyle w:val="ListParagraph"/>
        <w:numPr>
          <w:ilvl w:val="0"/>
          <w:numId w:val="2"/>
        </w:numPr>
        <w:spacing w:after="80"/>
      </w:pPr>
      <w:r>
        <w:rPr>
          <w:rFonts w:ascii="Arial" w:cs="Arial" w:eastAsia="Arial" w:hAnsi="Arial"/>
          <w:color w:val="1B2A4A"/>
          <w:sz w:val="22"/>
          <w:szCs w:val="22"/>
        </w:rPr>
        <w:t xml:space="preserve">Compensation/credit sharing: When a senior advisor co-works a case and it closes, is there a formal split or referral fee? Or is this purely goodwill/mentorship? This significantly impacts incentive design.</w:t>
      </w:r>
    </w:p>
    <w:p>
      <w:pPr>
        <w:pStyle w:val="ListParagraph"/>
        <w:numPr>
          <w:ilvl w:val="0"/>
          <w:numId w:val="2"/>
        </w:numPr>
        <w:spacing w:after="80"/>
      </w:pPr>
      <w:r>
        <w:rPr>
          <w:rFonts w:ascii="Arial" w:cs="Arial" w:eastAsia="Arial" w:hAnsi="Arial"/>
          <w:color w:val="1B2A4A"/>
          <w:sz w:val="22"/>
          <w:szCs w:val="22"/>
        </w:rPr>
        <w:t xml:space="preserve">Compliance review: Does MassMutual or Coastal Wealth’s compliance team need to approve this concept before development? Should we engage them during Phase 0?</w:t>
      </w:r>
    </w:p>
    <w:p>
      <w:pPr>
        <w:pStyle w:val="ListParagraph"/>
        <w:numPr>
          <w:ilvl w:val="0"/>
          <w:numId w:val="2"/>
        </w:numPr>
        <w:spacing w:after="80"/>
      </w:pPr>
      <w:r>
        <w:rPr>
          <w:rFonts w:ascii="Arial" w:cs="Arial" w:eastAsia="Arial" w:hAnsi="Arial"/>
          <w:color w:val="1B2A4A"/>
          <w:sz w:val="22"/>
          <w:szCs w:val="22"/>
        </w:rPr>
        <w:t xml:space="preserve">SSO availability: What identity provider does Coastal Wealth use? Is there an existing SSO integration we can leverage, or do we need standalone auth?</w:t>
      </w:r>
    </w:p>
    <w:p>
      <w:pPr>
        <w:pStyle w:val="ListParagraph"/>
        <w:numPr>
          <w:ilvl w:val="0"/>
          <w:numId w:val="2"/>
        </w:numPr>
        <w:spacing w:after="80"/>
      </w:pPr>
      <w:r>
        <w:rPr>
          <w:rFonts w:ascii="Arial" w:cs="Arial" w:eastAsia="Arial" w:hAnsi="Arial"/>
          <w:color w:val="1B2A4A"/>
          <w:sz w:val="22"/>
          <w:szCs w:val="22"/>
        </w:rPr>
        <w:t xml:space="preserve">CRM access: What CRM is in use (Salesforce, Redtail, Wealthbox, other)? Is there API access for advisor data auto-population?</w:t>
      </w:r>
    </w:p>
    <w:p>
      <w:pPr>
        <w:pStyle w:val="ListParagraph"/>
        <w:numPr>
          <w:ilvl w:val="0"/>
          <w:numId w:val="2"/>
        </w:numPr>
        <w:spacing w:after="80"/>
      </w:pPr>
      <w:r>
        <w:rPr>
          <w:rFonts w:ascii="Arial" w:cs="Arial" w:eastAsia="Arial" w:hAnsi="Arial"/>
          <w:color w:val="1B2A4A"/>
          <w:sz w:val="22"/>
          <w:szCs w:val="22"/>
        </w:rPr>
        <w:t xml:space="preserve">Budget and resourcing: Is this a T&amp;D-funded project, a firm-wide initiative, or a Dillon Agency build? Who owns the backlog and prioritization after launch?</w:t>
      </w:r>
    </w:p>
    <w:p>
      <w:pPr>
        <w:pStyle w:val="ListParagraph"/>
        <w:numPr>
          <w:ilvl w:val="0"/>
          <w:numId w:val="2"/>
        </w:numPr>
        <w:spacing w:after="80"/>
      </w:pPr>
      <w:r>
        <w:rPr>
          <w:rFonts w:ascii="Arial" w:cs="Arial" w:eastAsia="Arial" w:hAnsi="Arial"/>
          <w:color w:val="1B2A4A"/>
          <w:sz w:val="22"/>
          <w:szCs w:val="22"/>
        </w:rPr>
        <w:t xml:space="preserve">Naming: “AdvisorConnect” and “The Case Board” are working titles. Does Kristen have a preferred name? Should it align with existing internal brand language?</w:t>
      </w:r>
    </w:p>
    <w:p>
      <w:pPr>
        <w:pStyle w:val="ListParagraph"/>
        <w:numPr>
          <w:ilvl w:val="0"/>
          <w:numId w:val="2"/>
        </w:numPr>
        <w:spacing w:after="80"/>
      </w:pPr>
      <w:r>
        <w:rPr>
          <w:rFonts w:ascii="Arial" w:cs="Arial" w:eastAsia="Arial" w:hAnsi="Arial"/>
          <w:color w:val="1B2A4A"/>
          <w:sz w:val="22"/>
          <w:szCs w:val="22"/>
        </w:rPr>
        <w:t xml:space="preserve">Success owner: Who is the single accountable person for platform adoption post-launch? (Recommended: Kristen or a designated T&amp;D team member.)</w:t>
      </w:r>
    </w:p>
    <w:p>
      <w:pPr>
        <w:pStyle w:val="ListParagraph"/>
        <w:numPr>
          <w:ilvl w:val="0"/>
          <w:numId w:val="2"/>
        </w:numPr>
        <w:spacing w:after="80"/>
      </w:pPr>
      <w:r>
        <w:rPr>
          <w:rFonts w:ascii="Arial" w:cs="Arial" w:eastAsia="Arial" w:hAnsi="Arial"/>
          <w:color w:val="1B2A4A"/>
          <w:sz w:val="22"/>
          <w:szCs w:val="22"/>
        </w:rPr>
        <w:t xml:space="preserve">Advisor data: Can we get a list of all advisors with their years of experience, office location, and production tier to pre-populate profiles at launch?</w:t>
      </w:r>
    </w:p>
    <w:p>
      <w:r>
        <w:br w:type="page"/>
      </w:r>
    </w:p>
    <w:p>
      <w:pPr>
        <w:pStyle w:val="Heading1"/>
      </w:pPr>
      <w:r>
        <w:t xml:space="preserve">13. Appendix</w:t>
      </w:r>
    </w:p>
    <w:p>
      <w:pPr>
        <w:pStyle w:val="Heading2"/>
      </w:pPr>
      <w:r>
        <w:t xml:space="preserve">13.1 Competitive / Analogous References</w:t>
      </w:r>
    </w:p>
    <w:p>
      <w:pPr>
        <w:spacing w:after="160"/>
      </w:pPr>
      <w:r>
        <w:rPr>
          <w:rFonts w:ascii="Arial" w:cs="Arial" w:eastAsia="Arial" w:hAnsi="Arial"/>
          <w:color w:val="1B2A4A"/>
          <w:sz w:val="22"/>
          <w:szCs w:val="22"/>
        </w:rPr>
        <w:t xml:space="preserve">While no direct competitor exists in wealth management, the following products and internal tools informed this design:</w:t>
      </w:r>
    </w:p>
    <w:p>
      <w:pPr>
        <w:pStyle w:val="ListParagraph"/>
        <w:numPr>
          <w:ilvl w:val="0"/>
          <w:numId w:val="2"/>
        </w:numPr>
        <w:spacing w:after="80"/>
      </w:pPr>
      <w:r>
        <w:rPr>
          <w:rFonts w:ascii="Arial" w:cs="Arial" w:eastAsia="Arial" w:hAnsi="Arial"/>
          <w:b/>
          <w:bCs/>
          <w:color w:val="1B2A4A"/>
          <w:sz w:val="22"/>
          <w:szCs w:val="22"/>
        </w:rPr>
        <w:t xml:space="preserve">Gloat / Fuel50 (Internal Talent Marketplaces): </w:t>
      </w:r>
      <w:r>
        <w:rPr>
          <w:rFonts w:ascii="Arial" w:cs="Arial" w:eastAsia="Arial" w:hAnsi="Arial"/>
          <w:color w:val="1B2A4A"/>
          <w:sz w:val="22"/>
          <w:szCs w:val="22"/>
        </w:rPr>
        <w:t xml:space="preserve">Enterprise platforms that match employees to internal projects and mentorship opportunities based on skills profiles. Relevant for the matching algorithm and profile design patterns.</w:t>
      </w:r>
    </w:p>
    <w:p>
      <w:pPr>
        <w:pStyle w:val="ListParagraph"/>
        <w:numPr>
          <w:ilvl w:val="0"/>
          <w:numId w:val="2"/>
        </w:numPr>
        <w:spacing w:after="80"/>
      </w:pPr>
      <w:r>
        <w:rPr>
          <w:rFonts w:ascii="Arial" w:cs="Arial" w:eastAsia="Arial" w:hAnsi="Arial"/>
          <w:b/>
          <w:bCs/>
          <w:color w:val="1B2A4A"/>
          <w:sz w:val="22"/>
          <w:szCs w:val="22"/>
        </w:rPr>
        <w:t xml:space="preserve">Hospital Case Boards: </w:t>
      </w:r>
      <w:r>
        <w:rPr>
          <w:rFonts w:ascii="Arial" w:cs="Arial" w:eastAsia="Arial" w:hAnsi="Arial"/>
          <w:color w:val="1B2A4A"/>
          <w:sz w:val="22"/>
          <w:szCs w:val="22"/>
        </w:rPr>
        <w:t xml:space="preserve">The literal Grey’s Anatomy inspiration. Surgical teams post upcoming cases; residents and fellows review and request to participate. Proven model for skill development in high-stakes professional environments.</w:t>
      </w:r>
    </w:p>
    <w:p>
      <w:pPr>
        <w:pStyle w:val="ListParagraph"/>
        <w:numPr>
          <w:ilvl w:val="0"/>
          <w:numId w:val="2"/>
        </w:numPr>
        <w:spacing w:after="80"/>
      </w:pPr>
      <w:r>
        <w:rPr>
          <w:rFonts w:ascii="Arial" w:cs="Arial" w:eastAsia="Arial" w:hAnsi="Arial"/>
          <w:b/>
          <w:bCs/>
          <w:color w:val="1B2A4A"/>
          <w:sz w:val="22"/>
          <w:szCs w:val="22"/>
        </w:rPr>
        <w:t xml:space="preserve">BigLaw Internal Case Staffing Systems: </w:t>
      </w:r>
      <w:r>
        <w:rPr>
          <w:rFonts w:ascii="Arial" w:cs="Arial" w:eastAsia="Arial" w:hAnsi="Arial"/>
          <w:color w:val="1B2A4A"/>
          <w:sz w:val="22"/>
          <w:szCs w:val="22"/>
        </w:rPr>
        <w:t xml:space="preserve">Large law firms use internal platforms where associates post availability and partners post case needs. The matching is tag-based (practice area, seniority, capacity).</w:t>
      </w:r>
    </w:p>
    <w:p>
      <w:pPr>
        <w:pStyle w:val="ListParagraph"/>
        <w:numPr>
          <w:ilvl w:val="0"/>
          <w:numId w:val="2"/>
        </w:numPr>
        <w:spacing w:after="80"/>
      </w:pPr>
      <w:r>
        <w:rPr>
          <w:rFonts w:ascii="Arial" w:cs="Arial" w:eastAsia="Arial" w:hAnsi="Arial"/>
          <w:b/>
          <w:bCs/>
          <w:color w:val="1B2A4A"/>
          <w:sz w:val="22"/>
          <w:szCs w:val="22"/>
        </w:rPr>
        <w:t xml:space="preserve">Tinder / Hinge (Swipe UX): </w:t>
      </w:r>
      <w:r>
        <w:rPr>
          <w:rFonts w:ascii="Arial" w:cs="Arial" w:eastAsia="Arial" w:hAnsi="Arial"/>
          <w:color w:val="1B2A4A"/>
          <w:sz w:val="22"/>
          <w:szCs w:val="22"/>
        </w:rPr>
        <w:t xml:space="preserve">The browse-and-match interaction model. The split-screen match card (both sides visible) is borrowed from Hinge’s “most compatible” feature. The swipe mechanic reduces decision friction.</w:t>
      </w:r>
    </w:p>
    <w:p>
      <w:pPr>
        <w:pStyle w:val="ListParagraph"/>
        <w:numPr>
          <w:ilvl w:val="0"/>
          <w:numId w:val="2"/>
        </w:numPr>
        <w:spacing w:after="80"/>
      </w:pPr>
      <w:r>
        <w:rPr>
          <w:rFonts w:ascii="Arial" w:cs="Arial" w:eastAsia="Arial" w:hAnsi="Arial"/>
          <w:b/>
          <w:bCs/>
          <w:color w:val="1B2A4A"/>
          <w:sz w:val="22"/>
          <w:szCs w:val="22"/>
        </w:rPr>
        <w:t xml:space="preserve">Doximity (Physician Network): </w:t>
      </w:r>
      <w:r>
        <w:rPr>
          <w:rFonts w:ascii="Arial" w:cs="Arial" w:eastAsia="Arial" w:hAnsi="Arial"/>
          <w:color w:val="1B2A4A"/>
          <w:sz w:val="22"/>
          <w:szCs w:val="22"/>
        </w:rPr>
        <w:t xml:space="preserve">A professional network for doctors that includes colleague matching and case consultation features. Relevant for the compliance-first approach to sharing case details in a regulated industry.</w:t>
      </w:r>
    </w:p>
    <w:p>
      <w:pPr>
        <w:pStyle w:val="Heading2"/>
      </w:pPr>
      <w:r>
        <w:t xml:space="preserve">13.2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4E8" w:sz="1"/>
              <w:left w:val="single" w:color="E0E4E8" w:sz="1"/>
              <w:bottom w:val="single" w:color="E0E4E8" w:sz="1"/>
              <w:right w:val="single" w:color="E0E4E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E0E4E8" w:sz="1"/>
              <w:left w:val="single" w:color="E0E4E8" w:sz="1"/>
              <w:bottom w:val="single" w:color="E0E4E8" w:sz="1"/>
              <w:right w:val="single" w:color="E0E4E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Case</w:t>
            </w:r>
          </w:p>
        </w:tc>
        <w:tc>
          <w:tcPr>
            <w:tcW w:type="dxa" w:w="6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An anonymized description of an upcoming client meeting or opportunity posted by an advisor seeking collaboration.</w:t>
            </w:r>
          </w:p>
        </w:tc>
      </w:tr>
      <w:tr>
        <w:tc>
          <w:tcPr>
            <w:tcW w:type="dxa" w:w="2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Case Board</w:t>
            </w:r>
          </w:p>
        </w:tc>
        <w:tc>
          <w:tcPr>
            <w:tcW w:type="dxa" w:w="6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The primary feed view showing all active cases available for matching.</w:t>
            </w:r>
          </w:p>
        </w:tc>
      </w:tr>
      <w:tr>
        <w:tc>
          <w:tcPr>
            <w:tcW w:type="dxa" w:w="2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Match</w:t>
            </w:r>
          </w:p>
        </w:tc>
        <w:tc>
          <w:tcPr>
            <w:tcW w:type="dxa" w:w="6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A confirmed pairing between a case-posting advisor and a senior advisor who will co-work or mentor on the case.</w:t>
            </w:r>
          </w:p>
        </w:tc>
      </w:tr>
      <w:tr>
        <w:tc>
          <w:tcPr>
            <w:tcW w:type="dxa" w:w="2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Express Interest</w:t>
            </w:r>
          </w:p>
        </w:tc>
        <w:tc>
          <w:tcPr>
            <w:tcW w:type="dxa" w:w="6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The action a senior advisor takes to indicate they want to be considered for a case.</w:t>
            </w:r>
          </w:p>
        </w:tc>
      </w:tr>
      <w:tr>
        <w:tc>
          <w:tcPr>
            <w:tcW w:type="dxa" w:w="2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Poster</w:t>
            </w:r>
          </w:p>
        </w:tc>
        <w:tc>
          <w:tcPr>
            <w:tcW w:type="dxa" w:w="6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The advisor who creates a case post (typically junior/mid-level).</w:t>
            </w:r>
          </w:p>
        </w:tc>
      </w:tr>
      <w:tr>
        <w:tc>
          <w:tcPr>
            <w:tcW w:type="dxa" w:w="2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Mentor/Co-Worker</w:t>
            </w:r>
          </w:p>
        </w:tc>
        <w:tc>
          <w:tcPr>
            <w:tcW w:type="dxa" w:w="6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The senior advisor who opts in to support a case.</w:t>
            </w:r>
          </w:p>
        </w:tc>
      </w:tr>
      <w:tr>
        <w:tc>
          <w:tcPr>
            <w:tcW w:type="dxa" w:w="2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Tags</w:t>
            </w:r>
          </w:p>
        </w:tc>
        <w:tc>
          <w:tcPr>
            <w:tcW w:type="dxa" w:w="6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Structured labels applied to cases and profiles to enable matching (specializations, industries, client types, etc.).</w:t>
            </w:r>
          </w:p>
        </w:tc>
      </w:tr>
      <w:tr>
        <w:tc>
          <w:tcPr>
            <w:tcW w:type="dxa" w:w="2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Match Card</w:t>
            </w:r>
          </w:p>
        </w:tc>
        <w:tc>
          <w:tcPr>
            <w:tcW w:type="dxa" w:w="65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The split-screen UI element showing both the case summary and the interested senior advisor’s profile side by side.</w:t>
            </w:r>
          </w:p>
        </w:tc>
      </w:tr>
    </w:tbl>
    <w:p>
      <w:pPr>
        <w:spacing w:after="200"/>
      </w:pPr>
    </w:p>
    <w:p>
      <w:pPr>
        <w:pStyle w:val="Heading2"/>
      </w:pPr>
      <w:r>
        <w:t xml:space="preserve">13.3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00"/>
        <w:gridCol w:w="3360"/>
      </w:tblGrid>
      <w:tr>
        <w:tc>
          <w:tcPr>
            <w:tcW w:type="dxa" w:w="1600"/>
            <w:tcBorders>
              <w:top w:val="single" w:color="E0E4E8" w:sz="1"/>
              <w:left w:val="single" w:color="E0E4E8" w:sz="1"/>
              <w:bottom w:val="single" w:color="E0E4E8" w:sz="1"/>
              <w:right w:val="single" w:color="E0E4E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600"/>
            <w:tcBorders>
              <w:top w:val="single" w:color="E0E4E8" w:sz="1"/>
              <w:left w:val="single" w:color="E0E4E8" w:sz="1"/>
              <w:bottom w:val="single" w:color="E0E4E8" w:sz="1"/>
              <w:right w:val="single" w:color="E0E4E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800"/>
            <w:tcBorders>
              <w:top w:val="single" w:color="E0E4E8" w:sz="1"/>
              <w:left w:val="single" w:color="E0E4E8" w:sz="1"/>
              <w:bottom w:val="single" w:color="E0E4E8" w:sz="1"/>
              <w:right w:val="single" w:color="E0E4E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360"/>
            <w:tcBorders>
              <w:top w:val="single" w:color="E0E4E8" w:sz="1"/>
              <w:left w:val="single" w:color="E0E4E8" w:sz="1"/>
              <w:bottom w:val="single" w:color="E0E4E8" w:sz="1"/>
              <w:right w:val="single" w:color="E0E4E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1.0</w:t>
            </w:r>
          </w:p>
        </w:tc>
        <w:tc>
          <w:tcPr>
            <w:tcW w:type="dxa" w:w="16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April 9, 2026</w:t>
            </w:r>
          </w:p>
        </w:tc>
        <w:tc>
          <w:tcPr>
            <w:tcW w:type="dxa" w:w="280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Keir Dillon</w:t>
            </w:r>
          </w:p>
        </w:tc>
        <w:tc>
          <w:tcPr>
            <w:tcW w:type="dxa" w:w="3360"/>
            <w:tcBorders>
              <w:top w:val="single" w:color="E0E4E8" w:sz="1"/>
              <w:left w:val="single" w:color="E0E4E8" w:sz="1"/>
              <w:bottom w:val="single" w:color="E0E4E8" w:sz="1"/>
              <w:right w:val="single" w:color="E0E4E8" w:sz="1"/>
            </w:tcBorders>
            <w:tcMar>
              <w:top w:type="dxa" w:w="80"/>
              <w:left w:type="dxa" w:w="120"/>
              <w:bottom w:type="dxa" w:w="80"/>
              <w:right w:type="dxa" w:w="120"/>
            </w:tcMar>
          </w:tcPr>
          <w:p>
            <w:r>
              <w:rPr>
                <w:rFonts w:ascii="Arial" w:cs="Arial" w:eastAsia="Arial" w:hAnsi="Arial"/>
                <w:color w:val="1B2A4A"/>
                <w:sz w:val="20"/>
                <w:szCs w:val="20"/>
              </w:rPr>
              <w:t xml:space="preserve">Initial draft for stakeholder review.</w:t>
            </w:r>
          </w:p>
        </w:tc>
      </w:tr>
    </w:tbl>
    <w:p>
      <w:pPr>
        <w:spacing w:after="400"/>
      </w:pPr>
    </w:p>
    <w:p>
      <w:pPr>
        <w:pBdr>
          <w:top w:val="single" w:color="C9973B" w:sz="4" w:space="8"/>
        </w:pBdr>
        <w:spacing w:before="400"/>
        <w:jc w:val="center"/>
      </w:pPr>
      <w:r>
        <w:rPr>
          <w:rFonts w:ascii="Arial" w:cs="Arial" w:eastAsia="Arial" w:hAnsi="Arial"/>
          <w:i/>
          <w:iCs/>
          <w:color w:val="888888"/>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4E8" w:sz="2" w:space="4"/>
      </w:pBdr>
      <w:jc w:val="center"/>
    </w:pPr>
    <w:r>
      <w:rPr>
        <w:rFonts w:ascii="Arial" w:cs="Arial" w:eastAsia="Arial" w:hAnsi="Arial"/>
        <w:color w:val="888888"/>
        <w:sz w:val="18"/>
        <w:szCs w:val="18"/>
      </w:rPr>
      <w:t xml:space="preserve">Coastal Wealth 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F8E" w:sz="4" w:space="4"/>
      </w:pBdr>
    </w:pPr>
    <w:r>
      <w:rPr>
        <w:rFonts w:ascii="Arial" w:cs="Arial" w:eastAsia="Arial" w:hAnsi="Arial"/>
        <w:i/>
        <w:iCs/>
        <w:color w:val="888888"/>
        <w:sz w:val="18"/>
        <w:szCs w:val="18"/>
      </w:rPr>
      <w:t xml:space="preserve">AdvisorConnect: The Case Board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2A4A"/>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2A7F8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2026-04-09T16:41:54.837Z</dcterms:created>
  <dcterms:modified xsi:type="dcterms:W3CDTF">2026-04-09T16:41:54.837Z</dcterms:modified>
</cp:coreProperties>
</file>

<file path=docProps/custom.xml><?xml version="1.0" encoding="utf-8"?>
<Properties xmlns="http://schemas.openxmlformats.org/officeDocument/2006/custom-properties" xmlns:vt="http://schemas.openxmlformats.org/officeDocument/2006/docPropsVTypes"/>
</file>