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color w:val="1F3864"/>
          <w:sz w:val="26"/>
          <w:szCs w:val="26"/>
        </w:rPr>
        <w:t xml:space="preserve">Investor meeting — preparation notes</w:t>
      </w:r>
    </w:p>
    <w:p>
      <w:pPr>
        <w:spacing w:after="100"/>
      </w:pPr>
      <w:r>
        <w:rPr>
          <w:rFonts w:ascii="Arial" w:cs="Arial" w:eastAsia="Arial" w:hAnsi="Arial"/>
          <w:i w:val="false"/>
          <w:iCs w:val="false"/>
          <w:color w:val="595959"/>
          <w:sz w:val="20"/>
          <w:szCs w:val="20"/>
        </w:rPr>
        <w:t xml:space="preserve">Two-sided prep for a meeting with a prospective angel investor: the questions he is likely to ask, the questions we should ask him, and a snapshot of the real numbers from the academy accounts to have at hand.</w:t>
      </w:r>
    </w:p>
    <w:p>
      <w:pPr>
        <w:pStyle w:val="Heading2"/>
        <w:spacing w:after="100" w:before="220"/>
      </w:pPr>
      <w:r>
        <w:rPr>
          <w:rFonts w:ascii="Arial" w:cs="Arial" w:eastAsia="Arial" w:hAnsi="Arial"/>
          <w:b/>
          <w:bCs/>
          <w:color w:val="1F3864"/>
          <w:sz w:val="22"/>
          <w:szCs w:val="22"/>
        </w:rPr>
        <w:t xml:space="preserve">About the academy</w:t>
      </w:r>
    </w:p>
    <w:p>
      <w:pPr>
        <w:spacing w:after="100"/>
      </w:pPr>
      <w:r>
        <w:rPr>
          <w:rFonts w:ascii="Arial" w:cs="Arial" w:eastAsia="Arial" w:hAnsi="Arial"/>
          <w:i w:val="false"/>
          <w:iCs w:val="false"/>
          <w:sz w:val="20"/>
          <w:szCs w:val="20"/>
        </w:rPr>
        <w:t xml:space="preserve">Stars Academy is a registered company in Abuja, founded in late November 2024 by Keir Prince and Coach Sunny, a Nigerian football coach. The two met when Sunny was running informal sessions for local children — including Keir's son — and Keir backed him to formalise it into the academy.</w:t>
      </w:r>
    </w:p>
    <w:p>
      <w:pPr>
        <w:spacing w:after="100"/>
      </w:pPr>
      <w:r>
        <w:rPr>
          <w:rFonts w:ascii="Arial" w:cs="Arial" w:eastAsia="Arial" w:hAnsi="Arial"/>
          <w:i w:val="false"/>
          <w:iCs w:val="false"/>
          <w:sz w:val="20"/>
          <w:szCs w:val="20"/>
        </w:rPr>
        <w:t xml:space="preserve">The two founders split responsibilities cleanly. Coach Sunny runs all coaching and the technical side, including the assistant coaches, and is usually the client-facing point of contact when new parents enquire and during induction. Keir handles administration and payment collection, taking over once a new joiner moves from induction into the admin process. (Keir occasionally fields enquiries too, but Sunny is mostly the front door.)</w:t>
      </w:r>
    </w:p>
    <w:p>
      <w:pPr>
        <w:spacing w:after="100"/>
      </w:pPr>
      <w:r>
        <w:rPr>
          <w:rFonts w:ascii="Arial" w:cs="Arial" w:eastAsia="Arial" w:hAnsi="Arial"/>
          <w:i w:val="false"/>
          <w:iCs w:val="false"/>
          <w:sz w:val="20"/>
          <w:szCs w:val="20"/>
        </w:rPr>
        <w:t xml:space="preserve">Importantly, despite the name, the academy is at least as much a community venture as a high-performance one: players span a wide range of ages and abilities, only a few are at a notably high standard, and all are improving steadily. The community ethos is a real strength; technical performance is not the current focus, though the founders may revisit this (stratifying, or adding a performance pathway) as the academy develops.</w:t>
      </w:r>
    </w:p>
    <w:p>
      <w:pPr>
        <w:spacing w:after="120"/>
      </w:pPr>
      <w:r>
        <w:rPr>
          <w:rFonts w:ascii="Arial" w:cs="Arial" w:eastAsia="Arial" w:hAnsi="Arial"/>
          <w:b/>
          <w:bCs/>
          <w:sz w:val="20"/>
          <w:szCs w:val="20"/>
        </w:rPr>
        <w:t xml:space="preserve">Reporting period: </w:t>
      </w:r>
      <w:r>
        <w:rPr>
          <w:rFonts w:ascii="Arial" w:cs="Arial" w:eastAsia="Arial" w:hAnsi="Arial"/>
          <w:sz w:val="20"/>
          <w:szCs w:val="20"/>
        </w:rPr>
        <w:t xml:space="preserve">6 December 2024 to 22 June 2026 — about 19 months. The figures are drawn from the academy's reconciled bank transactions (actual cash through the academy bank account), so the start date is the first transaction in the banking records and the end date is the most recent. As the academy was founded in late November 2024, this covers effectively its entire operating history — not a partial extract.</w:t>
      </w:r>
    </w:p>
    <w:p>
      <w:pPr>
        <w:spacing w:after="120"/>
      </w:pPr>
      <w:r>
        <w:rPr>
          <w:rFonts w:ascii="Arial" w:cs="Arial" w:eastAsia="Arial" w:hAnsi="Arial"/>
          <w:b/>
          <w:bCs/>
          <w:sz w:val="20"/>
          <w:szCs w:val="20"/>
        </w:rPr>
        <w:t xml:space="preserve">Basis of accounts: </w:t>
      </w:r>
      <w:r>
        <w:rPr>
          <w:rFonts w:ascii="Arial" w:cs="Arial" w:eastAsia="Arial" w:hAnsi="Arial"/>
          <w:sz w:val="20"/>
          <w:szCs w:val="20"/>
        </w:rPr>
        <w:t xml:space="preserve">the academy accounts are kept on a cash basis — income and costs are recognised when money actually moves, not when earned or incurred. This matters when reading the figures, the kit line in particular (see notes below).</w:t>
      </w:r>
    </w:p>
    <w:p>
      <w:pPr>
        <w:pStyle w:val="Heading2"/>
        <w:spacing w:after="100" w:before="220"/>
      </w:pPr>
      <w:r>
        <w:rPr>
          <w:rFonts w:ascii="Arial" w:cs="Arial" w:eastAsia="Arial" w:hAnsi="Arial"/>
          <w:b/>
          <w:bCs/>
          <w:color w:val="1F3864"/>
          <w:sz w:val="22"/>
          <w:szCs w:val="22"/>
        </w:rPr>
        <w:t xml:space="preserve">Financial snapshot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2640"/>
        <w:gridCol w:w="2160"/>
      </w:tblGrid>
      <w:tr>
        <w:tc>
          <w:tcPr>
            <w:tcW w:type="dxa" w:w="456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tcPr>
          <w:p>
            <w:pPr>
              <w:jc w:val="left"/>
            </w:pPr>
            <w:r>
              <w:rPr>
                <w:rFonts w:ascii="Arial" w:cs="Arial" w:eastAsia="Arial" w:hAnsi="Arial"/>
                <w:b/>
                <w:bCs/>
                <w:color w:val="FFFFFF"/>
                <w:sz w:val="20"/>
                <w:szCs w:val="20"/>
              </w:rPr>
              <w:t xml:space="preserve">Income &amp; Expenditure (6 Dec 2024–22 Jun 2026)</w:t>
            </w:r>
          </w:p>
        </w:tc>
        <w:tc>
          <w:tcPr>
            <w:tcW w:type="dxa" w:w="264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tcPr>
          <w:p>
            <w:pPr>
              <w:jc w:val="right"/>
            </w:pPr>
            <w:r>
              <w:rPr>
                <w:rFonts w:ascii="Arial" w:cs="Arial" w:eastAsia="Arial" w:hAnsi="Arial"/>
                <w:b/>
                <w:bCs/>
                <w:color w:val="FFFFFF"/>
                <w:sz w:val="20"/>
                <w:szCs w:val="20"/>
              </w:rPr>
              <w:t xml:space="preserve">Amount (₦)</w:t>
            </w:r>
          </w:p>
        </w:tc>
        <w:tc>
          <w:tcPr>
            <w:tcW w:type="dxa" w:w="216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tcPr>
          <w:p>
            <w:pPr>
              <w:jc w:val="right"/>
            </w:pPr>
            <w:r>
              <w:rPr>
                <w:rFonts w:ascii="Arial" w:cs="Arial" w:eastAsia="Arial" w:hAnsi="Arial"/>
                <w:b/>
                <w:bCs/>
                <w:color w:val="FFFFFF"/>
                <w:sz w:val="20"/>
                <w:szCs w:val="20"/>
              </w:rPr>
              <w:t xml:space="preserve">% of income</w:t>
            </w:r>
          </w:p>
        </w:tc>
      </w:tr>
      <w:tr>
        <w:tc>
          <w:tcPr>
            <w:tcW w:type="dxa" w:w="4560"/>
            <w:tcBorders>
              <w:top w:val="single" w:color="BFBFBF" w:sz="1"/>
              <w:left w:val="single" w:color="BFBFBF" w:sz="1"/>
              <w:bottom w:val="single" w:color="BFBFBF" w:sz="1"/>
              <w:right w:val="single" w:color="BFBFBF"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Session fees</w:t>
            </w:r>
          </w:p>
        </w:tc>
        <w:tc>
          <w:tcPr>
            <w:tcW w:type="dxa" w:w="2640"/>
            <w:tcBorders>
              <w:top w:val="single" w:color="BFBFBF" w:sz="1"/>
              <w:left w:val="single" w:color="BFBFBF" w:sz="1"/>
              <w:bottom w:val="single" w:color="BFBFBF" w:sz="1"/>
              <w:right w:val="single" w:color="BFBFBF" w:sz="1"/>
            </w:tcBorders>
            <w:tcMar>
              <w:top w:type="dxa" w:w="60"/>
              <w:left w:type="dxa" w:w="120"/>
              <w:bottom w:type="dxa" w:w="60"/>
              <w:right w:type="dxa" w:w="120"/>
            </w:tcMar>
          </w:tcPr>
          <w:p>
            <w:pPr>
              <w:jc w:val="right"/>
            </w:pPr>
            <w:r>
              <w:rPr>
                <w:rFonts w:ascii="Arial" w:cs="Arial" w:eastAsia="Arial" w:hAnsi="Arial"/>
                <w:b w:val="false"/>
                <w:bCs w:val="false"/>
                <w:sz w:val="20"/>
                <w:szCs w:val="20"/>
              </w:rPr>
              <w:t xml:space="preserve">9,713,000</w:t>
            </w:r>
          </w:p>
        </w:tc>
        <w:tc>
          <w:tcPr>
            <w:tcW w:type="dxa" w:w="2160"/>
            <w:tcBorders>
              <w:top w:val="single" w:color="BFBFBF" w:sz="1"/>
              <w:left w:val="single" w:color="BFBFBF" w:sz="1"/>
              <w:bottom w:val="single" w:color="BFBFBF" w:sz="1"/>
              <w:right w:val="single" w:color="BFBFBF" w:sz="1"/>
            </w:tcBorders>
            <w:tcMar>
              <w:top w:type="dxa" w:w="60"/>
              <w:left w:type="dxa" w:w="120"/>
              <w:bottom w:type="dxa" w:w="60"/>
              <w:right w:type="dxa" w:w="120"/>
            </w:tcMar>
          </w:tcPr>
          <w:p>
            <w:pPr>
              <w:jc w:val="right"/>
            </w:pPr>
            <w:r>
              <w:rPr>
                <w:rFonts w:ascii="Arial" w:cs="Arial" w:eastAsia="Arial" w:hAnsi="Arial"/>
                <w:b w:val="false"/>
                <w:bCs w:val="false"/>
                <w:sz w:val="20"/>
                <w:szCs w:val="20"/>
              </w:rPr>
              <w:t xml:space="preserve">77.3%</w:t>
            </w:r>
          </w:p>
        </w:tc>
      </w:tr>
      <w:tr>
        <w:tc>
          <w:tcPr>
            <w:tcW w:type="dxa" w:w="4560"/>
            <w:tcBorders>
              <w:top w:val="single" w:color="BFBFBF" w:sz="1"/>
              <w:left w:val="single" w:color="BFBFBF" w:sz="1"/>
              <w:bottom w:val="single" w:color="BFBFBF" w:sz="1"/>
              <w:right w:val="single" w:color="BFBFBF"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Kit sales</w:t>
            </w:r>
          </w:p>
        </w:tc>
        <w:tc>
          <w:tcPr>
            <w:tcW w:type="dxa" w:w="2640"/>
            <w:tcBorders>
              <w:top w:val="single" w:color="BFBFBF" w:sz="1"/>
              <w:left w:val="single" w:color="BFBFBF" w:sz="1"/>
              <w:bottom w:val="single" w:color="BFBFBF" w:sz="1"/>
              <w:right w:val="single" w:color="BFBFBF" w:sz="1"/>
            </w:tcBorders>
            <w:tcMar>
              <w:top w:type="dxa" w:w="60"/>
              <w:left w:type="dxa" w:w="120"/>
              <w:bottom w:type="dxa" w:w="60"/>
              <w:right w:type="dxa" w:w="120"/>
            </w:tcMar>
          </w:tcPr>
          <w:p>
            <w:pPr>
              <w:jc w:val="right"/>
            </w:pPr>
            <w:r>
              <w:rPr>
                <w:rFonts w:ascii="Arial" w:cs="Arial" w:eastAsia="Arial" w:hAnsi="Arial"/>
                <w:b w:val="false"/>
                <w:bCs w:val="false"/>
                <w:sz w:val="20"/>
                <w:szCs w:val="20"/>
              </w:rPr>
              <w:t xml:space="preserve">2,595,000</w:t>
            </w:r>
          </w:p>
        </w:tc>
        <w:tc>
          <w:tcPr>
            <w:tcW w:type="dxa" w:w="2160"/>
            <w:tcBorders>
              <w:top w:val="single" w:color="BFBFBF" w:sz="1"/>
              <w:left w:val="single" w:color="BFBFBF" w:sz="1"/>
              <w:bottom w:val="single" w:color="BFBFBF" w:sz="1"/>
              <w:right w:val="single" w:color="BFBFBF" w:sz="1"/>
            </w:tcBorders>
            <w:tcMar>
              <w:top w:type="dxa" w:w="60"/>
              <w:left w:type="dxa" w:w="120"/>
              <w:bottom w:type="dxa" w:w="60"/>
              <w:right w:type="dxa" w:w="120"/>
            </w:tcMar>
          </w:tcPr>
          <w:p>
            <w:pPr>
              <w:jc w:val="right"/>
            </w:pPr>
            <w:r>
              <w:rPr>
                <w:rFonts w:ascii="Arial" w:cs="Arial" w:eastAsia="Arial" w:hAnsi="Arial"/>
                <w:b w:val="false"/>
                <w:bCs w:val="false"/>
                <w:sz w:val="20"/>
                <w:szCs w:val="20"/>
              </w:rPr>
              <w:t xml:space="preserve">20.7%</w:t>
            </w:r>
          </w:p>
        </w:tc>
      </w:tr>
      <w:tr>
        <w:tc>
          <w:tcPr>
            <w:tcW w:type="dxa" w:w="4560"/>
            <w:tcBorders>
              <w:top w:val="single" w:color="BFBFBF" w:sz="1"/>
              <w:left w:val="single" w:color="BFBFBF" w:sz="1"/>
              <w:bottom w:val="single" w:color="BFBFBF" w:sz="1"/>
              <w:right w:val="single" w:color="BFBFBF"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Camp fees</w:t>
            </w:r>
          </w:p>
        </w:tc>
        <w:tc>
          <w:tcPr>
            <w:tcW w:type="dxa" w:w="2640"/>
            <w:tcBorders>
              <w:top w:val="single" w:color="BFBFBF" w:sz="1"/>
              <w:left w:val="single" w:color="BFBFBF" w:sz="1"/>
              <w:bottom w:val="single" w:color="BFBFBF" w:sz="1"/>
              <w:right w:val="single" w:color="BFBFBF" w:sz="1"/>
            </w:tcBorders>
            <w:tcMar>
              <w:top w:type="dxa" w:w="60"/>
              <w:left w:type="dxa" w:w="120"/>
              <w:bottom w:type="dxa" w:w="60"/>
              <w:right w:type="dxa" w:w="120"/>
            </w:tcMar>
          </w:tcPr>
          <w:p>
            <w:pPr>
              <w:jc w:val="right"/>
            </w:pPr>
            <w:r>
              <w:rPr>
                <w:rFonts w:ascii="Arial" w:cs="Arial" w:eastAsia="Arial" w:hAnsi="Arial"/>
                <w:b w:val="false"/>
                <w:bCs w:val="false"/>
                <w:sz w:val="20"/>
                <w:szCs w:val="20"/>
              </w:rPr>
              <w:t xml:space="preserve">206,000</w:t>
            </w:r>
          </w:p>
        </w:tc>
        <w:tc>
          <w:tcPr>
            <w:tcW w:type="dxa" w:w="2160"/>
            <w:tcBorders>
              <w:top w:val="single" w:color="BFBFBF" w:sz="1"/>
              <w:left w:val="single" w:color="BFBFBF" w:sz="1"/>
              <w:bottom w:val="single" w:color="BFBFBF" w:sz="1"/>
              <w:right w:val="single" w:color="BFBFBF" w:sz="1"/>
            </w:tcBorders>
            <w:tcMar>
              <w:top w:type="dxa" w:w="60"/>
              <w:left w:type="dxa" w:w="120"/>
              <w:bottom w:type="dxa" w:w="60"/>
              <w:right w:type="dxa" w:w="120"/>
            </w:tcMar>
          </w:tcPr>
          <w:p>
            <w:pPr>
              <w:jc w:val="right"/>
            </w:pPr>
            <w:r>
              <w:rPr>
                <w:rFonts w:ascii="Arial" w:cs="Arial" w:eastAsia="Arial" w:hAnsi="Arial"/>
                <w:b w:val="false"/>
                <w:bCs w:val="false"/>
                <w:sz w:val="20"/>
                <w:szCs w:val="20"/>
              </w:rPr>
              <w:t xml:space="preserve">1.6%</w:t>
            </w:r>
          </w:p>
        </w:tc>
      </w:tr>
      <w:tr>
        <w:tc>
          <w:tcPr>
            <w:tcW w:type="dxa" w:w="4560"/>
            <w:tcBorders>
              <w:top w:val="single" w:color="BFBFBF" w:sz="1"/>
              <w:left w:val="single" w:color="BFBFBF" w:sz="1"/>
              <w:bottom w:val="single" w:color="BFBFBF" w:sz="1"/>
              <w:right w:val="single" w:color="BFBFBF"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Insurance</w:t>
            </w:r>
          </w:p>
        </w:tc>
        <w:tc>
          <w:tcPr>
            <w:tcW w:type="dxa" w:w="2640"/>
            <w:tcBorders>
              <w:top w:val="single" w:color="BFBFBF" w:sz="1"/>
              <w:left w:val="single" w:color="BFBFBF" w:sz="1"/>
              <w:bottom w:val="single" w:color="BFBFBF" w:sz="1"/>
              <w:right w:val="single" w:color="BFBFBF" w:sz="1"/>
            </w:tcBorders>
            <w:tcMar>
              <w:top w:type="dxa" w:w="60"/>
              <w:left w:type="dxa" w:w="120"/>
              <w:bottom w:type="dxa" w:w="60"/>
              <w:right w:type="dxa" w:w="120"/>
            </w:tcMar>
          </w:tcPr>
          <w:p>
            <w:pPr>
              <w:jc w:val="right"/>
            </w:pPr>
            <w:r>
              <w:rPr>
                <w:rFonts w:ascii="Arial" w:cs="Arial" w:eastAsia="Arial" w:hAnsi="Arial"/>
                <w:b w:val="false"/>
                <w:bCs w:val="false"/>
                <w:sz w:val="20"/>
                <w:szCs w:val="20"/>
              </w:rPr>
              <w:t xml:space="preserve">40,000</w:t>
            </w:r>
          </w:p>
        </w:tc>
        <w:tc>
          <w:tcPr>
            <w:tcW w:type="dxa" w:w="2160"/>
            <w:tcBorders>
              <w:top w:val="single" w:color="BFBFBF" w:sz="1"/>
              <w:left w:val="single" w:color="BFBFBF" w:sz="1"/>
              <w:bottom w:val="single" w:color="BFBFBF" w:sz="1"/>
              <w:right w:val="single" w:color="BFBFBF" w:sz="1"/>
            </w:tcBorders>
            <w:tcMar>
              <w:top w:type="dxa" w:w="60"/>
              <w:left w:type="dxa" w:w="120"/>
              <w:bottom w:type="dxa" w:w="60"/>
              <w:right w:type="dxa" w:w="120"/>
            </w:tcMar>
          </w:tcPr>
          <w:p>
            <w:pPr>
              <w:jc w:val="right"/>
            </w:pPr>
            <w:r>
              <w:rPr>
                <w:rFonts w:ascii="Arial" w:cs="Arial" w:eastAsia="Arial" w:hAnsi="Arial"/>
                <w:b w:val="false"/>
                <w:bCs w:val="false"/>
                <w:sz w:val="20"/>
                <w:szCs w:val="20"/>
              </w:rPr>
              <w:t xml:space="preserve">0.3%</w:t>
            </w:r>
          </w:p>
        </w:tc>
      </w:tr>
      <w:tr>
        <w:tc>
          <w:tcPr>
            <w:tcW w:type="dxa" w:w="4560"/>
            <w:tcBorders>
              <w:top w:val="single" w:color="BFBFBF" w:sz="1"/>
              <w:left w:val="single" w:color="BFBFBF" w:sz="1"/>
              <w:bottom w:val="single" w:color="BFBFBF" w:sz="1"/>
              <w:right w:val="single" w:color="BFBFBF"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Other income</w:t>
            </w:r>
          </w:p>
        </w:tc>
        <w:tc>
          <w:tcPr>
            <w:tcW w:type="dxa" w:w="2640"/>
            <w:tcBorders>
              <w:top w:val="single" w:color="BFBFBF" w:sz="1"/>
              <w:left w:val="single" w:color="BFBFBF" w:sz="1"/>
              <w:bottom w:val="single" w:color="BFBFBF" w:sz="1"/>
              <w:right w:val="single" w:color="BFBFBF" w:sz="1"/>
            </w:tcBorders>
            <w:tcMar>
              <w:top w:type="dxa" w:w="60"/>
              <w:left w:type="dxa" w:w="120"/>
              <w:bottom w:type="dxa" w:w="60"/>
              <w:right w:type="dxa" w:w="120"/>
            </w:tcMar>
          </w:tcPr>
          <w:p>
            <w:pPr>
              <w:jc w:val="right"/>
            </w:pPr>
            <w:r>
              <w:rPr>
                <w:rFonts w:ascii="Arial" w:cs="Arial" w:eastAsia="Arial" w:hAnsi="Arial"/>
                <w:b w:val="false"/>
                <w:bCs w:val="false"/>
                <w:sz w:val="20"/>
                <w:szCs w:val="20"/>
              </w:rPr>
              <w:t xml:space="preserve">5,000</w:t>
            </w:r>
          </w:p>
        </w:tc>
        <w:tc>
          <w:tcPr>
            <w:tcW w:type="dxa" w:w="2160"/>
            <w:tcBorders>
              <w:top w:val="single" w:color="BFBFBF" w:sz="1"/>
              <w:left w:val="single" w:color="BFBFBF" w:sz="1"/>
              <w:bottom w:val="single" w:color="BFBFBF" w:sz="1"/>
              <w:right w:val="single" w:color="BFBFBF" w:sz="1"/>
            </w:tcBorders>
            <w:tcMar>
              <w:top w:type="dxa" w:w="60"/>
              <w:left w:type="dxa" w:w="120"/>
              <w:bottom w:type="dxa" w:w="60"/>
              <w:right w:type="dxa" w:w="120"/>
            </w:tcMar>
          </w:tcPr>
          <w:p>
            <w:pPr>
              <w:jc w:val="right"/>
            </w:pPr>
            <w:r>
              <w:rPr>
                <w:rFonts w:ascii="Arial" w:cs="Arial" w:eastAsia="Arial" w:hAnsi="Arial"/>
                <w:b w:val="false"/>
                <w:bCs w:val="false"/>
                <w:sz w:val="20"/>
                <w:szCs w:val="20"/>
              </w:rPr>
              <w:t xml:space="preserve">0.0%</w:t>
            </w:r>
          </w:p>
        </w:tc>
      </w:tr>
      <w:tr>
        <w:tc>
          <w:tcPr>
            <w:tcW w:type="dxa" w:w="4560"/>
            <w:tcBorders>
              <w:top w:val="single" w:color="BFBFBF" w:sz="1"/>
              <w:left w:val="single" w:color="BFBFBF" w:sz="1"/>
              <w:bottom w:val="single" w:color="BFBFBF" w:sz="1"/>
              <w:right w:val="single" w:color="BFBFBF" w:sz="1"/>
            </w:tcBorders>
            <w:shd w:fill="DDE3F0" w:val="clear"/>
            <w:tcMar>
              <w:top w:type="dxa" w:w="60"/>
              <w:left w:type="dxa" w:w="120"/>
              <w:bottom w:type="dxa" w:w="60"/>
              <w:right w:type="dxa" w:w="120"/>
            </w:tcMar>
          </w:tcPr>
          <w:p>
            <w:pPr>
              <w:jc w:val="left"/>
            </w:pPr>
            <w:r>
              <w:rPr>
                <w:rFonts w:ascii="Arial" w:cs="Arial" w:eastAsia="Arial" w:hAnsi="Arial"/>
                <w:b/>
                <w:bCs/>
                <w:sz w:val="20"/>
                <w:szCs w:val="20"/>
              </w:rPr>
              <w:t xml:space="preserve">Total income</w:t>
            </w:r>
          </w:p>
        </w:tc>
        <w:tc>
          <w:tcPr>
            <w:tcW w:type="dxa" w:w="2640"/>
            <w:tcBorders>
              <w:top w:val="single" w:color="BFBFBF" w:sz="1"/>
              <w:left w:val="single" w:color="BFBFBF" w:sz="1"/>
              <w:bottom w:val="single" w:color="BFBFBF" w:sz="1"/>
              <w:right w:val="single" w:color="BFBFBF" w:sz="1"/>
            </w:tcBorders>
            <w:shd w:fill="DDE3F0" w:val="clear"/>
            <w:tcMar>
              <w:top w:type="dxa" w:w="60"/>
              <w:left w:type="dxa" w:w="120"/>
              <w:bottom w:type="dxa" w:w="60"/>
              <w:right w:type="dxa" w:w="120"/>
            </w:tcMar>
          </w:tcPr>
          <w:p>
            <w:pPr>
              <w:jc w:val="right"/>
            </w:pPr>
            <w:r>
              <w:rPr>
                <w:rFonts w:ascii="Arial" w:cs="Arial" w:eastAsia="Arial" w:hAnsi="Arial"/>
                <w:b/>
                <w:bCs/>
                <w:sz w:val="20"/>
                <w:szCs w:val="20"/>
              </w:rPr>
              <w:t xml:space="preserve">12,559,000</w:t>
            </w:r>
          </w:p>
        </w:tc>
        <w:tc>
          <w:tcPr>
            <w:tcW w:type="dxa" w:w="2160"/>
            <w:tcBorders>
              <w:top w:val="single" w:color="BFBFBF" w:sz="1"/>
              <w:left w:val="single" w:color="BFBFBF" w:sz="1"/>
              <w:bottom w:val="single" w:color="BFBFBF" w:sz="1"/>
              <w:right w:val="single" w:color="BFBFBF" w:sz="1"/>
            </w:tcBorders>
            <w:shd w:fill="DDE3F0" w:val="clear"/>
            <w:tcMar>
              <w:top w:type="dxa" w:w="60"/>
              <w:left w:type="dxa" w:w="120"/>
              <w:bottom w:type="dxa" w:w="60"/>
              <w:right w:type="dxa" w:w="120"/>
            </w:tcMar>
          </w:tcPr>
          <w:p>
            <w:pPr>
              <w:jc w:val="right"/>
            </w:pPr>
            <w:r>
              <w:rPr>
                <w:rFonts w:ascii="Arial" w:cs="Arial" w:eastAsia="Arial" w:hAnsi="Arial"/>
                <w:b/>
                <w:bCs/>
                <w:sz w:val="20"/>
                <w:szCs w:val="20"/>
              </w:rPr>
              <w:t xml:space="preserve">100%</w:t>
            </w:r>
          </w:p>
        </w:tc>
      </w:tr>
      <w:tr>
        <w:tc>
          <w:tcPr>
            <w:tcW w:type="dxa" w:w="45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jc w:val="left"/>
            </w:pPr>
            <w:r>
              <w:rPr>
                <w:rFonts w:ascii="Arial" w:cs="Arial" w:eastAsia="Arial" w:hAnsi="Arial"/>
                <w:b w:val="false"/>
                <w:bCs w:val="false"/>
                <w:sz w:val="20"/>
                <w:szCs w:val="20"/>
              </w:rPr>
              <w:t xml:space="preserve">Total expenses</w:t>
            </w:r>
          </w:p>
        </w:tc>
        <w:tc>
          <w:tcPr>
            <w:tcW w:type="dxa" w:w="264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jc w:val="right"/>
            </w:pPr>
            <w:r>
              <w:rPr>
                <w:rFonts w:ascii="Arial" w:cs="Arial" w:eastAsia="Arial" w:hAnsi="Arial"/>
                <w:b w:val="false"/>
                <w:bCs w:val="false"/>
                <w:sz w:val="20"/>
                <w:szCs w:val="20"/>
              </w:rPr>
              <w:t xml:space="preserve">(9,341,552)</w:t>
            </w:r>
          </w:p>
        </w:tc>
        <w:tc>
          <w:tcPr>
            <w:tcW w:type="dxa" w:w="21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jc w:val="right"/>
            </w:pPr>
            <w:r>
              <w:rPr>
                <w:rFonts w:ascii="Arial" w:cs="Arial" w:eastAsia="Arial" w:hAnsi="Arial"/>
                <w:b w:val="false"/>
                <w:bCs w:val="false"/>
                <w:sz w:val="20"/>
                <w:szCs w:val="20"/>
              </w:rPr>
              <w:t xml:space="preserve"/>
            </w:r>
          </w:p>
        </w:tc>
      </w:tr>
      <w:tr>
        <w:tc>
          <w:tcPr>
            <w:tcW w:type="dxa" w:w="4560"/>
            <w:tcBorders>
              <w:top w:val="single" w:color="BFBFBF" w:sz="1"/>
              <w:left w:val="single" w:color="BFBFBF" w:sz="1"/>
              <w:bottom w:val="single" w:color="BFBFBF" w:sz="1"/>
              <w:right w:val="single" w:color="BFBFBF" w:sz="1"/>
            </w:tcBorders>
            <w:shd w:fill="DDE3F0" w:val="clear"/>
            <w:tcMar>
              <w:top w:type="dxa" w:w="60"/>
              <w:left w:type="dxa" w:w="120"/>
              <w:bottom w:type="dxa" w:w="60"/>
              <w:right w:type="dxa" w:w="120"/>
            </w:tcMar>
          </w:tcPr>
          <w:p>
            <w:pPr>
              <w:jc w:val="left"/>
            </w:pPr>
            <w:r>
              <w:rPr>
                <w:rFonts w:ascii="Arial" w:cs="Arial" w:eastAsia="Arial" w:hAnsi="Arial"/>
                <w:b/>
                <w:bCs/>
                <w:sz w:val="20"/>
                <w:szCs w:val="20"/>
              </w:rPr>
              <w:t xml:space="preserve">Surplus</w:t>
            </w:r>
          </w:p>
        </w:tc>
        <w:tc>
          <w:tcPr>
            <w:tcW w:type="dxa" w:w="2640"/>
            <w:tcBorders>
              <w:top w:val="single" w:color="BFBFBF" w:sz="1"/>
              <w:left w:val="single" w:color="BFBFBF" w:sz="1"/>
              <w:bottom w:val="single" w:color="BFBFBF" w:sz="1"/>
              <w:right w:val="single" w:color="BFBFBF" w:sz="1"/>
            </w:tcBorders>
            <w:shd w:fill="DDE3F0" w:val="clear"/>
            <w:tcMar>
              <w:top w:type="dxa" w:w="60"/>
              <w:left w:type="dxa" w:w="120"/>
              <w:bottom w:type="dxa" w:w="60"/>
              <w:right w:type="dxa" w:w="120"/>
            </w:tcMar>
          </w:tcPr>
          <w:p>
            <w:pPr>
              <w:jc w:val="right"/>
            </w:pPr>
            <w:r>
              <w:rPr>
                <w:rFonts w:ascii="Arial" w:cs="Arial" w:eastAsia="Arial" w:hAnsi="Arial"/>
                <w:b/>
                <w:bCs/>
                <w:sz w:val="20"/>
                <w:szCs w:val="20"/>
              </w:rPr>
              <w:t xml:space="preserve">3,217,448</w:t>
            </w:r>
          </w:p>
        </w:tc>
        <w:tc>
          <w:tcPr>
            <w:tcW w:type="dxa" w:w="2160"/>
            <w:tcBorders>
              <w:top w:val="single" w:color="BFBFBF" w:sz="1"/>
              <w:left w:val="single" w:color="BFBFBF" w:sz="1"/>
              <w:bottom w:val="single" w:color="BFBFBF" w:sz="1"/>
              <w:right w:val="single" w:color="BFBFBF" w:sz="1"/>
            </w:tcBorders>
            <w:shd w:fill="DDE3F0" w:val="clear"/>
            <w:tcMar>
              <w:top w:type="dxa" w:w="60"/>
              <w:left w:type="dxa" w:w="120"/>
              <w:bottom w:type="dxa" w:w="60"/>
              <w:right w:type="dxa" w:w="120"/>
            </w:tcMar>
          </w:tcPr>
          <w:p>
            <w:pPr>
              <w:jc w:val="right"/>
            </w:pPr>
            <w:r>
              <w:rPr>
                <w:rFonts w:ascii="Arial" w:cs="Arial" w:eastAsia="Arial" w:hAnsi="Arial"/>
                <w:b/>
                <w:bCs/>
                <w:sz w:val="20"/>
                <w:szCs w:val="20"/>
              </w:rPr>
              <w:t xml:space="preserve">25.6% margin</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2640"/>
        <w:gridCol w:w="2160"/>
      </w:tblGrid>
      <w:tr>
        <w:tc>
          <w:tcPr>
            <w:tcW w:type="dxa" w:w="456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tcPr>
          <w:p>
            <w:pPr>
              <w:jc w:val="left"/>
            </w:pPr>
            <w:r>
              <w:rPr>
                <w:rFonts w:ascii="Arial" w:cs="Arial" w:eastAsia="Arial" w:hAnsi="Arial"/>
                <w:b/>
                <w:bCs/>
                <w:color w:val="FFFFFF"/>
                <w:sz w:val="20"/>
                <w:szCs w:val="20"/>
              </w:rPr>
              <w:t xml:space="preserve">Expenses (6 Dec 2024–22 Jun 2026)</w:t>
            </w:r>
          </w:p>
        </w:tc>
        <w:tc>
          <w:tcPr>
            <w:tcW w:type="dxa" w:w="264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tcPr>
          <w:p>
            <w:pPr>
              <w:jc w:val="right"/>
            </w:pPr>
            <w:r>
              <w:rPr>
                <w:rFonts w:ascii="Arial" w:cs="Arial" w:eastAsia="Arial" w:hAnsi="Arial"/>
                <w:b/>
                <w:bCs/>
                <w:color w:val="FFFFFF"/>
                <w:sz w:val="20"/>
                <w:szCs w:val="20"/>
              </w:rPr>
              <w:t xml:space="preserve">Amount (₦)</w:t>
            </w:r>
          </w:p>
        </w:tc>
        <w:tc>
          <w:tcPr>
            <w:tcW w:type="dxa" w:w="216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tcPr>
          <w:p>
            <w:pPr>
              <w:jc w:val="right"/>
            </w:pPr>
            <w:r>
              <w:rPr>
                <w:rFonts w:ascii="Arial" w:cs="Arial" w:eastAsia="Arial" w:hAnsi="Arial"/>
                <w:b/>
                <w:bCs/>
                <w:color w:val="FFFFFF"/>
                <w:sz w:val="20"/>
                <w:szCs w:val="20"/>
              </w:rPr>
              <w:t xml:space="preserve">% of spend</w:t>
            </w:r>
          </w:p>
        </w:tc>
      </w:tr>
      <w:tr>
        <w:tc>
          <w:tcPr>
            <w:tcW w:type="dxa" w:w="4560"/>
            <w:tcBorders>
              <w:top w:val="single" w:color="BFBFBF" w:sz="1"/>
              <w:left w:val="single" w:color="BFBFBF" w:sz="1"/>
              <w:bottom w:val="single" w:color="BFBFBF" w:sz="1"/>
              <w:right w:val="single" w:color="BFBFBF"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Salaries</w:t>
            </w:r>
          </w:p>
        </w:tc>
        <w:tc>
          <w:tcPr>
            <w:tcW w:type="dxa" w:w="2640"/>
            <w:tcBorders>
              <w:top w:val="single" w:color="BFBFBF" w:sz="1"/>
              <w:left w:val="single" w:color="BFBFBF" w:sz="1"/>
              <w:bottom w:val="single" w:color="BFBFBF" w:sz="1"/>
              <w:right w:val="single" w:color="BFBFBF" w:sz="1"/>
            </w:tcBorders>
            <w:tcMar>
              <w:top w:type="dxa" w:w="60"/>
              <w:left w:type="dxa" w:w="120"/>
              <w:bottom w:type="dxa" w:w="60"/>
              <w:right w:type="dxa" w:w="120"/>
            </w:tcMar>
          </w:tcPr>
          <w:p>
            <w:pPr>
              <w:jc w:val="right"/>
            </w:pPr>
            <w:r>
              <w:rPr>
                <w:rFonts w:ascii="Arial" w:cs="Arial" w:eastAsia="Arial" w:hAnsi="Arial"/>
                <w:b w:val="false"/>
                <w:bCs w:val="false"/>
                <w:sz w:val="20"/>
                <w:szCs w:val="20"/>
              </w:rPr>
              <w:t xml:space="preserve">5,009,000</w:t>
            </w:r>
          </w:p>
        </w:tc>
        <w:tc>
          <w:tcPr>
            <w:tcW w:type="dxa" w:w="2160"/>
            <w:tcBorders>
              <w:top w:val="single" w:color="BFBFBF" w:sz="1"/>
              <w:left w:val="single" w:color="BFBFBF" w:sz="1"/>
              <w:bottom w:val="single" w:color="BFBFBF" w:sz="1"/>
              <w:right w:val="single" w:color="BFBFBF" w:sz="1"/>
            </w:tcBorders>
            <w:tcMar>
              <w:top w:type="dxa" w:w="60"/>
              <w:left w:type="dxa" w:w="120"/>
              <w:bottom w:type="dxa" w:w="60"/>
              <w:right w:type="dxa" w:w="120"/>
            </w:tcMar>
          </w:tcPr>
          <w:p>
            <w:pPr>
              <w:jc w:val="right"/>
            </w:pPr>
            <w:r>
              <w:rPr>
                <w:rFonts w:ascii="Arial" w:cs="Arial" w:eastAsia="Arial" w:hAnsi="Arial"/>
                <w:b w:val="false"/>
                <w:bCs w:val="false"/>
                <w:sz w:val="20"/>
                <w:szCs w:val="20"/>
              </w:rPr>
              <w:t xml:space="preserve">53.6%</w:t>
            </w:r>
          </w:p>
        </w:tc>
      </w:tr>
      <w:tr>
        <w:tc>
          <w:tcPr>
            <w:tcW w:type="dxa" w:w="4560"/>
            <w:tcBorders>
              <w:top w:val="single" w:color="BFBFBF" w:sz="1"/>
              <w:left w:val="single" w:color="BFBFBF" w:sz="1"/>
              <w:bottom w:val="single" w:color="BFBFBF" w:sz="1"/>
              <w:right w:val="single" w:color="BFBFBF"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Kit purchases</w:t>
            </w:r>
          </w:p>
        </w:tc>
        <w:tc>
          <w:tcPr>
            <w:tcW w:type="dxa" w:w="2640"/>
            <w:tcBorders>
              <w:top w:val="single" w:color="BFBFBF" w:sz="1"/>
              <w:left w:val="single" w:color="BFBFBF" w:sz="1"/>
              <w:bottom w:val="single" w:color="BFBFBF" w:sz="1"/>
              <w:right w:val="single" w:color="BFBFBF" w:sz="1"/>
            </w:tcBorders>
            <w:tcMar>
              <w:top w:type="dxa" w:w="60"/>
              <w:left w:type="dxa" w:w="120"/>
              <w:bottom w:type="dxa" w:w="60"/>
              <w:right w:type="dxa" w:w="120"/>
            </w:tcMar>
          </w:tcPr>
          <w:p>
            <w:pPr>
              <w:jc w:val="right"/>
            </w:pPr>
            <w:r>
              <w:rPr>
                <w:rFonts w:ascii="Arial" w:cs="Arial" w:eastAsia="Arial" w:hAnsi="Arial"/>
                <w:b w:val="false"/>
                <w:bCs w:val="false"/>
                <w:sz w:val="20"/>
                <w:szCs w:val="20"/>
              </w:rPr>
              <w:t xml:space="preserve">3,336,000</w:t>
            </w:r>
          </w:p>
        </w:tc>
        <w:tc>
          <w:tcPr>
            <w:tcW w:type="dxa" w:w="2160"/>
            <w:tcBorders>
              <w:top w:val="single" w:color="BFBFBF" w:sz="1"/>
              <w:left w:val="single" w:color="BFBFBF" w:sz="1"/>
              <w:bottom w:val="single" w:color="BFBFBF" w:sz="1"/>
              <w:right w:val="single" w:color="BFBFBF" w:sz="1"/>
            </w:tcBorders>
            <w:tcMar>
              <w:top w:type="dxa" w:w="60"/>
              <w:left w:type="dxa" w:w="120"/>
              <w:bottom w:type="dxa" w:w="60"/>
              <w:right w:type="dxa" w:w="120"/>
            </w:tcMar>
          </w:tcPr>
          <w:p>
            <w:pPr>
              <w:jc w:val="right"/>
            </w:pPr>
            <w:r>
              <w:rPr>
                <w:rFonts w:ascii="Arial" w:cs="Arial" w:eastAsia="Arial" w:hAnsi="Arial"/>
                <w:b w:val="false"/>
                <w:bCs w:val="false"/>
                <w:sz w:val="20"/>
                <w:szCs w:val="20"/>
              </w:rPr>
              <w:t xml:space="preserve">35.7%</w:t>
            </w:r>
          </w:p>
        </w:tc>
      </w:tr>
      <w:tr>
        <w:tc>
          <w:tcPr>
            <w:tcW w:type="dxa" w:w="4560"/>
            <w:tcBorders>
              <w:top w:val="single" w:color="BFBFBF" w:sz="1"/>
              <w:left w:val="single" w:color="BFBFBF" w:sz="1"/>
              <w:bottom w:val="single" w:color="BFBFBF" w:sz="1"/>
              <w:right w:val="single" w:color="BFBFBF"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Equipment &amp; coaches' kit</w:t>
            </w:r>
          </w:p>
        </w:tc>
        <w:tc>
          <w:tcPr>
            <w:tcW w:type="dxa" w:w="2640"/>
            <w:tcBorders>
              <w:top w:val="single" w:color="BFBFBF" w:sz="1"/>
              <w:left w:val="single" w:color="BFBFBF" w:sz="1"/>
              <w:bottom w:val="single" w:color="BFBFBF" w:sz="1"/>
              <w:right w:val="single" w:color="BFBFBF" w:sz="1"/>
            </w:tcBorders>
            <w:tcMar>
              <w:top w:type="dxa" w:w="60"/>
              <w:left w:type="dxa" w:w="120"/>
              <w:bottom w:type="dxa" w:w="60"/>
              <w:right w:type="dxa" w:w="120"/>
            </w:tcMar>
          </w:tcPr>
          <w:p>
            <w:pPr>
              <w:jc w:val="right"/>
            </w:pPr>
            <w:r>
              <w:rPr>
                <w:rFonts w:ascii="Arial" w:cs="Arial" w:eastAsia="Arial" w:hAnsi="Arial"/>
                <w:b w:val="false"/>
                <w:bCs w:val="false"/>
                <w:sz w:val="20"/>
                <w:szCs w:val="20"/>
              </w:rPr>
              <w:t xml:space="preserve">699,000</w:t>
            </w:r>
          </w:p>
        </w:tc>
        <w:tc>
          <w:tcPr>
            <w:tcW w:type="dxa" w:w="2160"/>
            <w:tcBorders>
              <w:top w:val="single" w:color="BFBFBF" w:sz="1"/>
              <w:left w:val="single" w:color="BFBFBF" w:sz="1"/>
              <w:bottom w:val="single" w:color="BFBFBF" w:sz="1"/>
              <w:right w:val="single" w:color="BFBFBF" w:sz="1"/>
            </w:tcBorders>
            <w:tcMar>
              <w:top w:type="dxa" w:w="60"/>
              <w:left w:type="dxa" w:w="120"/>
              <w:bottom w:type="dxa" w:w="60"/>
              <w:right w:type="dxa" w:w="120"/>
            </w:tcMar>
          </w:tcPr>
          <w:p>
            <w:pPr>
              <w:jc w:val="right"/>
            </w:pPr>
            <w:r>
              <w:rPr>
                <w:rFonts w:ascii="Arial" w:cs="Arial" w:eastAsia="Arial" w:hAnsi="Arial"/>
                <w:b w:val="false"/>
                <w:bCs w:val="false"/>
                <w:sz w:val="20"/>
                <w:szCs w:val="20"/>
              </w:rPr>
              <w:t xml:space="preserve">7.5%</w:t>
            </w:r>
          </w:p>
        </w:tc>
      </w:tr>
      <w:tr>
        <w:tc>
          <w:tcPr>
            <w:tcW w:type="dxa" w:w="4560"/>
            <w:tcBorders>
              <w:top w:val="single" w:color="BFBFBF" w:sz="1"/>
              <w:left w:val="single" w:color="BFBFBF" w:sz="1"/>
              <w:bottom w:val="single" w:color="BFBFBF" w:sz="1"/>
              <w:right w:val="single" w:color="BFBFBF"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Other expenses</w:t>
            </w:r>
          </w:p>
        </w:tc>
        <w:tc>
          <w:tcPr>
            <w:tcW w:type="dxa" w:w="2640"/>
            <w:tcBorders>
              <w:top w:val="single" w:color="BFBFBF" w:sz="1"/>
              <w:left w:val="single" w:color="BFBFBF" w:sz="1"/>
              <w:bottom w:val="single" w:color="BFBFBF" w:sz="1"/>
              <w:right w:val="single" w:color="BFBFBF" w:sz="1"/>
            </w:tcBorders>
            <w:tcMar>
              <w:top w:type="dxa" w:w="60"/>
              <w:left w:type="dxa" w:w="120"/>
              <w:bottom w:type="dxa" w:w="60"/>
              <w:right w:type="dxa" w:w="120"/>
            </w:tcMar>
          </w:tcPr>
          <w:p>
            <w:pPr>
              <w:jc w:val="right"/>
            </w:pPr>
            <w:r>
              <w:rPr>
                <w:rFonts w:ascii="Arial" w:cs="Arial" w:eastAsia="Arial" w:hAnsi="Arial"/>
                <w:b w:val="false"/>
                <w:bCs w:val="false"/>
                <w:sz w:val="20"/>
                <w:szCs w:val="20"/>
              </w:rPr>
              <w:t xml:space="preserve">291,000</w:t>
            </w:r>
          </w:p>
        </w:tc>
        <w:tc>
          <w:tcPr>
            <w:tcW w:type="dxa" w:w="2160"/>
            <w:tcBorders>
              <w:top w:val="single" w:color="BFBFBF" w:sz="1"/>
              <w:left w:val="single" w:color="BFBFBF" w:sz="1"/>
              <w:bottom w:val="single" w:color="BFBFBF" w:sz="1"/>
              <w:right w:val="single" w:color="BFBFBF" w:sz="1"/>
            </w:tcBorders>
            <w:tcMar>
              <w:top w:type="dxa" w:w="60"/>
              <w:left w:type="dxa" w:w="120"/>
              <w:bottom w:type="dxa" w:w="60"/>
              <w:right w:type="dxa" w:w="120"/>
            </w:tcMar>
          </w:tcPr>
          <w:p>
            <w:pPr>
              <w:jc w:val="right"/>
            </w:pPr>
            <w:r>
              <w:rPr>
                <w:rFonts w:ascii="Arial" w:cs="Arial" w:eastAsia="Arial" w:hAnsi="Arial"/>
                <w:b w:val="false"/>
                <w:bCs w:val="false"/>
                <w:sz w:val="20"/>
                <w:szCs w:val="20"/>
              </w:rPr>
              <w:t xml:space="preserve">3.1%</w:t>
            </w:r>
          </w:p>
        </w:tc>
      </w:tr>
      <w:tr>
        <w:tc>
          <w:tcPr>
            <w:tcW w:type="dxa" w:w="4560"/>
            <w:tcBorders>
              <w:top w:val="single" w:color="BFBFBF" w:sz="1"/>
              <w:left w:val="single" w:color="BFBFBF" w:sz="1"/>
              <w:bottom w:val="single" w:color="BFBFBF" w:sz="1"/>
              <w:right w:val="single" w:color="BFBFBF"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Bank charges &amp; stamp duty</w:t>
            </w:r>
          </w:p>
        </w:tc>
        <w:tc>
          <w:tcPr>
            <w:tcW w:type="dxa" w:w="2640"/>
            <w:tcBorders>
              <w:top w:val="single" w:color="BFBFBF" w:sz="1"/>
              <w:left w:val="single" w:color="BFBFBF" w:sz="1"/>
              <w:bottom w:val="single" w:color="BFBFBF" w:sz="1"/>
              <w:right w:val="single" w:color="BFBFBF" w:sz="1"/>
            </w:tcBorders>
            <w:tcMar>
              <w:top w:type="dxa" w:w="60"/>
              <w:left w:type="dxa" w:w="120"/>
              <w:bottom w:type="dxa" w:w="60"/>
              <w:right w:type="dxa" w:w="120"/>
            </w:tcMar>
          </w:tcPr>
          <w:p>
            <w:pPr>
              <w:jc w:val="right"/>
            </w:pPr>
            <w:r>
              <w:rPr>
                <w:rFonts w:ascii="Arial" w:cs="Arial" w:eastAsia="Arial" w:hAnsi="Arial"/>
                <w:b w:val="false"/>
                <w:bCs w:val="false"/>
                <w:sz w:val="20"/>
                <w:szCs w:val="20"/>
              </w:rPr>
              <w:t xml:space="preserve">6,552</w:t>
            </w:r>
          </w:p>
        </w:tc>
        <w:tc>
          <w:tcPr>
            <w:tcW w:type="dxa" w:w="2160"/>
            <w:tcBorders>
              <w:top w:val="single" w:color="BFBFBF" w:sz="1"/>
              <w:left w:val="single" w:color="BFBFBF" w:sz="1"/>
              <w:bottom w:val="single" w:color="BFBFBF" w:sz="1"/>
              <w:right w:val="single" w:color="BFBFBF" w:sz="1"/>
            </w:tcBorders>
            <w:tcMar>
              <w:top w:type="dxa" w:w="60"/>
              <w:left w:type="dxa" w:w="120"/>
              <w:bottom w:type="dxa" w:w="60"/>
              <w:right w:type="dxa" w:w="120"/>
            </w:tcMar>
          </w:tcPr>
          <w:p>
            <w:pPr>
              <w:jc w:val="right"/>
            </w:pPr>
            <w:r>
              <w:rPr>
                <w:rFonts w:ascii="Arial" w:cs="Arial" w:eastAsia="Arial" w:hAnsi="Arial"/>
                <w:b w:val="false"/>
                <w:bCs w:val="false"/>
                <w:sz w:val="20"/>
                <w:szCs w:val="20"/>
              </w:rPr>
              <w:t xml:space="preserve">0.1%</w:t>
            </w:r>
          </w:p>
        </w:tc>
      </w:tr>
      <w:tr>
        <w:tc>
          <w:tcPr>
            <w:tcW w:type="dxa" w:w="4560"/>
            <w:tcBorders>
              <w:top w:val="single" w:color="BFBFBF" w:sz="1"/>
              <w:left w:val="single" w:color="BFBFBF" w:sz="1"/>
              <w:bottom w:val="single" w:color="BFBFBF" w:sz="1"/>
              <w:right w:val="single" w:color="BFBFBF" w:sz="1"/>
            </w:tcBorders>
            <w:shd w:fill="DDE3F0" w:val="clear"/>
            <w:tcMar>
              <w:top w:type="dxa" w:w="60"/>
              <w:left w:type="dxa" w:w="120"/>
              <w:bottom w:type="dxa" w:w="60"/>
              <w:right w:type="dxa" w:w="120"/>
            </w:tcMar>
          </w:tcPr>
          <w:p>
            <w:pPr>
              <w:jc w:val="left"/>
            </w:pPr>
            <w:r>
              <w:rPr>
                <w:rFonts w:ascii="Arial" w:cs="Arial" w:eastAsia="Arial" w:hAnsi="Arial"/>
                <w:b/>
                <w:bCs/>
                <w:sz w:val="20"/>
                <w:szCs w:val="20"/>
              </w:rPr>
              <w:t xml:space="preserve">Total expenses</w:t>
            </w:r>
          </w:p>
        </w:tc>
        <w:tc>
          <w:tcPr>
            <w:tcW w:type="dxa" w:w="2640"/>
            <w:tcBorders>
              <w:top w:val="single" w:color="BFBFBF" w:sz="1"/>
              <w:left w:val="single" w:color="BFBFBF" w:sz="1"/>
              <w:bottom w:val="single" w:color="BFBFBF" w:sz="1"/>
              <w:right w:val="single" w:color="BFBFBF" w:sz="1"/>
            </w:tcBorders>
            <w:shd w:fill="DDE3F0" w:val="clear"/>
            <w:tcMar>
              <w:top w:type="dxa" w:w="60"/>
              <w:left w:type="dxa" w:w="120"/>
              <w:bottom w:type="dxa" w:w="60"/>
              <w:right w:type="dxa" w:w="120"/>
            </w:tcMar>
          </w:tcPr>
          <w:p>
            <w:pPr>
              <w:jc w:val="right"/>
            </w:pPr>
            <w:r>
              <w:rPr>
                <w:rFonts w:ascii="Arial" w:cs="Arial" w:eastAsia="Arial" w:hAnsi="Arial"/>
                <w:b/>
                <w:bCs/>
                <w:sz w:val="20"/>
                <w:szCs w:val="20"/>
              </w:rPr>
              <w:t xml:space="preserve">9,341,552</w:t>
            </w:r>
          </w:p>
        </w:tc>
        <w:tc>
          <w:tcPr>
            <w:tcW w:type="dxa" w:w="2160"/>
            <w:tcBorders>
              <w:top w:val="single" w:color="BFBFBF" w:sz="1"/>
              <w:left w:val="single" w:color="BFBFBF" w:sz="1"/>
              <w:bottom w:val="single" w:color="BFBFBF" w:sz="1"/>
              <w:right w:val="single" w:color="BFBFBF" w:sz="1"/>
            </w:tcBorders>
            <w:shd w:fill="DDE3F0" w:val="clear"/>
            <w:tcMar>
              <w:top w:type="dxa" w:w="60"/>
              <w:left w:type="dxa" w:w="120"/>
              <w:bottom w:type="dxa" w:w="60"/>
              <w:right w:type="dxa" w:w="120"/>
            </w:tcMar>
          </w:tcPr>
          <w:p>
            <w:pPr>
              <w:jc w:val="right"/>
            </w:pPr>
            <w:r>
              <w:rPr>
                <w:rFonts w:ascii="Arial" w:cs="Arial" w:eastAsia="Arial" w:hAnsi="Arial"/>
                <w:b/>
                <w:bCs/>
                <w:sz w:val="20"/>
                <w:szCs w:val="20"/>
              </w:rPr>
              <w:t xml:space="preserve">100%</w:t>
            </w:r>
          </w:p>
        </w:tc>
      </w:tr>
    </w:tbl>
    <w:p>
      <w:pPr>
        <w:spacing w:after="100"/>
      </w:pPr>
      <w:r>
        <w:rPr>
          <w:rFonts w:ascii="Arial" w:cs="Arial" w:eastAsia="Arial" w:hAnsi="Arial"/>
          <w:i/>
          <w:iCs/>
          <w:color w:val="595959"/>
          <w:sz w:val="20"/>
          <w:szCs w:val="20"/>
        </w:rPr>
        <w:t xml:space="preserve">Notes: figures are in Nigerian naira and on a cash basis from the academy accounts. The surplus is real but margins have compressed as we have scaled — all-time surplus margin 25.6%, but ~20% in H1 2026 and ~10% over the last 12 months, as salary and kit spend grew. Income and costs are both lumpy (fees paid in session packages; kit and equipment bought in bulk), so single months swing between surplus and deficit.</w:t>
      </w:r>
    </w:p>
    <w:p>
      <w:pPr>
        <w:spacing w:after="100"/>
      </w:pPr>
      <w:r>
        <w:rPr>
          <w:rFonts w:ascii="Arial" w:cs="Arial" w:eastAsia="Arial" w:hAnsi="Arial"/>
          <w:i/>
          <w:iCs/>
          <w:color w:val="595959"/>
          <w:sz w:val="20"/>
          <w:szCs w:val="20"/>
        </w:rPr>
        <w:t xml:space="preserve">Kit is a particular case of the cash basis: a recent bulk purchase of new-season stock shows as ₦3.34M of cost against only ₦2.59M of sales so far, which makes the line look loss-making. It isn't — that stock is still selling through. Management conservatively expects around ₦4M of kit revenue from current stock within the next two to three months, with the remaining stock then selling more slowly over the following months. On a matched basis kit is a profitable line.</w:t>
      </w:r>
    </w:p>
    <w:p>
      <w:pPr>
        <w:spacing w:after="120"/>
      </w:pPr>
      <w:r>
        <w:rPr>
          <w:rFonts w:ascii="Arial" w:cs="Arial" w:eastAsia="Arial" w:hAnsi="Arial"/>
          <w:b/>
          <w:bCs/>
          <w:sz w:val="20"/>
          <w:szCs w:val="20"/>
        </w:rPr>
        <w:t xml:space="preserve">In-kind support not in the numbers: </w:t>
      </w:r>
      <w:r>
        <w:rPr>
          <w:rFonts w:ascii="Arial" w:cs="Arial" w:eastAsia="Arial" w:hAnsi="Arial"/>
          <w:sz w:val="20"/>
          <w:szCs w:val="20"/>
        </w:rPr>
        <w:t xml:space="preserve">the cash accounts understate the true cost base in two ways. The venue is provided free by the Dunes shopping mall in Abuja — a material subsidy that would become a significant cost if it ended. And the founder has personally funded all footballs and training equipment to date (itemised list to follow).</w:t>
      </w:r>
    </w:p>
    <w:p>
      <w:pPr>
        <w:pStyle w:val="Heading2"/>
        <w:spacing w:after="100" w:before="220"/>
      </w:pPr>
      <w:r>
        <w:rPr>
          <w:rFonts w:ascii="Arial" w:cs="Arial" w:eastAsia="Arial" w:hAnsi="Arial"/>
          <w:b/>
          <w:bCs/>
          <w:color w:val="1F3864"/>
          <w:sz w:val="22"/>
          <w:szCs w:val="22"/>
        </w:rPr>
        <w:t xml:space="preserve">Players and the scholarship effect</w:t>
      </w:r>
    </w:p>
    <w:p>
      <w:pPr>
        <w:pStyle w:val="ListParagraph"/>
        <w:numPr>
          <w:ilvl w:val="0"/>
          <w:numId w:val="2"/>
        </w:numPr>
        <w:spacing w:after="80"/>
      </w:pPr>
      <w:r>
        <w:rPr>
          <w:rFonts w:ascii="Arial" w:cs="Arial" w:eastAsia="Arial" w:hAnsi="Arial"/>
          <w:b/>
          <w:bCs/>
          <w:sz w:val="20"/>
          <w:szCs w:val="20"/>
        </w:rPr>
        <w:t xml:space="preserve">75 players on the books — </w:t>
      </w:r>
      <w:r>
        <w:rPr>
          <w:rFonts w:ascii="Arial" w:cs="Arial" w:eastAsia="Arial" w:hAnsi="Arial"/>
          <w:sz w:val="20"/>
          <w:szCs w:val="20"/>
        </w:rPr>
        <w:t xml:space="preserve">52 active, 23 inactive.</w:t>
      </w:r>
    </w:p>
    <w:p>
      <w:pPr>
        <w:pStyle w:val="ListParagraph"/>
        <w:numPr>
          <w:ilvl w:val="0"/>
          <w:numId w:val="2"/>
        </w:numPr>
        <w:spacing w:after="80"/>
      </w:pPr>
      <w:r>
        <w:rPr>
          <w:rFonts w:ascii="Arial" w:cs="Arial" w:eastAsia="Arial" w:hAnsi="Arial"/>
          <w:b/>
          <w:bCs/>
          <w:sz w:val="20"/>
          <w:szCs w:val="20"/>
        </w:rPr>
        <w:t xml:space="preserve">12 are scholarship (non-fee-paying) players — </w:t>
      </w:r>
      <w:r>
        <w:rPr>
          <w:rFonts w:ascii="Arial" w:cs="Arial" w:eastAsia="Arial" w:hAnsi="Arial"/>
          <w:sz w:val="20"/>
          <w:szCs w:val="20"/>
        </w:rPr>
        <w:t xml:space="preserve">about 16% of the roster (6 of the 52 active). They are deliberately excluded from all fee-per-player figures below, so we don't overstate revenue.</w:t>
      </w:r>
    </w:p>
    <w:p>
      <w:pPr>
        <w:pStyle w:val="ListParagraph"/>
        <w:numPr>
          <w:ilvl w:val="0"/>
          <w:numId w:val="2"/>
        </w:numPr>
        <w:spacing w:after="80"/>
      </w:pPr>
      <w:r>
        <w:rPr>
          <w:rFonts w:ascii="Arial" w:cs="Arial" w:eastAsia="Arial" w:hAnsi="Arial"/>
          <w:b/>
          <w:bCs/>
          <w:sz w:val="20"/>
          <w:szCs w:val="20"/>
        </w:rPr>
        <w:t xml:space="preserve">Active fee-paying players: 46. </w:t>
      </w:r>
      <w:r>
        <w:rPr>
          <w:rFonts w:ascii="Arial" w:cs="Arial" w:eastAsia="Arial" w:hAnsi="Arial"/>
          <w:sz w:val="20"/>
          <w:szCs w:val="20"/>
        </w:rPr>
        <w:t xml:space="preserve">Session-fee income works out at roughly ₦211,000 per active fee-paying player over the period (~₦11,000/month) — broadly one mid-size session package a month.</w:t>
      </w:r>
    </w:p>
    <w:p>
      <w:pPr>
        <w:pStyle w:val="ListParagraph"/>
        <w:numPr>
          <w:ilvl w:val="0"/>
          <w:numId w:val="2"/>
        </w:numPr>
        <w:spacing w:after="80"/>
      </w:pPr>
      <w:r>
        <w:rPr>
          <w:rFonts w:ascii="Arial" w:cs="Arial" w:eastAsia="Arial" w:hAnsi="Arial"/>
          <w:b/>
          <w:bCs/>
          <w:sz w:val="20"/>
          <w:szCs w:val="20"/>
        </w:rPr>
        <w:t xml:space="preserve">Be ready to frame scholarships positively: </w:t>
      </w:r>
      <w:r>
        <w:rPr>
          <w:rFonts w:ascii="Arial" w:cs="Arial" w:eastAsia="Arial" w:hAnsi="Arial"/>
          <w:sz w:val="20"/>
          <w:szCs w:val="20"/>
        </w:rPr>
        <w:t xml:space="preserve">they are a community-investment and talent-pipeline decision, not lost control — but know the number, because an investor will ask what fees you are forgoing and why.</w:t>
      </w:r>
    </w:p>
    <w:p>
      <w:pPr>
        <w:pStyle w:val="Heading2"/>
        <w:spacing w:after="100" w:before="220"/>
      </w:pPr>
      <w:r>
        <w:rPr>
          <w:rFonts w:ascii="Arial" w:cs="Arial" w:eastAsia="Arial" w:hAnsi="Arial"/>
          <w:b/>
          <w:bCs/>
          <w:color w:val="1F3864"/>
          <w:sz w:val="22"/>
          <w:szCs w:val="22"/>
        </w:rPr>
        <w:t xml:space="preserve">Fee tariffs (current)</w:t>
      </w:r>
    </w:p>
    <w:p>
      <w:pPr>
        <w:spacing w:after="100"/>
      </w:pPr>
      <w:r>
        <w:rPr>
          <w:rFonts w:ascii="Arial" w:cs="Arial" w:eastAsia="Arial" w:hAnsi="Arial"/>
          <w:i w:val="false"/>
          <w:iCs w:val="false"/>
          <w:sz w:val="20"/>
          <w:szCs w:val="20"/>
        </w:rPr>
        <w:t xml:space="preserve">Fees run on two age-based tariffs — a lower one for players under 6 and a slightly higher one for players aged 6 and 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000"/>
        <w:gridCol w:w="3000"/>
      </w:tblGrid>
      <w:tr>
        <w:tc>
          <w:tcPr>
            <w:tcW w:type="dxa" w:w="336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tcPr>
          <w:p>
            <w:pPr>
              <w:jc w:val="left"/>
            </w:pPr>
            <w:r>
              <w:rPr>
                <w:rFonts w:ascii="Arial" w:cs="Arial" w:eastAsia="Arial" w:hAnsi="Arial"/>
                <w:b/>
                <w:bCs/>
                <w:color w:val="FFFFFF"/>
                <w:sz w:val="20"/>
                <w:szCs w:val="20"/>
              </w:rPr>
              <w:t xml:space="preserve">Package</w:t>
            </w:r>
          </w:p>
        </w:tc>
        <w:tc>
          <w:tcPr>
            <w:tcW w:type="dxa" w:w="300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tcPr>
          <w:p>
            <w:pPr>
              <w:jc w:val="right"/>
            </w:pPr>
            <w:r>
              <w:rPr>
                <w:rFonts w:ascii="Arial" w:cs="Arial" w:eastAsia="Arial" w:hAnsi="Arial"/>
                <w:b/>
                <w:bCs/>
                <w:color w:val="FFFFFF"/>
                <w:sz w:val="20"/>
                <w:szCs w:val="20"/>
              </w:rPr>
              <w:t xml:space="preserve">Under 6 (₦)</w:t>
            </w:r>
          </w:p>
        </w:tc>
        <w:tc>
          <w:tcPr>
            <w:tcW w:type="dxa" w:w="300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tcPr>
          <w:p>
            <w:pPr>
              <w:jc w:val="right"/>
            </w:pPr>
            <w:r>
              <w:rPr>
                <w:rFonts w:ascii="Arial" w:cs="Arial" w:eastAsia="Arial" w:hAnsi="Arial"/>
                <w:b/>
                <w:bCs/>
                <w:color w:val="FFFFFF"/>
                <w:sz w:val="20"/>
                <w:szCs w:val="20"/>
              </w:rPr>
              <w:t xml:space="preserve">6 and over (₦)</w:t>
            </w:r>
          </w:p>
        </w:tc>
      </w:tr>
      <w:tr>
        <w:tc>
          <w:tcPr>
            <w:tcW w:type="dxa" w:w="3360"/>
            <w:tcBorders>
              <w:top w:val="single" w:color="BFBFBF" w:sz="1"/>
              <w:left w:val="single" w:color="BFBFBF" w:sz="1"/>
              <w:bottom w:val="single" w:color="BFBFBF" w:sz="1"/>
              <w:right w:val="single" w:color="BFBFBF"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One session</w:t>
            </w:r>
          </w:p>
        </w:tc>
        <w:tc>
          <w:tcPr>
            <w:tcW w:type="dxa" w:w="3000"/>
            <w:tcBorders>
              <w:top w:val="single" w:color="BFBFBF" w:sz="1"/>
              <w:left w:val="single" w:color="BFBFBF" w:sz="1"/>
              <w:bottom w:val="single" w:color="BFBFBF" w:sz="1"/>
              <w:right w:val="single" w:color="BFBFBF" w:sz="1"/>
            </w:tcBorders>
            <w:tcMar>
              <w:top w:type="dxa" w:w="60"/>
              <w:left w:type="dxa" w:w="120"/>
              <w:bottom w:type="dxa" w:w="60"/>
              <w:right w:type="dxa" w:w="120"/>
            </w:tcMar>
          </w:tcPr>
          <w:p>
            <w:pPr>
              <w:jc w:val="right"/>
            </w:pPr>
            <w:r>
              <w:rPr>
                <w:rFonts w:ascii="Arial" w:cs="Arial" w:eastAsia="Arial" w:hAnsi="Arial"/>
                <w:b w:val="false"/>
                <w:bCs w:val="false"/>
                <w:sz w:val="20"/>
                <w:szCs w:val="20"/>
              </w:rPr>
              <w:t xml:space="preserve">12,000</w:t>
            </w:r>
          </w:p>
        </w:tc>
        <w:tc>
          <w:tcPr>
            <w:tcW w:type="dxa" w:w="3000"/>
            <w:tcBorders>
              <w:top w:val="single" w:color="BFBFBF" w:sz="1"/>
              <w:left w:val="single" w:color="BFBFBF" w:sz="1"/>
              <w:bottom w:val="single" w:color="BFBFBF" w:sz="1"/>
              <w:right w:val="single" w:color="BFBFBF" w:sz="1"/>
            </w:tcBorders>
            <w:tcMar>
              <w:top w:type="dxa" w:w="60"/>
              <w:left w:type="dxa" w:w="120"/>
              <w:bottom w:type="dxa" w:w="60"/>
              <w:right w:type="dxa" w:w="120"/>
            </w:tcMar>
          </w:tcPr>
          <w:p>
            <w:pPr>
              <w:jc w:val="right"/>
            </w:pPr>
            <w:r>
              <w:rPr>
                <w:rFonts w:ascii="Arial" w:cs="Arial" w:eastAsia="Arial" w:hAnsi="Arial"/>
                <w:b w:val="false"/>
                <w:bCs w:val="false"/>
                <w:sz w:val="20"/>
                <w:szCs w:val="20"/>
              </w:rPr>
              <w:t xml:space="preserve">12,000</w:t>
            </w:r>
          </w:p>
        </w:tc>
      </w:tr>
      <w:tr>
        <w:tc>
          <w:tcPr>
            <w:tcW w:type="dxa" w:w="3360"/>
            <w:tcBorders>
              <w:top w:val="single" w:color="BFBFBF" w:sz="1"/>
              <w:left w:val="single" w:color="BFBFBF" w:sz="1"/>
              <w:bottom w:val="single" w:color="BFBFBF" w:sz="1"/>
              <w:right w:val="single" w:color="BFBFBF"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Four sessions</w:t>
            </w:r>
          </w:p>
        </w:tc>
        <w:tc>
          <w:tcPr>
            <w:tcW w:type="dxa" w:w="3000"/>
            <w:tcBorders>
              <w:top w:val="single" w:color="BFBFBF" w:sz="1"/>
              <w:left w:val="single" w:color="BFBFBF" w:sz="1"/>
              <w:bottom w:val="single" w:color="BFBFBF" w:sz="1"/>
              <w:right w:val="single" w:color="BFBFBF" w:sz="1"/>
            </w:tcBorders>
            <w:tcMar>
              <w:top w:type="dxa" w:w="60"/>
              <w:left w:type="dxa" w:w="120"/>
              <w:bottom w:type="dxa" w:w="60"/>
              <w:right w:type="dxa" w:w="120"/>
            </w:tcMar>
          </w:tcPr>
          <w:p>
            <w:pPr>
              <w:jc w:val="right"/>
            </w:pPr>
            <w:r>
              <w:rPr>
                <w:rFonts w:ascii="Arial" w:cs="Arial" w:eastAsia="Arial" w:hAnsi="Arial"/>
                <w:b w:val="false"/>
                <w:bCs w:val="false"/>
                <w:sz w:val="20"/>
                <w:szCs w:val="20"/>
              </w:rPr>
              <w:t xml:space="preserve">30,000</w:t>
            </w:r>
          </w:p>
        </w:tc>
        <w:tc>
          <w:tcPr>
            <w:tcW w:type="dxa" w:w="3000"/>
            <w:tcBorders>
              <w:top w:val="single" w:color="BFBFBF" w:sz="1"/>
              <w:left w:val="single" w:color="BFBFBF" w:sz="1"/>
              <w:bottom w:val="single" w:color="BFBFBF" w:sz="1"/>
              <w:right w:val="single" w:color="BFBFBF" w:sz="1"/>
            </w:tcBorders>
            <w:tcMar>
              <w:top w:type="dxa" w:w="60"/>
              <w:left w:type="dxa" w:w="120"/>
              <w:bottom w:type="dxa" w:w="60"/>
              <w:right w:type="dxa" w:w="120"/>
            </w:tcMar>
          </w:tcPr>
          <w:p>
            <w:pPr>
              <w:jc w:val="right"/>
            </w:pPr>
            <w:r>
              <w:rPr>
                <w:rFonts w:ascii="Arial" w:cs="Arial" w:eastAsia="Arial" w:hAnsi="Arial"/>
                <w:b w:val="false"/>
                <w:bCs w:val="false"/>
                <w:sz w:val="20"/>
                <w:szCs w:val="20"/>
              </w:rPr>
              <w:t xml:space="preserve">35,000</w:t>
            </w:r>
          </w:p>
        </w:tc>
      </w:tr>
      <w:tr>
        <w:tc>
          <w:tcPr>
            <w:tcW w:type="dxa" w:w="3360"/>
            <w:tcBorders>
              <w:top w:val="single" w:color="BFBFBF" w:sz="1"/>
              <w:left w:val="single" w:color="BFBFBF" w:sz="1"/>
              <w:bottom w:val="single" w:color="BFBFBF" w:sz="1"/>
              <w:right w:val="single" w:color="BFBFBF"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Eight sessions</w:t>
            </w:r>
          </w:p>
        </w:tc>
        <w:tc>
          <w:tcPr>
            <w:tcW w:type="dxa" w:w="3000"/>
            <w:tcBorders>
              <w:top w:val="single" w:color="BFBFBF" w:sz="1"/>
              <w:left w:val="single" w:color="BFBFBF" w:sz="1"/>
              <w:bottom w:val="single" w:color="BFBFBF" w:sz="1"/>
              <w:right w:val="single" w:color="BFBFBF" w:sz="1"/>
            </w:tcBorders>
            <w:tcMar>
              <w:top w:type="dxa" w:w="60"/>
              <w:left w:type="dxa" w:w="120"/>
              <w:bottom w:type="dxa" w:w="60"/>
              <w:right w:type="dxa" w:w="120"/>
            </w:tcMar>
          </w:tcPr>
          <w:p>
            <w:pPr>
              <w:jc w:val="right"/>
            </w:pPr>
            <w:r>
              <w:rPr>
                <w:rFonts w:ascii="Arial" w:cs="Arial" w:eastAsia="Arial" w:hAnsi="Arial"/>
                <w:b w:val="false"/>
                <w:bCs w:val="false"/>
                <w:sz w:val="20"/>
                <w:szCs w:val="20"/>
              </w:rPr>
              <w:t xml:space="preserve">45,000</w:t>
            </w:r>
          </w:p>
        </w:tc>
        <w:tc>
          <w:tcPr>
            <w:tcW w:type="dxa" w:w="3000"/>
            <w:tcBorders>
              <w:top w:val="single" w:color="BFBFBF" w:sz="1"/>
              <w:left w:val="single" w:color="BFBFBF" w:sz="1"/>
              <w:bottom w:val="single" w:color="BFBFBF" w:sz="1"/>
              <w:right w:val="single" w:color="BFBFBF" w:sz="1"/>
            </w:tcBorders>
            <w:tcMar>
              <w:top w:type="dxa" w:w="60"/>
              <w:left w:type="dxa" w:w="120"/>
              <w:bottom w:type="dxa" w:w="60"/>
              <w:right w:type="dxa" w:w="120"/>
            </w:tcMar>
          </w:tcPr>
          <w:p>
            <w:pPr>
              <w:jc w:val="right"/>
            </w:pPr>
            <w:r>
              <w:rPr>
                <w:rFonts w:ascii="Arial" w:cs="Arial" w:eastAsia="Arial" w:hAnsi="Arial"/>
                <w:b w:val="false"/>
                <w:bCs w:val="false"/>
                <w:sz w:val="20"/>
                <w:szCs w:val="20"/>
              </w:rPr>
              <w:t xml:space="preserve">50,000</w:t>
            </w:r>
          </w:p>
        </w:tc>
      </w:tr>
      <w:tr>
        <w:tc>
          <w:tcPr>
            <w:tcW w:type="dxa" w:w="3360"/>
            <w:tcBorders>
              <w:top w:val="single" w:color="BFBFBF" w:sz="1"/>
              <w:left w:val="single" w:color="BFBFBF" w:sz="1"/>
              <w:bottom w:val="single" w:color="BFBFBF" w:sz="1"/>
              <w:right w:val="single" w:color="BFBFBF" w:sz="1"/>
            </w:tcBorders>
            <w:tcMar>
              <w:top w:type="dxa" w:w="60"/>
              <w:left w:type="dxa" w:w="120"/>
              <w:bottom w:type="dxa" w:w="60"/>
              <w:right w:type="dxa" w:w="120"/>
            </w:tcMar>
          </w:tcPr>
          <w:p>
            <w:pPr>
              <w:jc w:val="left"/>
            </w:pPr>
            <w:r>
              <w:rPr>
                <w:rFonts w:ascii="Arial" w:cs="Arial" w:eastAsia="Arial" w:hAnsi="Arial"/>
                <w:b w:val="false"/>
                <w:bCs w:val="false"/>
                <w:sz w:val="20"/>
                <w:szCs w:val="20"/>
              </w:rPr>
              <w:t xml:space="preserve">Twelve sessions</w:t>
            </w:r>
          </w:p>
        </w:tc>
        <w:tc>
          <w:tcPr>
            <w:tcW w:type="dxa" w:w="3000"/>
            <w:tcBorders>
              <w:top w:val="single" w:color="BFBFBF" w:sz="1"/>
              <w:left w:val="single" w:color="BFBFBF" w:sz="1"/>
              <w:bottom w:val="single" w:color="BFBFBF" w:sz="1"/>
              <w:right w:val="single" w:color="BFBFBF" w:sz="1"/>
            </w:tcBorders>
            <w:tcMar>
              <w:top w:type="dxa" w:w="60"/>
              <w:left w:type="dxa" w:w="120"/>
              <w:bottom w:type="dxa" w:w="60"/>
              <w:right w:type="dxa" w:w="120"/>
            </w:tcMar>
          </w:tcPr>
          <w:p>
            <w:pPr>
              <w:jc w:val="right"/>
            </w:pPr>
            <w:r>
              <w:rPr>
                <w:rFonts w:ascii="Arial" w:cs="Arial" w:eastAsia="Arial" w:hAnsi="Arial"/>
                <w:b w:val="false"/>
                <w:bCs w:val="false"/>
                <w:sz w:val="20"/>
                <w:szCs w:val="20"/>
              </w:rPr>
              <w:t xml:space="preserve">60,000</w:t>
            </w:r>
          </w:p>
        </w:tc>
        <w:tc>
          <w:tcPr>
            <w:tcW w:type="dxa" w:w="3000"/>
            <w:tcBorders>
              <w:top w:val="single" w:color="BFBFBF" w:sz="1"/>
              <w:left w:val="single" w:color="BFBFBF" w:sz="1"/>
              <w:bottom w:val="single" w:color="BFBFBF" w:sz="1"/>
              <w:right w:val="single" w:color="BFBFBF" w:sz="1"/>
            </w:tcBorders>
            <w:tcMar>
              <w:top w:type="dxa" w:w="60"/>
              <w:left w:type="dxa" w:w="120"/>
              <w:bottom w:type="dxa" w:w="60"/>
              <w:right w:type="dxa" w:w="120"/>
            </w:tcMar>
          </w:tcPr>
          <w:p>
            <w:pPr>
              <w:jc w:val="right"/>
            </w:pPr>
            <w:r>
              <w:rPr>
                <w:rFonts w:ascii="Arial" w:cs="Arial" w:eastAsia="Arial" w:hAnsi="Arial"/>
                <w:b w:val="false"/>
                <w:bCs w:val="false"/>
                <w:sz w:val="20"/>
                <w:szCs w:val="20"/>
              </w:rPr>
              <w:t xml:space="preserve">60,000</w:t>
            </w:r>
          </w:p>
        </w:tc>
      </w:tr>
    </w:tbl>
    <w:p>
      <w:pPr>
        <w:spacing w:after="100"/>
      </w:pPr>
      <w:r>
        <w:rPr>
          <w:rFonts w:ascii="Arial" w:cs="Arial" w:eastAsia="Arial" w:hAnsi="Arial"/>
          <w:i/>
          <w:iCs/>
          <w:color w:val="595959"/>
          <w:sz w:val="20"/>
          <w:szCs w:val="20"/>
        </w:rPr>
        <w:t xml:space="preserve">The per-session rate falls as players commit to larger packages — from ₦12,000 for a single session to ₦5,000 each in the twelve-session package. Note the two-tariff structure when comparing fee income across age groups.</w:t>
      </w:r>
    </w:p>
    <w:p>
      <w:pPr>
        <w:pStyle w:val="Heading1"/>
        <w:pageBreakBefore/>
      </w:pPr>
      <w:r>
        <w:rPr>
          <w:rFonts w:ascii="Arial" w:cs="Arial" w:eastAsia="Arial" w:hAnsi="Arial"/>
          <w:b/>
          <w:bCs/>
          <w:color w:val="1F3864"/>
          <w:sz w:val="26"/>
          <w:szCs w:val="26"/>
        </w:rPr>
        <w:t xml:space="preserve">Questions he is likely to ask us</w:t>
      </w:r>
    </w:p>
    <w:p>
      <w:pPr>
        <w:pStyle w:val="Heading2"/>
        <w:spacing w:after="100" w:before="220"/>
      </w:pPr>
      <w:r>
        <w:rPr>
          <w:rFonts w:ascii="Arial" w:cs="Arial" w:eastAsia="Arial" w:hAnsi="Arial"/>
          <w:b/>
          <w:bCs/>
          <w:color w:val="1F3864"/>
          <w:sz w:val="22"/>
          <w:szCs w:val="22"/>
        </w:rPr>
        <w:t xml:space="preserve">Business model &amp; money</w:t>
      </w:r>
    </w:p>
    <w:p>
      <w:pPr>
        <w:pStyle w:val="ListParagraph"/>
        <w:numPr>
          <w:ilvl w:val="0"/>
          <w:numId w:val="2"/>
        </w:numPr>
        <w:spacing w:after="80"/>
      </w:pPr>
      <w:r>
        <w:rPr>
          <w:rFonts w:ascii="Arial" w:cs="Arial" w:eastAsia="Arial" w:hAnsi="Arial"/>
          <w:b/>
          <w:bCs/>
          <w:sz w:val="20"/>
          <w:szCs w:val="20"/>
        </w:rPr>
        <w:t xml:space="preserve">How do you earn? </w:t>
      </w:r>
      <w:r>
        <w:rPr>
          <w:rFonts w:ascii="Arial" w:cs="Arial" w:eastAsia="Arial" w:hAnsi="Arial"/>
          <w:sz w:val="20"/>
          <w:szCs w:val="20"/>
        </w:rPr>
        <w:t xml:space="preserve">Session fees are 77% of income, kit sales 21%. Be honest that revenue is concentrated in session fees and explain the kit and camp lines.</w:t>
      </w:r>
    </w:p>
    <w:p>
      <w:pPr>
        <w:pStyle w:val="ListParagraph"/>
        <w:numPr>
          <w:ilvl w:val="0"/>
          <w:numId w:val="2"/>
        </w:numPr>
        <w:spacing w:after="80"/>
      </w:pPr>
      <w:r>
        <w:rPr>
          <w:rFonts w:ascii="Arial" w:cs="Arial" w:eastAsia="Arial" w:hAnsi="Arial"/>
          <w:b/>
          <w:bCs/>
          <w:sz w:val="20"/>
          <w:szCs w:val="20"/>
        </w:rPr>
        <w:t xml:space="preserve">Why does kit cost more than it earns? </w:t>
      </w:r>
      <w:r>
        <w:rPr>
          <w:rFonts w:ascii="Arial" w:cs="Arial" w:eastAsia="Arial" w:hAnsi="Arial"/>
          <w:sz w:val="20"/>
          <w:szCs w:val="20"/>
        </w:rPr>
        <w:t xml:space="preserve">On a cash basis it looks loss-making, but that's timing — we've just bought new-season stock that hasn't sold yet. We conservatively expect ~₦4M of kit revenue from current stock over the next two to three months, then slower sales of the remainder; kit is a profitable line. Worth making this point unprompted.</w:t>
      </w:r>
    </w:p>
    <w:p>
      <w:pPr>
        <w:pStyle w:val="ListParagraph"/>
        <w:numPr>
          <w:ilvl w:val="0"/>
          <w:numId w:val="2"/>
        </w:numPr>
        <w:spacing w:after="80"/>
      </w:pPr>
      <w:r>
        <w:rPr>
          <w:rFonts w:ascii="Arial" w:cs="Arial" w:eastAsia="Arial" w:hAnsi="Arial"/>
          <w:b/>
          <w:bCs/>
          <w:sz w:val="20"/>
          <w:szCs w:val="20"/>
        </w:rPr>
        <w:t xml:space="preserve">Are you profitable? </w:t>
      </w:r>
      <w:r>
        <w:rPr>
          <w:rFonts w:ascii="Arial" w:cs="Arial" w:eastAsia="Arial" w:hAnsi="Arial"/>
          <w:sz w:val="20"/>
          <w:szCs w:val="20"/>
        </w:rPr>
        <w:t xml:space="preserve">Yes — ₦3.2M cumulative surplus on ₦12.6M income (25.6%). But flag the margin compression (≈10% over the last 12 months) before he finds it, and explain why (scaling coaches and kit).</w:t>
      </w:r>
    </w:p>
    <w:p>
      <w:pPr>
        <w:pStyle w:val="ListParagraph"/>
        <w:numPr>
          <w:ilvl w:val="0"/>
          <w:numId w:val="2"/>
        </w:numPr>
        <w:spacing w:after="80"/>
      </w:pPr>
      <w:r>
        <w:rPr>
          <w:rFonts w:ascii="Arial" w:cs="Arial" w:eastAsia="Arial" w:hAnsi="Arial"/>
          <w:b/>
          <w:bCs/>
          <w:sz w:val="20"/>
          <w:szCs w:val="20"/>
        </w:rPr>
        <w:t xml:space="preserve">Player numbers, retention, capacity? </w:t>
      </w:r>
      <w:r>
        <w:rPr>
          <w:rFonts w:ascii="Arial" w:cs="Arial" w:eastAsia="Arial" w:hAnsi="Arial"/>
          <w:sz w:val="20"/>
          <w:szCs w:val="20"/>
        </w:rPr>
        <w:t xml:space="preserve">52 active of 75 on the books — be ready to explain the 23 inactive (churn, seasonality?) and what capacity you can serve.</w:t>
      </w:r>
    </w:p>
    <w:p>
      <w:pPr>
        <w:pStyle w:val="Heading2"/>
        <w:spacing w:after="100" w:before="220"/>
      </w:pPr>
      <w:r>
        <w:rPr>
          <w:rFonts w:ascii="Arial" w:cs="Arial" w:eastAsia="Arial" w:hAnsi="Arial"/>
          <w:b/>
          <w:bCs/>
          <w:color w:val="1F3864"/>
          <w:sz w:val="22"/>
          <w:szCs w:val="22"/>
        </w:rPr>
        <w:t xml:space="preserve">Upside — performance or community?</w:t>
      </w:r>
    </w:p>
    <w:p>
      <w:pPr>
        <w:pStyle w:val="ListParagraph"/>
        <w:numPr>
          <w:ilvl w:val="0"/>
          <w:numId w:val="2"/>
        </w:numPr>
        <w:spacing w:after="80"/>
      </w:pPr>
      <w:r>
        <w:rPr>
          <w:rFonts w:ascii="Arial" w:cs="Arial" w:eastAsia="Arial" w:hAnsi="Arial"/>
          <w:b/>
          <w:bCs/>
          <w:sz w:val="20"/>
          <w:szCs w:val="20"/>
        </w:rPr>
        <w:t xml:space="preserve">Where's the upside? </w:t>
      </w:r>
      <w:r>
        <w:rPr>
          <w:rFonts w:ascii="Arial" w:cs="Arial" w:eastAsia="Arial" w:hAnsi="Arial"/>
          <w:sz w:val="20"/>
          <w:szCs w:val="20"/>
        </w:rPr>
        <w:t xml:space="preserve">Be clear that today the academy is as much a community venture as a performance one, with only a few high-standard players. If he's looking for a talent-development or transfer-value play, present that as a possible future direction — stratifying, or adding a performance pathway — not the current model. Don't oversell a pipeline that isn't there yet.</w:t>
      </w:r>
    </w:p>
    <w:p>
      <w:pPr>
        <w:pStyle w:val="Heading2"/>
        <w:spacing w:after="100" w:before="220"/>
      </w:pPr>
      <w:r>
        <w:rPr>
          <w:rFonts w:ascii="Arial" w:cs="Arial" w:eastAsia="Arial" w:hAnsi="Arial"/>
          <w:b/>
          <w:bCs/>
          <w:color w:val="1F3864"/>
          <w:sz w:val="22"/>
          <w:szCs w:val="22"/>
        </w:rPr>
        <w:t xml:space="preserve">The ask</w:t>
      </w:r>
    </w:p>
    <w:p>
      <w:pPr>
        <w:pStyle w:val="ListParagraph"/>
        <w:numPr>
          <w:ilvl w:val="0"/>
          <w:numId w:val="2"/>
        </w:numPr>
        <w:spacing w:after="80"/>
      </w:pPr>
      <w:r>
        <w:rPr>
          <w:rFonts w:ascii="Arial" w:cs="Arial" w:eastAsia="Arial" w:hAnsi="Arial"/>
          <w:b/>
          <w:bCs/>
          <w:sz w:val="20"/>
          <w:szCs w:val="20"/>
        </w:rPr>
        <w:t xml:space="preserve">How much, what valuation, what equity, and use of funds? </w:t>
      </w:r>
      <w:r>
        <w:rPr>
          <w:rFonts w:ascii="Arial" w:cs="Arial" w:eastAsia="Arial" w:hAnsi="Arial"/>
          <w:sz w:val="20"/>
          <w:szCs w:val="20"/>
        </w:rPr>
        <w:t xml:space="preserve">Have a clear figure and a specific use (facilities, coaches, working capital) tied to a milestone.</w:t>
      </w:r>
    </w:p>
    <w:p>
      <w:pPr>
        <w:pStyle w:val="ListParagraph"/>
        <w:numPr>
          <w:ilvl w:val="0"/>
          <w:numId w:val="2"/>
        </w:numPr>
        <w:spacing w:after="80"/>
      </w:pPr>
      <w:r>
        <w:rPr>
          <w:rFonts w:ascii="Arial" w:cs="Arial" w:eastAsia="Arial" w:hAnsi="Arial"/>
          <w:b/>
          <w:bCs/>
          <w:sz w:val="20"/>
          <w:szCs w:val="20"/>
        </w:rPr>
        <w:t xml:space="preserve">What does the money unlock? </w:t>
      </w:r>
      <w:r>
        <w:rPr>
          <w:rFonts w:ascii="Arial" w:cs="Arial" w:eastAsia="Arial" w:hAnsi="Arial"/>
          <w:sz w:val="20"/>
          <w:szCs w:val="20"/>
        </w:rPr>
        <w:t xml:space="preserve">What you can't do now and where it gets you.</w:t>
      </w:r>
    </w:p>
    <w:p>
      <w:pPr>
        <w:pStyle w:val="Heading2"/>
        <w:spacing w:after="100" w:before="220"/>
      </w:pPr>
      <w:r>
        <w:rPr>
          <w:rFonts w:ascii="Arial" w:cs="Arial" w:eastAsia="Arial" w:hAnsi="Arial"/>
          <w:b/>
          <w:bCs/>
          <w:color w:val="1F3864"/>
          <w:sz w:val="22"/>
          <w:szCs w:val="22"/>
        </w:rPr>
        <w:t xml:space="preserve">Risk &amp; control (your home turf — lead with this)</w:t>
      </w:r>
    </w:p>
    <w:p>
      <w:pPr>
        <w:pStyle w:val="ListParagraph"/>
        <w:numPr>
          <w:ilvl w:val="0"/>
          <w:numId w:val="2"/>
        </w:numPr>
        <w:spacing w:after="80"/>
      </w:pPr>
      <w:r>
        <w:rPr>
          <w:rFonts w:ascii="Arial" w:cs="Arial" w:eastAsia="Arial" w:hAnsi="Arial"/>
          <w:b/>
          <w:bCs/>
          <w:sz w:val="20"/>
          <w:szCs w:val="20"/>
        </w:rPr>
        <w:t xml:space="preserve">Cash handling and controls: </w:t>
      </w:r>
      <w:r>
        <w:rPr>
          <w:rFonts w:ascii="Arial" w:cs="Arial" w:eastAsia="Arial" w:hAnsi="Arial"/>
          <w:sz w:val="20"/>
          <w:szCs w:val="20"/>
        </w:rPr>
        <w:t xml:space="preserve">who has signing authority, how income is reconciled, the state of the books. The app and reconciled accounts are a genuine credibility asset here — use them.</w:t>
      </w:r>
    </w:p>
    <w:p>
      <w:pPr>
        <w:pStyle w:val="ListParagraph"/>
        <w:numPr>
          <w:ilvl w:val="0"/>
          <w:numId w:val="2"/>
        </w:numPr>
        <w:spacing w:after="80"/>
      </w:pPr>
      <w:r>
        <w:rPr>
          <w:rFonts w:ascii="Arial" w:cs="Arial" w:eastAsia="Arial" w:hAnsi="Arial"/>
          <w:b/>
          <w:bCs/>
          <w:sz w:val="20"/>
          <w:szCs w:val="20"/>
        </w:rPr>
        <w:t xml:space="preserve">Safeguarding of minors: </w:t>
      </w:r>
      <w:r>
        <w:rPr>
          <w:rFonts w:ascii="Arial" w:cs="Arial" w:eastAsia="Arial" w:hAnsi="Arial"/>
          <w:sz w:val="20"/>
          <w:szCs w:val="20"/>
        </w:rPr>
        <w:t xml:space="preserve">coach vetting, policies, incident handling. For a children's academy this is make-or-break reputationally; raise it before he does.</w:t>
      </w:r>
    </w:p>
    <w:p>
      <w:pPr>
        <w:pStyle w:val="ListParagraph"/>
        <w:numPr>
          <w:ilvl w:val="0"/>
          <w:numId w:val="2"/>
        </w:numPr>
        <w:spacing w:after="80"/>
      </w:pPr>
      <w:r>
        <w:rPr>
          <w:rFonts w:ascii="Arial" w:cs="Arial" w:eastAsia="Arial" w:hAnsi="Arial"/>
          <w:b/>
          <w:bCs/>
          <w:sz w:val="20"/>
          <w:szCs w:val="20"/>
        </w:rPr>
        <w:t xml:space="preserve">Currency, regulatory, political and key-person risk: </w:t>
      </w:r>
      <w:r>
        <w:rPr>
          <w:rFonts w:ascii="Arial" w:cs="Arial" w:eastAsia="Arial" w:hAnsi="Arial"/>
          <w:sz w:val="20"/>
          <w:szCs w:val="20"/>
        </w:rPr>
        <w:t xml:space="preserve">naira devaluation, Nigeria-specific risk, and the academy's dependence on its two founders — coaching and technical delivery rest with Sunny, administration and finance with Keir. Be ready to say how each role would be covered if one of you stepped back.</w:t>
      </w:r>
    </w:p>
    <w:p>
      <w:pPr>
        <w:pStyle w:val="ListParagraph"/>
        <w:numPr>
          <w:ilvl w:val="0"/>
          <w:numId w:val="2"/>
        </w:numPr>
        <w:spacing w:after="80"/>
      </w:pPr>
      <w:r>
        <w:rPr>
          <w:rFonts w:ascii="Arial" w:cs="Arial" w:eastAsia="Arial" w:hAnsi="Arial"/>
          <w:b/>
          <w:bCs/>
          <w:sz w:val="20"/>
          <w:szCs w:val="20"/>
        </w:rPr>
        <w:t xml:space="preserve">Related-party arrangements (disclose proactively): </w:t>
      </w:r>
      <w:r>
        <w:rPr>
          <w:rFonts w:ascii="Arial" w:cs="Arial" w:eastAsia="Arial" w:hAnsi="Arial"/>
          <w:sz w:val="20"/>
          <w:szCs w:val="20"/>
        </w:rPr>
        <w:t xml:space="preserve">several arrangements are worth putting on the table rather than letting an investor discover them — three scholarship players are from the family that owns the Dunes mall that provides the free venue; the founder's son (listed as President) is fee-free in exchange for the founder funding all equipment; and most scholarship players receive free kit. None are problematic, but good governance and a sharp investor will want them disclosed.</w:t>
      </w:r>
    </w:p>
    <w:p>
      <w:pPr>
        <w:pStyle w:val="Heading2"/>
        <w:spacing w:after="100" w:before="220"/>
      </w:pPr>
      <w:r>
        <w:rPr>
          <w:rFonts w:ascii="Arial" w:cs="Arial" w:eastAsia="Arial" w:hAnsi="Arial"/>
          <w:b/>
          <w:bCs/>
          <w:color w:val="1F3864"/>
          <w:sz w:val="22"/>
          <w:szCs w:val="22"/>
        </w:rPr>
        <w:t xml:space="preserve">Structure &amp; exit</w:t>
      </w:r>
    </w:p>
    <w:p>
      <w:pPr>
        <w:pStyle w:val="ListParagraph"/>
        <w:numPr>
          <w:ilvl w:val="0"/>
          <w:numId w:val="2"/>
        </w:numPr>
        <w:spacing w:after="80"/>
      </w:pPr>
      <w:r>
        <w:rPr>
          <w:rFonts w:ascii="Arial" w:cs="Arial" w:eastAsia="Arial" w:hAnsi="Arial"/>
          <w:b/>
          <w:bCs/>
          <w:sz w:val="20"/>
          <w:szCs w:val="20"/>
        </w:rPr>
        <w:t xml:space="preserve">Legal and ownership structure: </w:t>
      </w:r>
      <w:r>
        <w:rPr>
          <w:rFonts w:ascii="Arial" w:cs="Arial" w:eastAsia="Arial" w:hAnsi="Arial"/>
          <w:sz w:val="20"/>
          <w:szCs w:val="20"/>
        </w:rPr>
        <w:t xml:space="preserve">is it incorporated, who holds the shares, Nigerian entity or holding company?</w:t>
      </w:r>
    </w:p>
    <w:p>
      <w:pPr>
        <w:pStyle w:val="ListParagraph"/>
        <w:numPr>
          <w:ilvl w:val="0"/>
          <w:numId w:val="2"/>
        </w:numPr>
        <w:spacing w:after="80"/>
      </w:pPr>
      <w:r>
        <w:rPr>
          <w:rFonts w:ascii="Arial" w:cs="Arial" w:eastAsia="Arial" w:hAnsi="Arial"/>
          <w:b/>
          <w:bCs/>
          <w:sz w:val="20"/>
          <w:szCs w:val="20"/>
        </w:rPr>
        <w:t xml:space="preserve">How does he get a return? </w:t>
      </w:r>
      <w:r>
        <w:rPr>
          <w:rFonts w:ascii="Arial" w:cs="Arial" w:eastAsia="Arial" w:hAnsi="Arial"/>
          <w:sz w:val="20"/>
          <w:szCs w:val="20"/>
        </w:rPr>
        <w:t xml:space="preserve">Dividends, buy-back, or eventual sale — and over what horizon?</w:t>
      </w:r>
    </w:p>
    <w:p>
      <w:pPr>
        <w:pStyle w:val="Heading1"/>
        <w:pageBreakBefore/>
      </w:pPr>
      <w:r>
        <w:rPr>
          <w:rFonts w:ascii="Arial" w:cs="Arial" w:eastAsia="Arial" w:hAnsi="Arial"/>
          <w:b/>
          <w:bCs/>
          <w:color w:val="1F3864"/>
          <w:sz w:val="26"/>
          <w:szCs w:val="26"/>
        </w:rPr>
        <w:t xml:space="preserve">Questions we should ask him</w:t>
      </w:r>
    </w:p>
    <w:p>
      <w:pPr>
        <w:pStyle w:val="Heading2"/>
        <w:spacing w:after="100" w:before="220"/>
      </w:pPr>
      <w:r>
        <w:rPr>
          <w:rFonts w:ascii="Arial" w:cs="Arial" w:eastAsia="Arial" w:hAnsi="Arial"/>
          <w:b/>
          <w:bCs/>
          <w:color w:val="1F3864"/>
          <w:sz w:val="22"/>
          <w:szCs w:val="22"/>
        </w:rPr>
        <w:t xml:space="preserve">Motivation &amp; fit</w:t>
      </w:r>
    </w:p>
    <w:p>
      <w:pPr>
        <w:pStyle w:val="ListParagraph"/>
        <w:numPr>
          <w:ilvl w:val="0"/>
          <w:numId w:val="2"/>
        </w:numPr>
        <w:spacing w:after="80"/>
      </w:pPr>
      <w:r>
        <w:rPr>
          <w:rFonts w:ascii="Arial" w:cs="Arial" w:eastAsia="Arial" w:hAnsi="Arial"/>
          <w:b/>
          <w:bCs/>
          <w:sz w:val="20"/>
          <w:szCs w:val="20"/>
        </w:rPr>
        <w:t xml:space="preserve">What's your actual objective — </w:t>
      </w:r>
      <w:r>
        <w:rPr>
          <w:rFonts w:ascii="Arial" w:cs="Arial" w:eastAsia="Arial" w:hAnsi="Arial"/>
          <w:sz w:val="20"/>
          <w:szCs w:val="20"/>
        </w:rPr>
        <w:t xml:space="preserve">financial return, passion for football/Africa, philanthropy, or strategic? This changes the whole shape of the deal and the return profile he'll accept.</w:t>
      </w:r>
    </w:p>
    <w:p>
      <w:pPr>
        <w:pStyle w:val="ListParagraph"/>
        <w:numPr>
          <w:ilvl w:val="0"/>
          <w:numId w:val="2"/>
        </w:numPr>
        <w:spacing w:after="80"/>
      </w:pPr>
      <w:r>
        <w:rPr>
          <w:rFonts w:ascii="Arial" w:cs="Arial" w:eastAsia="Arial" w:hAnsi="Arial"/>
          <w:b/>
          <w:bCs/>
          <w:sz w:val="20"/>
          <w:szCs w:val="20"/>
        </w:rPr>
        <w:t xml:space="preserve">Have you backed sport, education or African ventures before — </w:t>
      </w:r>
      <w:r>
        <w:rPr>
          <w:rFonts w:ascii="Arial" w:cs="Arial" w:eastAsia="Arial" w:hAnsi="Arial"/>
          <w:sz w:val="20"/>
          <w:szCs w:val="20"/>
        </w:rPr>
        <w:t xml:space="preserve">and can we speak to a founder you've funded?</w:t>
      </w:r>
    </w:p>
    <w:p>
      <w:pPr>
        <w:pStyle w:val="Heading2"/>
        <w:spacing w:after="100" w:before="220"/>
      </w:pPr>
      <w:r>
        <w:rPr>
          <w:rFonts w:ascii="Arial" w:cs="Arial" w:eastAsia="Arial" w:hAnsi="Arial"/>
          <w:b/>
          <w:bCs/>
          <w:color w:val="1F3864"/>
          <w:sz w:val="22"/>
          <w:szCs w:val="22"/>
        </w:rPr>
        <w:t xml:space="preserve">The deal</w:t>
      </w:r>
    </w:p>
    <w:p>
      <w:pPr>
        <w:pStyle w:val="ListParagraph"/>
        <w:numPr>
          <w:ilvl w:val="0"/>
          <w:numId w:val="2"/>
        </w:numPr>
        <w:spacing w:after="80"/>
      </w:pPr>
      <w:r>
        <w:rPr>
          <w:rFonts w:ascii="Arial" w:cs="Arial" w:eastAsia="Arial" w:hAnsi="Arial"/>
          <w:b/>
          <w:bCs/>
          <w:sz w:val="20"/>
          <w:szCs w:val="20"/>
        </w:rPr>
        <w:t xml:space="preserve">Cheque size and follow-on capacity. </w:t>
      </w:r>
      <w:r>
        <w:rPr>
          <w:rFonts w:ascii="Arial" w:cs="Arial" w:eastAsia="Arial" w:hAnsi="Arial"/>
          <w:sz w:val="20"/>
          <w:szCs w:val="20"/>
        </w:rPr>
        <w:t xml:space="preserve">Can he support a later round?</w:t>
      </w:r>
    </w:p>
    <w:p>
      <w:pPr>
        <w:pStyle w:val="ListParagraph"/>
        <w:numPr>
          <w:ilvl w:val="0"/>
          <w:numId w:val="2"/>
        </w:numPr>
        <w:spacing w:after="80"/>
      </w:pPr>
      <w:r>
        <w:rPr>
          <w:rFonts w:ascii="Arial" w:cs="Arial" w:eastAsia="Arial" w:hAnsi="Arial"/>
          <w:b/>
          <w:bCs/>
          <w:sz w:val="20"/>
          <w:szCs w:val="20"/>
        </w:rPr>
        <w:t xml:space="preserve">What do you expect in return: </w:t>
      </w:r>
      <w:r>
        <w:rPr>
          <w:rFonts w:ascii="Arial" w:cs="Arial" w:eastAsia="Arial" w:hAnsi="Arial"/>
          <w:sz w:val="20"/>
          <w:szCs w:val="20"/>
        </w:rPr>
        <w:t xml:space="preserve">equity %, dividends, board seat, veto/control rights, information rights?</w:t>
      </w:r>
    </w:p>
    <w:p>
      <w:pPr>
        <w:pStyle w:val="ListParagraph"/>
        <w:numPr>
          <w:ilvl w:val="0"/>
          <w:numId w:val="2"/>
        </w:numPr>
        <w:spacing w:after="80"/>
      </w:pPr>
      <w:r>
        <w:rPr>
          <w:rFonts w:ascii="Arial" w:cs="Arial" w:eastAsia="Arial" w:hAnsi="Arial"/>
          <w:b/>
          <w:bCs/>
          <w:sz w:val="20"/>
          <w:szCs w:val="20"/>
        </w:rPr>
        <w:t xml:space="preserve">Time horizon and exit expectations. </w:t>
      </w:r>
      <w:r>
        <w:rPr>
          <w:rFonts w:ascii="Arial" w:cs="Arial" w:eastAsia="Arial" w:hAnsi="Arial"/>
          <w:sz w:val="20"/>
          <w:szCs w:val="20"/>
        </w:rPr>
        <w:t xml:space="preserve">What does a good outcome look like to you, and when?</w:t>
      </w:r>
    </w:p>
    <w:p>
      <w:pPr>
        <w:pStyle w:val="Heading2"/>
        <w:spacing w:after="100" w:before="220"/>
      </w:pPr>
      <w:r>
        <w:rPr>
          <w:rFonts w:ascii="Arial" w:cs="Arial" w:eastAsia="Arial" w:hAnsi="Arial"/>
          <w:b/>
          <w:bCs/>
          <w:color w:val="1F3864"/>
          <w:sz w:val="22"/>
          <w:szCs w:val="22"/>
        </w:rPr>
        <w:t xml:space="preserve">Value beyond cash</w:t>
      </w:r>
    </w:p>
    <w:p>
      <w:pPr>
        <w:pStyle w:val="ListParagraph"/>
        <w:numPr>
          <w:ilvl w:val="0"/>
          <w:numId w:val="2"/>
        </w:numPr>
        <w:spacing w:after="80"/>
      </w:pPr>
      <w:r>
        <w:rPr>
          <w:rFonts w:ascii="Arial" w:cs="Arial" w:eastAsia="Arial" w:hAnsi="Arial"/>
          <w:b/>
          <w:bCs/>
          <w:sz w:val="20"/>
          <w:szCs w:val="20"/>
        </w:rPr>
        <w:t xml:space="preserve">What do you bring besides money — </w:t>
      </w:r>
      <w:r>
        <w:rPr>
          <w:rFonts w:ascii="Arial" w:cs="Arial" w:eastAsia="Arial" w:hAnsi="Arial"/>
          <w:sz w:val="20"/>
          <w:szCs w:val="20"/>
        </w:rPr>
        <w:t xml:space="preserve">club/scout/sponsor network, local Nigerian connections, governance or commercial expertise? With an academy the right network can be worth more than the cheque.</w:t>
      </w:r>
    </w:p>
    <w:p>
      <w:pPr>
        <w:pStyle w:val="Heading2"/>
        <w:spacing w:after="100" w:before="220"/>
      </w:pPr>
      <w:r>
        <w:rPr>
          <w:rFonts w:ascii="Arial" w:cs="Arial" w:eastAsia="Arial" w:hAnsi="Arial"/>
          <w:b/>
          <w:bCs/>
          <w:color w:val="1F3864"/>
          <w:sz w:val="22"/>
          <w:szCs w:val="22"/>
        </w:rPr>
        <w:t xml:space="preserve">Practicalities (raise early)</w:t>
      </w:r>
    </w:p>
    <w:p>
      <w:pPr>
        <w:pStyle w:val="ListParagraph"/>
        <w:numPr>
          <w:ilvl w:val="0"/>
          <w:numId w:val="2"/>
        </w:numPr>
        <w:spacing w:after="80"/>
      </w:pPr>
      <w:r>
        <w:rPr>
          <w:rFonts w:ascii="Arial" w:cs="Arial" w:eastAsia="Arial" w:hAnsi="Arial"/>
          <w:b/>
          <w:bCs/>
          <w:sz w:val="20"/>
          <w:szCs w:val="20"/>
        </w:rPr>
        <w:t xml:space="preserve">Currency: </w:t>
      </w:r>
      <w:r>
        <w:rPr>
          <w:rFonts w:ascii="Arial" w:cs="Arial" w:eastAsia="Arial" w:hAnsi="Arial"/>
          <w:sz w:val="20"/>
          <w:szCs w:val="20"/>
        </w:rPr>
        <w:t xml:space="preserve">will you invest in GBP/USD or naira, and who carries the FX risk? It materially affects what the money is worth and how returns are measured — settle it up front.</w:t>
      </w:r>
    </w:p>
    <w:p>
      <w:pPr>
        <w:pStyle w:val="ListParagraph"/>
        <w:numPr>
          <w:ilvl w:val="0"/>
          <w:numId w:val="2"/>
        </w:numPr>
        <w:spacing w:after="80"/>
      </w:pPr>
      <w:r>
        <w:rPr>
          <w:rFonts w:ascii="Arial" w:cs="Arial" w:eastAsia="Arial" w:hAnsi="Arial"/>
          <w:b/>
          <w:bCs/>
          <w:sz w:val="20"/>
          <w:szCs w:val="20"/>
        </w:rPr>
        <w:t xml:space="preserve">Entity: </w:t>
      </w:r>
      <w:r>
        <w:rPr>
          <w:rFonts w:ascii="Arial" w:cs="Arial" w:eastAsia="Arial" w:hAnsi="Arial"/>
          <w:sz w:val="20"/>
          <w:szCs w:val="20"/>
        </w:rPr>
        <w:t xml:space="preserve">invest into the Nigerian entity or an offshore holding company?</w:t>
      </w:r>
    </w:p>
    <w:p>
      <w:pPr>
        <w:pStyle w:val="ListParagraph"/>
        <w:numPr>
          <w:ilvl w:val="0"/>
          <w:numId w:val="2"/>
        </w:numPr>
        <w:spacing w:after="80"/>
      </w:pPr>
      <w:r>
        <w:rPr>
          <w:rFonts w:ascii="Arial" w:cs="Arial" w:eastAsia="Arial" w:hAnsi="Arial"/>
          <w:b/>
          <w:bCs/>
          <w:sz w:val="20"/>
          <w:szCs w:val="20"/>
        </w:rPr>
        <w:t xml:space="preserve">Involvement: </w:t>
      </w:r>
      <w:r>
        <w:rPr>
          <w:rFonts w:ascii="Arial" w:cs="Arial" w:eastAsia="Arial" w:hAnsi="Arial"/>
          <w:sz w:val="20"/>
          <w:szCs w:val="20"/>
        </w:rPr>
        <w:t xml:space="preserve">how hands-on do you want to be — reporting cadence, decision rights?</w:t>
      </w:r>
    </w:p>
    <w:p>
      <w:pPr>
        <w:pStyle w:val="ListParagraph"/>
        <w:numPr>
          <w:ilvl w:val="0"/>
          <w:numId w:val="2"/>
        </w:numPr>
        <w:spacing w:after="80"/>
      </w:pPr>
      <w:r>
        <w:rPr>
          <w:rFonts w:ascii="Arial" w:cs="Arial" w:eastAsia="Arial" w:hAnsi="Arial"/>
          <w:b/>
          <w:bCs/>
          <w:sz w:val="20"/>
          <w:szCs w:val="20"/>
        </w:rPr>
        <w:t xml:space="preserve">Process: </w:t>
      </w:r>
      <w:r>
        <w:rPr>
          <w:rFonts w:ascii="Arial" w:cs="Arial" w:eastAsia="Arial" w:hAnsi="Arial"/>
          <w:sz w:val="20"/>
          <w:szCs w:val="20"/>
        </w:rPr>
        <w:t xml:space="preserve">your decision timeline, diligence requirements, and any conditions or deal-breakers.</w:t>
      </w:r>
    </w:p>
    <w:p>
      <w:pPr>
        <w:pStyle w:val="Heading2"/>
        <w:spacing w:after="100" w:before="220"/>
      </w:pPr>
      <w:r>
        <w:rPr>
          <w:rFonts w:ascii="Arial" w:cs="Arial" w:eastAsia="Arial" w:hAnsi="Arial"/>
          <w:b/>
          <w:bCs/>
          <w:color w:val="1F3864"/>
          <w:sz w:val="22"/>
          <w:szCs w:val="22"/>
        </w:rPr>
        <w:t xml:space="preserve">Two framing reminders</w:t>
      </w:r>
    </w:p>
    <w:p>
      <w:pPr>
        <w:pStyle w:val="ListParagraph"/>
        <w:numPr>
          <w:ilvl w:val="0"/>
          <w:numId w:val="2"/>
        </w:numPr>
        <w:spacing w:after="80"/>
      </w:pPr>
      <w:r>
        <w:rPr>
          <w:rFonts w:ascii="Arial" w:cs="Arial" w:eastAsia="Arial" w:hAnsi="Arial"/>
          <w:sz w:val="20"/>
          <w:szCs w:val="20"/>
        </w:rPr>
        <w:t xml:space="preserve">Lead with governance and safeguarding rather than waiting to be asked — in a high-fiduciary-risk, minors-involved setting, demonstrating controls already exist is the strongest differentiator and plays to your background.</w:t>
      </w:r>
    </w:p>
    <w:p>
      <w:pPr>
        <w:pStyle w:val="ListParagraph"/>
        <w:numPr>
          <w:ilvl w:val="0"/>
          <w:numId w:val="2"/>
        </w:numPr>
        <w:spacing w:after="80"/>
      </w:pPr>
      <w:r>
        <w:rPr>
          <w:rFonts w:ascii="Arial" w:cs="Arial" w:eastAsia="Arial" w:hAnsi="Arial"/>
          <w:sz w:val="20"/>
          <w:szCs w:val="20"/>
        </w:rPr>
        <w:t xml:space="preserve">Settle motivation and currency early — a mismatch on either tends to kill these deals late and expensively.</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Stars Football Academy — investor prep (confidential).  Figures from academy accounts, Dec 2024–Jun 2026 (~19 months). Page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120"/>
      <w:outlineLvl w:val="0"/>
    </w:pPr>
    <w:rPr>
      <w:rFonts w:ascii="Arial" w:cs="Arial" w:eastAsia="Arial" w:hAnsi="Arial"/>
      <w:b/>
      <w:bCs/>
      <w:color w:val="1F3864"/>
      <w:sz w:val="26"/>
      <w:szCs w:val="26"/>
    </w:rPr>
  </w:style>
  <w:style w:type="paragraph" w:styleId="Heading2">
    <w:name w:val="Heading 2"/>
    <w:basedOn w:val="Normal"/>
    <w:next w:val="Normal"/>
    <w:qFormat/>
    <w:pPr>
      <w:spacing w:after="100" w:before="220"/>
      <w:outlineLvl w:val="1"/>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Investor meeting — preparation notes</dc:title>
  <dc:creator>Stars Football Academy</dc:creator>
  <cp:lastModifiedBy>Un-named</cp:lastModifiedBy>
  <cp:revision>1</cp:revision>
  <dcterms:created xsi:type="dcterms:W3CDTF">2026-06-28T10:24:19.903Z</dcterms:created>
  <dcterms:modified xsi:type="dcterms:W3CDTF">2026-06-28T10:24:19.904Z</dcterms:modified>
</cp:coreProperties>
</file>

<file path=docProps/custom.xml><?xml version="1.0" encoding="utf-8"?>
<Properties xmlns="http://schemas.openxmlformats.org/officeDocument/2006/custom-properties" xmlns:vt="http://schemas.openxmlformats.org/officeDocument/2006/docPropsVTypes"/>
</file>