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3.pdf" ContentType="application/pdf"/>
  <Override PartName="/word/media/rId49.pdf" ContentType="application/pdf"/>
  <Override PartName="/word/media/rId64.pdf" ContentType="application/pdf"/>
  <Override PartName="/word/media/rId53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GPU-accelerated</w:t>
      </w:r>
      <w:r>
        <w:t xml:space="preserve"> </w:t>
      </w:r>
      <w:r>
        <w:t xml:space="preserve">Bayesian</w:t>
      </w:r>
      <w:r>
        <w:t xml:space="preserve"> </w:t>
      </w:r>
      <w:r>
        <w:t xml:space="preserve">inference</w:t>
      </w:r>
      <w:r>
        <w:t xml:space="preserve"> </w:t>
      </w:r>
      <w:r>
        <w:t xml:space="preserve">of</w:t>
      </w:r>
      <w:r>
        <w:t xml:space="preserve"> </w:t>
      </w:r>
      <w:r>
        <w:t xml:space="preserve">multi-species</w:t>
      </w:r>
      <w:r>
        <w:br/>
      </w:r>
      <w:r>
        <w:t xml:space="preserve">biofilm</w:t>
      </w:r>
      <w:r>
        <w:t xml:space="preserve"> </w:t>
      </w:r>
      <w:r>
        <w:t xml:space="preserve">interaction</w:t>
      </w:r>
      <w:r>
        <w:t xml:space="preserve"> </w:t>
      </w:r>
      <w:r>
        <w:t xml:space="preserve">parameters</w:t>
      </w:r>
      <w:r>
        <w:t xml:space="preserve"> </w:t>
      </w:r>
      <w:r>
        <w:t xml:space="preserve">via</w:t>
      </w:r>
      <w:r>
        <w:t xml:space="preserve"> </w:t>
      </w:r>
      <w:r>
        <w:t xml:space="preserve">TMCMC</w:t>
      </w:r>
    </w:p>
    <w:p>
      <w:pPr>
        <w:pStyle w:val="Author"/>
      </w:pPr>
      <w:r>
        <w:t xml:space="preserve">Keisuke</w:t>
      </w:r>
      <w:r>
        <w:t xml:space="preserve"> </w:t>
      </w:r>
      <w:r>
        <w:t xml:space="preserve">Nishioka,</w:t>
      </w:r>
      <w:r>
        <w:t xml:space="preserve"> </w:t>
      </w:r>
      <w:r>
        <w:t xml:space="preserve">Felix</w:t>
      </w:r>
      <w:r>
        <w:t xml:space="preserve"> </w:t>
      </w:r>
      <w:r>
        <w:t xml:space="preserve">Klempt,</w:t>
      </w:r>
      <w:r>
        <w:t xml:space="preserve"> </w:t>
      </w:r>
      <w:r>
        <w:t xml:space="preserve">Hendrik</w:t>
      </w:r>
      <w:r>
        <w:t xml:space="preserve"> </w:t>
      </w:r>
      <w:r>
        <w:t xml:space="preserve">Geisler,</w:t>
      </w:r>
      <w:r>
        <w:t xml:space="preserve"> </w:t>
      </w:r>
      <w:r>
        <w:t xml:space="preserve">Meisam</w:t>
      </w:r>
      <w:r>
        <w:t xml:space="preserve"> </w:t>
      </w:r>
      <w:r>
        <w:t xml:space="preserve">Soleimani,</w:t>
      </w:r>
      <w:r>
        <w:t xml:space="preserve"> </w:t>
      </w:r>
      <w:r>
        <w:t xml:space="preserve">Philipp</w:t>
      </w:r>
      <w:r>
        <w:t xml:space="preserve"> </w:t>
      </w:r>
      <w:r>
        <w:t xml:space="preserve">Junker</w:t>
      </w:r>
      <w:r>
        <w:br/>
      </w:r>
      <w:r>
        <w:t xml:space="preserve">Leibniz</w:t>
      </w:r>
      <w:r>
        <w:t xml:space="preserve"> </w:t>
      </w:r>
      <w:r>
        <w:t xml:space="preserve">Universität</w:t>
      </w:r>
      <w:r>
        <w:t xml:space="preserve"> </w:t>
      </w:r>
      <w:r>
        <w:t xml:space="preserve">Hannover,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Continuum</w:t>
      </w:r>
      <w:r>
        <w:t xml:space="preserve"> </w:t>
      </w:r>
      <w:r>
        <w:t xml:space="preserve">Mechanics,</w:t>
      </w:r>
      <w:r>
        <w:t xml:space="preserve"> </w:t>
      </w:r>
      <w:r>
        <w:t xml:space="preserve">Hannover,</w:t>
      </w:r>
      <w:r>
        <w:t xml:space="preserve"> </w:t>
      </w:r>
      <w:r>
        <w:t xml:space="preserve">Germany</w:t>
      </w:r>
    </w:p>
    <w:p>
      <w:pPr>
        <w:pStyle w:val="Abstract"/>
      </w:pPr>
      <w:r>
        <w:t xml:space="preserve">We</w:t>
      </w:r>
      <w:r>
        <w:t xml:space="preserve"> </w:t>
      </w:r>
      <w:r>
        <w:t xml:space="preserve">present</w:t>
      </w:r>
      <w:r>
        <w:t xml:space="preserve"> </w:t>
      </w:r>
      <w:r>
        <w:t xml:space="preserve">a</w:t>
      </w:r>
      <w:r>
        <w:t xml:space="preserve"> </w:t>
      </w:r>
      <w:r>
        <w:t xml:space="preserve">GPU-accelerated</w:t>
      </w:r>
      <w:r>
        <w:t xml:space="preserve"> </w:t>
      </w:r>
      <w:r>
        <w:t xml:space="preserve">Bayesian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inferring</w:t>
      </w:r>
      <w:r>
        <w:t xml:space="preserve"> </w:t>
      </w:r>
      <w:r>
        <w:t xml:space="preserve">the</w:t>
      </w:r>
      <w:r>
        <w:t xml:space="preserve"> </w:t>
      </w:r>
      <w:r>
        <w:t xml:space="preserve">interaction</w:t>
      </w:r>
      <w:r>
        <w:t xml:space="preserve"> </w:t>
      </w:r>
      <w:r>
        <w:t xml:space="preserve">parameters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five-species</w:t>
      </w:r>
      <w:r>
        <w:t xml:space="preserve"> </w:t>
      </w:r>
      <w:r>
        <w:t xml:space="preserve">oral</w:t>
      </w:r>
      <w:r>
        <w:t xml:space="preserve"> </w:t>
      </w:r>
      <w:r>
        <w:t xml:space="preserve">biofilm</w:t>
      </w:r>
      <w:r>
        <w:t xml:space="preserve"> </w:t>
      </w:r>
      <w:r>
        <w:t xml:space="preserve">model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extended</w:t>
      </w:r>
      <w:r>
        <w:t xml:space="preserve"> </w:t>
      </w:r>
      <w:r>
        <w:t xml:space="preserve">Hamilton</w:t>
      </w:r>
      <w:r>
        <w:t xml:space="preserve"> </w:t>
      </w:r>
      <w:r>
        <w:t xml:space="preserve">principle.</w:t>
      </w:r>
      <w:r>
        <w:t xml:space="preserve"> </w:t>
      </w:r>
      <w:r>
        <w:t xml:space="preserve">The</w:t>
      </w:r>
      <w:r>
        <w:t xml:space="preserve"> </w:t>
      </w:r>
      <w:r>
        <w:t xml:space="preserve">symmetric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interaction</w:t>
      </w:r>
      <w:r>
        <w:t xml:space="preserve"> </w:t>
      </w:r>
      <w:r>
        <w:t xml:space="preserve">matrix</w:t>
      </w:r>
      <w:r>
        <w:t xml:space="preserve"> </w:t>
      </w:r>
      <w:r>
        <w:t xml:space="preserve">is</w:t>
      </w:r>
      <w:r>
        <w:t xml:space="preserve"> </w:t>
      </w:r>
      <w:r>
        <w:t xml:space="preserve">parametrised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20-dimensional</w:t>
      </w:r>
      <w:r>
        <w:t xml:space="preserve"> </w:t>
      </w:r>
      <w:r>
        <w:t xml:space="preserve">vector</w:t>
      </w:r>
      <w:r>
        <w:t xml:space="preserve"> </w:t>
      </w:r>
      <w:r>
        <w:t xml:space="preserve">encoding</w:t>
      </w:r>
      <w:r>
        <w:t xml:space="preserve"> </w:t>
      </w:r>
      <w:r>
        <w:t xml:space="preserve">15</w:t>
      </w:r>
      <w:r>
        <w:t xml:space="preserve"> </w:t>
      </w:r>
      <w:r>
        <w:t xml:space="preserve">independent</w:t>
      </w:r>
      <w:r>
        <w:t xml:space="preserve"> </w:t>
      </w:r>
      <w:r>
        <w:t xml:space="preserve">interaction</w:t>
      </w:r>
      <w:r>
        <w:t xml:space="preserve"> </w:t>
      </w:r>
      <w:r>
        <w:t xml:space="preserve">coefficients</w:t>
      </w:r>
      <w:r>
        <w:t xml:space="preserve"> </w:t>
      </w:r>
      <w:r>
        <w:t xml:space="preserve">plus</w:t>
      </w:r>
      <w:r>
        <w:t xml:space="preserve"> </w:t>
      </w:r>
      <w:r>
        <w:t xml:space="preserve">5</w:t>
      </w:r>
      <w:r>
        <w:t xml:space="preserve"> </w:t>
      </w:r>
      <w:r>
        <w:t xml:space="preserve">intrinsic</w:t>
      </w:r>
      <w:r>
        <w:t xml:space="preserve"> </w:t>
      </w:r>
      <w:r>
        <w:t xml:space="preserve">growth</w:t>
      </w:r>
      <w:r>
        <w:t xml:space="preserve"> </w:t>
      </w:r>
      <w:r>
        <w:t xml:space="preserve">rates.</w:t>
      </w:r>
      <w:r>
        <w:t xml:space="preserve"> </w:t>
      </w:r>
      <w:r>
        <w:t xml:space="preserve">A</w:t>
      </w:r>
      <w:r>
        <w:t xml:space="preserve"> </w:t>
      </w:r>
      <w:r>
        <w:t xml:space="preserve">two-phase</w:t>
      </w:r>
      <w:r>
        <w:t xml:space="preserve"> </w:t>
      </w:r>
      <w:r>
        <w:t xml:space="preserve">estimation</w:t>
      </w:r>
      <w:r>
        <w:t xml:space="preserve"> </w:t>
      </w:r>
      <w:r>
        <w:t xml:space="preserve">strategy</w:t>
      </w:r>
      <w:r>
        <w:t xml:space="preserve"> </w:t>
      </w:r>
      <w:r>
        <w:t xml:space="preserve">is</w:t>
      </w:r>
      <w:r>
        <w:t xml:space="preserve"> </w:t>
      </w:r>
      <w:r>
        <w:t xml:space="preserve">employed:</w:t>
      </w:r>
      <w:r>
        <w:t xml:space="preserve"> </w:t>
      </w:r>
      <w:r>
        <w:t xml:space="preserve">in</w:t>
      </w:r>
      <w:r>
        <w:t xml:space="preserve"> </w:t>
      </w:r>
      <w:r>
        <w:t xml:space="preserve">Phase 1,</w:t>
      </w:r>
      <w:r>
        <w:t xml:space="preserve"> </w:t>
      </w:r>
      <w:r>
        <w:t xml:space="preserve">the</w:t>
      </w:r>
      <w:r>
        <w:t xml:space="preserve"> </w:t>
      </w:r>
      <w:r>
        <w:t xml:space="preserve">viability</w:t>
      </w:r>
      <w:r>
        <w:t xml:space="preserve"> </w:t>
      </w:r>
      <w:r>
        <w:t xml:space="preserve">fraction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fixed</w:t>
      </w:r>
      <w:r>
        <w:t xml:space="preserve"> </w:t>
      </w:r>
      <w:r>
        <w:t xml:space="preserve">to</w:t>
      </w:r>
      <w:r>
        <w:t xml:space="preserve"> </w:t>
      </w:r>
      <w:r>
        <w:t xml:space="preserve">experimentally</w:t>
      </w:r>
      <w:r>
        <w:t xml:space="preserve"> </w:t>
      </w:r>
      <w:r>
        <w:t xml:space="preserve">measured</w:t>
      </w:r>
      <w:r>
        <w:t xml:space="preserve"> </w:t>
      </w:r>
      <w:r>
        <w:t xml:space="preserve">membrane-intact</w:t>
      </w:r>
      <w:r>
        <w:t xml:space="preserve"> </w:t>
      </w:r>
      <w:r>
        <w:t xml:space="preserve">ratios</w:t>
      </w:r>
      <w:r>
        <w:t xml:space="preserve"> </w:t>
      </w:r>
      <w:r>
        <w:t xml:space="preserve">(fix-</w:t>
      </w:r>
      <m:oMath>
        <m:r>
          <m:t>ψ</m:t>
        </m:r>
      </m:oMath>
      <w:r>
        <w:t xml:space="preserve">),</w:t>
      </w:r>
      <w:r>
        <w:t xml:space="preserve"> </w:t>
      </w:r>
      <w:r>
        <w:t xml:space="preserve">enabling</w:t>
      </w:r>
      <w:r>
        <w:t xml:space="preserve"> </w:t>
      </w:r>
      <w:r>
        <w:t xml:space="preserve">rapid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interaction</w:t>
      </w:r>
      <w:r>
        <w:t xml:space="preserve"> </w:t>
      </w:r>
      <w:r>
        <w:t xml:space="preserve">matrix;</w:t>
      </w:r>
      <w:r>
        <w:t xml:space="preserve"> </w:t>
      </w:r>
      <w:r>
        <w:t xml:space="preserve">in</w:t>
      </w:r>
      <w:r>
        <w:t xml:space="preserve"> </w:t>
      </w:r>
      <w:r>
        <w:t xml:space="preserve">Phase 2,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released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viability</w:t>
      </w:r>
      <w:r>
        <w:t xml:space="preserve"> </w:t>
      </w:r>
      <w:r>
        <w:t xml:space="preserve">data</w:t>
      </w:r>
      <w:r>
        <w:t xml:space="preserve"> </w:t>
      </w:r>
      <w:r>
        <w:t xml:space="preserve">enter</w:t>
      </w:r>
      <w:r>
        <w:t xml:space="preserve"> </w:t>
      </w:r>
      <w:r>
        <w:t xml:space="preserve">the</w:t>
      </w:r>
      <w:r>
        <w:t xml:space="preserve"> </w:t>
      </w:r>
      <w:r>
        <w:t xml:space="preserve">likelihood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soft</w:t>
      </w:r>
      <w:r>
        <w:t xml:space="preserve"> </w:t>
      </w:r>
      <w:r>
        <w:t xml:space="preserve">constraint,</w:t>
      </w:r>
      <w:r>
        <w:t xml:space="preserve"> </w:t>
      </w:r>
      <w:r>
        <w:t xml:space="preserve">yielding</w:t>
      </w:r>
      <w:r>
        <w:t xml:space="preserve"> </w:t>
      </w:r>
      <w:r>
        <w:t xml:space="preserve">a</w:t>
      </w:r>
      <w:r>
        <w:t xml:space="preserve"> </w:t>
      </w:r>
      <w:r>
        <w:t xml:space="preserve">self-consistent</w:t>
      </w:r>
      <w:r>
        <w:t xml:space="preserve"> </w:t>
      </w:r>
      <w:r>
        <w:t xml:space="preserve">posterior</w:t>
      </w:r>
      <w:r>
        <w:t xml:space="preserve"> </w:t>
      </w:r>
      <w:r>
        <w:t xml:space="preserve">over</w:t>
      </w:r>
      <w:r>
        <w:t xml:space="preserve"> </w:t>
      </w:r>
      <w:r>
        <w:t xml:space="preserve">both</w:t>
      </w:r>
      <w:r>
        <w:t xml:space="preserve"> </w:t>
      </w:r>
      <w:r>
        <w:t xml:space="preserve">interactions</w:t>
      </w:r>
      <w:r>
        <w:t xml:space="preserve"> </w:t>
      </w:r>
      <w:r>
        <w:t xml:space="preserve">and</w:t>
      </w:r>
      <w:r>
        <w:t xml:space="preserve"> </w:t>
      </w:r>
      <w:r>
        <w:t xml:space="preserve">viability.</w:t>
      </w:r>
      <w:r>
        <w:t xml:space="preserve"> </w:t>
      </w:r>
      <w:r>
        <w:t xml:space="preserve">The</w:t>
      </w:r>
      <w:r>
        <w:t xml:space="preserve"> </w:t>
      </w:r>
      <w:r>
        <w:t xml:space="preserve">forward</w:t>
      </w:r>
      <w:r>
        <w:t xml:space="preserve"> </w:t>
      </w:r>
      <w:r>
        <w:t xml:space="preserve">model</w:t>
      </w:r>
      <w:r>
        <w:t xml:space="preserve"> </w:t>
      </w:r>
      <w:r>
        <w:t xml:space="preserve">is</w:t>
      </w:r>
      <w:r>
        <w:t xml:space="preserve"> </w:t>
      </w:r>
      <w:r>
        <w:t xml:space="preserve">compiled</w:t>
      </w:r>
      <w:r>
        <w:t xml:space="preserve"> </w:t>
      </w:r>
      <w:r>
        <w:t xml:space="preserve">via</w:t>
      </w:r>
      <w:r>
        <w:t xml:space="preserve"> </w:t>
      </w:r>
      <w:r>
        <w:t xml:space="preserve">JAX</w:t>
      </w:r>
      <w:r>
        <w:t xml:space="preserve"> </w:t>
      </w:r>
      <w:r>
        <w:t xml:space="preserve">and</w:t>
      </w:r>
      <w:r>
        <w:t xml:space="preserve"> </w:t>
      </w:r>
      <w:r>
        <w:t xml:space="preserve">evaluated</w:t>
      </w:r>
      <w:r>
        <w:t xml:space="preserve"> </w:t>
      </w:r>
      <w:r>
        <w:t xml:space="preserve">in</w:t>
      </w:r>
      <w:r>
        <w:t xml:space="preserve"> </w:t>
      </w:r>
      <w:r>
        <w:t xml:space="preserve">parallel</w:t>
      </w:r>
      <w:r>
        <w:t xml:space="preserve"> </w:t>
      </w:r>
      <w:r>
        <w:t xml:space="preserve">on</w:t>
      </w:r>
      <w:r>
        <w:t xml:space="preserve"> </w:t>
      </w:r>
      <w:r>
        <w:t xml:space="preserve">GPU</w:t>
      </w:r>
      <w:r>
        <w:t xml:space="preserve"> </w:t>
      </w:r>
      <w:r>
        <w:t xml:space="preserve">(NVIDIA</w:t>
      </w:r>
      <w:r>
        <w:t xml:space="preserve"> </w:t>
      </w:r>
      <w:r>
        <w:t xml:space="preserve">RTX 4090),</w:t>
      </w:r>
      <w:r>
        <w:t xml:space="preserve"> </w:t>
      </w:r>
      <w:r>
        <w:t xml:space="preserve">achieving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speedup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CPU</w:t>
      </w:r>
      <w:r>
        <w:t xml:space="preserve"> </w:t>
      </w:r>
      <w:r>
        <w:t xml:space="preserve">baseline.</w:t>
      </w:r>
      <w:r>
        <w:t xml:space="preserve"> </w:t>
      </w:r>
      <w:r>
        <w:t xml:space="preserve">No</w:t>
      </w:r>
      <w:r>
        <w:t xml:space="preserve"> </w:t>
      </w:r>
      <w:r>
        <w:t xml:space="preserve">interaction</w:t>
      </w:r>
      <w:r>
        <w:t xml:space="preserve"> </w:t>
      </w:r>
      <w:r>
        <w:t xml:space="preserve">parameters</w:t>
      </w:r>
      <w:r>
        <w:t xml:space="preserve"> </w:t>
      </w:r>
      <w:r>
        <w:t xml:space="preserve">are</w:t>
      </w:r>
      <w:r>
        <w:t xml:space="preserve"> </w:t>
      </w:r>
      <w:r>
        <w:t xml:space="preserve">locked</w:t>
      </w:r>
      <w:r>
        <w:t xml:space="preserve"> </w:t>
      </w:r>
      <w:r>
        <w:t xml:space="preserve">to</w:t>
      </w:r>
      <w:r>
        <w:t xml:space="preserve"> </w:t>
      </w:r>
      <w:r>
        <w:t xml:space="preserve">zero</w:t>
      </w:r>
      <w:r>
        <w:t xml:space="preserve"> </w:t>
      </w:r>
      <w:r>
        <w:t xml:space="preserve">a</w:t>
      </w:r>
      <w:r>
        <w:t xml:space="preserve"> </w:t>
      </w:r>
      <w:r>
        <w:t xml:space="preserve">priori;</w:t>
      </w:r>
      <w:r>
        <w:t xml:space="preserve"> </w:t>
      </w:r>
      <w:r>
        <w:t xml:space="preserve">the</w:t>
      </w:r>
      <w:r>
        <w:t xml:space="preserve"> </w:t>
      </w:r>
      <w:r>
        <w:t xml:space="preserve">posterior</w:t>
      </w:r>
      <w:r>
        <w:t xml:space="preserve"> </w:t>
      </w:r>
      <w:r>
        <w:t xml:space="preserve">self-organises,</w:t>
      </w:r>
      <w:r>
        <w:t xml:space="preserve"> </w:t>
      </w:r>
      <w:r>
        <w:t xml:space="preserve">concentrating</w:t>
      </w:r>
      <w:r>
        <w:t xml:space="preserve"> </w:t>
      </w:r>
      <w:r>
        <w:t xml:space="preserve">pathogen-related</w:t>
      </w:r>
      <w:r>
        <w:t xml:space="preserve"> </w:t>
      </w:r>
      <w:r>
        <w:t xml:space="preserve">entries</w:t>
      </w:r>
      <w:r>
        <w:t xml:space="preserve"> </w:t>
      </w:r>
      <w:r>
        <w:t xml:space="preserve">near</w:t>
      </w:r>
      <w:r>
        <w:t xml:space="preserve"> </w:t>
      </w:r>
      <w:r>
        <w:t xml:space="preserve">zero</w:t>
      </w:r>
      <w:r>
        <w:t xml:space="preserve"> </w:t>
      </w:r>
      <w:r>
        <w:t xml:space="preserve">in</w:t>
      </w:r>
      <w:r>
        <w:t xml:space="preserve"> </w:t>
      </w:r>
      <w:r>
        <w:t xml:space="preserve">commensal</w:t>
      </w:r>
      <w:r>
        <w:t xml:space="preserve"> </w:t>
      </w:r>
      <w:r>
        <w:t xml:space="preserve">conditions</w:t>
      </w:r>
      <w:r>
        <w:t xml:space="preserve"> </w:t>
      </w:r>
      <w:r>
        <w:t xml:space="preserve">and</w:t>
      </w:r>
      <w:r>
        <w:t xml:space="preserve"> </w:t>
      </w:r>
      <w:r>
        <w:t xml:space="preserve">activating</w:t>
      </w:r>
      <w:r>
        <w:t xml:space="preserve"> </w:t>
      </w:r>
      <w:r>
        <w:t xml:space="preserve">cooperative</w:t>
      </w:r>
      <w:r>
        <w:t xml:space="preserve"> </w:t>
      </w:r>
      <w:r>
        <w:t xml:space="preserve">cross-feeding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w:r>
        <w:t xml:space="preserve">dysbiotic</w:t>
      </w:r>
      <w:r>
        <w:t xml:space="preserve"> </w:t>
      </w:r>
      <w:r>
        <w:t xml:space="preserve">states.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validated</w:t>
      </w:r>
      <w:r>
        <w:t xml:space="preserve"> </w:t>
      </w:r>
      <w:r>
        <w:t xml:space="preserve">against</w:t>
      </w:r>
      <w:r>
        <w:t xml:space="preserve"> </w:t>
      </w:r>
      <w:r>
        <w:t xml:space="preserve">in-vitro</w:t>
      </w:r>
      <w:r>
        <w:t xml:space="preserve"> </w:t>
      </w:r>
      <w:r>
        <w:t xml:space="preserve">time-course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Heine</w:t>
      </w:r>
      <w:r>
        <w:t xml:space="preserve"> </w:t>
      </w:r>
      <w:r>
        <w:t xml:space="preserve">et</w:t>
      </w:r>
      <w:r>
        <w:t xml:space="preserve"> </w:t>
      </w:r>
      <w:r>
        <w:t xml:space="preserve">al. under</w:t>
      </w:r>
      <w:r>
        <w:t xml:space="preserve"> </w:t>
      </w:r>
      <w:r>
        <w:t xml:space="preserve">four</w:t>
      </w:r>
      <w:r>
        <w:t xml:space="preserve"> </w:t>
      </w:r>
      <w:r>
        <w:t xml:space="preserve">combinations</w:t>
      </w:r>
      <w:r>
        <w:t xml:space="preserve"> </w:t>
      </w:r>
      <w:r>
        <w:t xml:space="preserve">of</w:t>
      </w:r>
      <w:r>
        <w:t xml:space="preserve"> </w:t>
      </w:r>
      <w:r>
        <w:t xml:space="preserve">community</w:t>
      </w:r>
      <w:r>
        <w:t xml:space="preserve"> </w:t>
      </w:r>
      <w:r>
        <w:t xml:space="preserve">state</w:t>
      </w:r>
      <w:r>
        <w:t xml:space="preserve"> </w:t>
      </w:r>
      <w:r>
        <w:t xml:space="preserve">(commensal/dysbiotic)</w:t>
      </w:r>
      <w:r>
        <w:t xml:space="preserve"> </w:t>
      </w:r>
      <w:r>
        <w:t xml:space="preserve">and</w:t>
      </w:r>
      <w:r>
        <w:t xml:space="preserve"> </w:t>
      </w:r>
      <w:r>
        <w:t xml:space="preserve">cultivation</w:t>
      </w:r>
      <w:r>
        <w:t xml:space="preserve"> </w:t>
      </w:r>
      <w:r>
        <w:t xml:space="preserve">mode</w:t>
      </w:r>
      <w:r>
        <w:t xml:space="preserve"> </w:t>
      </w:r>
      <w:r>
        <w:t xml:space="preserve">(static/HOBIC</w:t>
      </w:r>
      <w:r>
        <w:t xml:space="preserve"> </w:t>
      </w:r>
      <w:r>
        <w:t xml:space="preserve">reactor).</w:t>
      </w:r>
    </w:p>
    <w:p>
      <w:pPr>
        <w:pStyle w:val="Abstract"/>
      </w:pPr>
      <w:r>
        <w:rPr>
          <w:bCs/>
          <w:b/>
        </w:rPr>
        <w:t xml:space="preserve">Keywords:</w:t>
      </w:r>
      <w:r>
        <w:t xml:space="preserve"> </w:t>
      </w:r>
      <w:r>
        <w:t xml:space="preserve">Bayesian</w:t>
      </w:r>
      <w:r>
        <w:t xml:space="preserve"> </w:t>
      </w:r>
      <w:r>
        <w:t xml:space="preserve">inference,</w:t>
      </w:r>
      <w:r>
        <w:t xml:space="preserve"> </w:t>
      </w:r>
      <w:r>
        <w:t xml:space="preserve">biofilm</w:t>
      </w:r>
      <w:r>
        <w:t xml:space="preserve"> </w:t>
      </w:r>
      <w:r>
        <w:t xml:space="preserve">dynamics,</w:t>
      </w:r>
      <w:r>
        <w:t xml:space="preserve"> </w:t>
      </w:r>
      <w:r>
        <w:t xml:space="preserve">TMCMC,</w:t>
      </w:r>
      <w:r>
        <w:t xml:space="preserve"> </w:t>
      </w:r>
      <w:r>
        <w:t xml:space="preserve">GPU</w:t>
      </w:r>
      <w:r>
        <w:t xml:space="preserve"> </w:t>
      </w:r>
      <w:r>
        <w:t xml:space="preserve">acceleration,</w:t>
      </w:r>
      <w:r>
        <w:t xml:space="preserve"> </w:t>
      </w:r>
      <w:r>
        <w:t xml:space="preserve">parameter</w:t>
      </w:r>
      <w:r>
        <w:t xml:space="preserve"> </w:t>
      </w:r>
      <w:r>
        <w:t xml:space="preserve">identification,</w:t>
      </w:r>
      <w:r>
        <w:t xml:space="preserve"> </w:t>
      </w:r>
      <w:r>
        <w:t xml:space="preserve">multi-species</w:t>
      </w:r>
      <w:r>
        <w:t xml:space="preserve"> </w:t>
      </w:r>
      <w:r>
        <w:t xml:space="preserve">interaction,</w:t>
      </w:r>
      <w:r>
        <w:t xml:space="preserve"> </w:t>
      </w:r>
      <w:r>
        <w:t xml:space="preserve">peri-implantitis</w:t>
      </w:r>
    </w:p>
    <w:bookmarkStart w:id="2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Multi-species biofilms on dental implant surfaces are a primary cause of peri-implantitis </w:t>
      </w:r>
      <w:r>
        <w:t xml:space="preserve">(Kolenbrander et al. 2010; Marsh 2003)</w:t>
      </w:r>
      <w:r>
        <w:t xml:space="preserve">, and recent in-vivo characterisation confirms that these communities are complex, patient-specific, and temporally dynamic </w:t>
      </w:r>
      <w:r>
        <w:t xml:space="preserve">(Muhammad et al. 2024; Wang et al. 2025)</w:t>
      </w:r>
      <w:r>
        <w:t xml:space="preserve">.</w:t>
      </w:r>
      <w:r>
        <w:t xml:space="preserve"> </w:t>
      </w:r>
      <w:r>
        <w:t xml:space="preserve">Heine et al. </w:t>
      </w:r>
      <w:r>
        <w:t xml:space="preserve">(Heine et al. 2025)</w:t>
      </w:r>
      <w:r>
        <w:t xml:space="preserve"> </w:t>
      </w:r>
      <w:r>
        <w:t xml:space="preserve">characterised the in-vitro dynamics of five key oral species—</w:t>
      </w:r>
      <w:r>
        <w:rPr>
          <w:iCs/>
          <w:i/>
        </w:rPr>
        <w:t xml:space="preserve">Streptococcus oralis</w:t>
      </w:r>
      <w:r>
        <w:t xml:space="preserve"> </w:t>
      </w:r>
      <w:r>
        <w:t xml:space="preserve">(So),</w:t>
      </w:r>
      <w:r>
        <w:t xml:space="preserve"> </w:t>
      </w:r>
      <w:r>
        <w:rPr>
          <w:iCs/>
          <w:i/>
        </w:rPr>
        <w:t xml:space="preserve">Actinomyces naeslundii</w:t>
      </w:r>
      <w:r>
        <w:t xml:space="preserve"> </w:t>
      </w:r>
      <w:r>
        <w:t xml:space="preserve">(An),</w:t>
      </w:r>
      <w:r>
        <w:t xml:space="preserve"> </w:t>
      </w:r>
      <w:r>
        <w:rPr>
          <w:iCs/>
          <w:i/>
        </w:rPr>
        <w:t xml:space="preserve">Veillonella</w:t>
      </w:r>
      <w:r>
        <w:t xml:space="preserve"> </w:t>
      </w:r>
      <w:r>
        <w:t xml:space="preserve">spp. (Vei),</w:t>
      </w:r>
      <w:r>
        <w:t xml:space="preserve"> </w:t>
      </w:r>
      <w:r>
        <w:rPr>
          <w:iCs/>
          <w:i/>
        </w:rPr>
        <w:t xml:space="preserve">Fusobacterium nucleatum</w:t>
      </w:r>
      <w:r>
        <w:t xml:space="preserve"> </w:t>
      </w:r>
      <w:r>
        <w:t xml:space="preserve">(Fn), and</w:t>
      </w:r>
      <w:r>
        <w:t xml:space="preserve"> </w:t>
      </w:r>
      <w:r>
        <w:rPr>
          <w:iCs/>
          <w:i/>
        </w:rPr>
        <w:t xml:space="preserve">Porphyromonas gingivalis</w:t>
      </w:r>
      <w:r>
        <w:t xml:space="preserve"> </w:t>
      </w:r>
      <w:r>
        <w:t xml:space="preserve">(Pg)—under four combinations of community state (commensal/dysbiotic) and cultivation mode (static/HOBIC reactor).</w:t>
      </w:r>
      <w:r>
        <w:t xml:space="preserve"> </w:t>
      </w:r>
      <w:r>
        <w:t xml:space="preserve">Notably, the two community states employ distinct Pg strains: the commensal inoculum uses the avirulent strain Pg ATCC 20709, whereas the dysbiotic inoculum uses the virulent strain Pg W83, which carries a complete set of gingipain and fimbrial virulence genes </w:t>
      </w:r>
      <w:r>
        <w:t xml:space="preserve">(Heine et al. 2025)</w:t>
      </w:r>
      <w:r>
        <w:t xml:space="preserve">.</w:t>
      </w:r>
      <w:r>
        <w:t xml:space="preserve"> </w:t>
      </w:r>
      <w:r>
        <w:t xml:space="preserve">Building on the extended Hamilton principle </w:t>
      </w:r>
      <w:r>
        <w:t xml:space="preserve">(Junker and Balzani 2021)</w:t>
      </w:r>
      <w:r>
        <w:t xml:space="preserve">, Klempt et al. </w:t>
      </w:r>
      <w:r>
        <w:t xml:space="preserve">(Klempt et al. 2025)</w:t>
      </w:r>
      <w:r>
        <w:t xml:space="preserve"> </w:t>
      </w:r>
      <w:r>
        <w:t xml:space="preserve">formulated a continuum model in which a symmetric interaction matrix 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governs species growth, with an optional decay vector 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for antibiotic effects.</w:t>
      </w:r>
      <w:r>
        <w:t xml:space="preserve"> </w:t>
      </w:r>
      <w:r>
        <w:t xml:space="preserve">Fritsch et al. </w:t>
      </w:r>
      <w:r>
        <w:t xml:space="preserve">(Fritsch et al. 2025)</w:t>
      </w:r>
      <w:r>
        <w:t xml:space="preserve"> </w:t>
      </w:r>
      <w:r>
        <w:t xml:space="preserve">subsequently introduced Bayesian updating with surrogate models for biofilm parameter estimation under hybrid uncertainties.</w:t>
      </w:r>
    </w:p>
    <w:p>
      <w:pPr>
        <w:pStyle w:val="BodyText"/>
      </w:pPr>
      <w:r>
        <w:t xml:space="preserve">Despite these advances, estimating the 20-dimensional parameter vector (15 interaction coefficients plus 5 growth rates) from limited time-course data remains challenging.</w:t>
      </w:r>
      <w:r>
        <w:t xml:space="preserve"> </w:t>
      </w:r>
      <w:r>
        <w:t xml:space="preserve">Two principal difficulties arise: (i) poor identifiability when data are sparse relative to the parameter dimension—with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usable time points (Day 1 is consumed as initial condition) and 5 species, one has at most 25 observations for 20 unknowns—and (ii) multimodal posterior landscapes caused by the coupled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–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dynamics, which render standard MCMC methods inefficient </w:t>
      </w:r>
      <w:r>
        <w:t xml:space="preserve">(Robert and Casella 2004)</w:t>
      </w:r>
      <w:r>
        <w:t xml:space="preserve">.</w:t>
      </w:r>
    </w:p>
    <w:p>
      <w:pPr>
        <w:pStyle w:val="BodyText"/>
      </w:pPr>
      <w:r>
        <w:t xml:space="preserve">In this work we address these challenges through three complementary strategies.</w:t>
      </w:r>
      <w:r>
        <w:t xml:space="preserve"> </w:t>
      </w:r>
      <w:r>
        <w:t xml:space="preserve">First, we fix the viability fraction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experimentally measured membrane-intact ratios, eliminating</w:t>
      </w:r>
      <w:r>
        <w:t xml:space="preserve"> </w:t>
      </w:r>
      <m:oMath>
        <m:r>
          <m:t>ψ</m:t>
        </m:r>
      </m:oMath>
      <w:r>
        <w:t xml:space="preserve">-related posterior modes and halving the ODE system dimension.</w:t>
      </w:r>
      <w:r>
        <w:t xml:space="preserve"> </w:t>
      </w:r>
      <w:r>
        <w:t xml:space="preserve">Second, we compile the forward model in JAX </w:t>
      </w:r>
      <w:r>
        <w:t xml:space="preserve">(Bradbury et al. 2018)</w:t>
      </w:r>
      <w:r>
        <w:t xml:space="preserve"> </w:t>
      </w:r>
      <w:r>
        <w:t xml:space="preserve">and evaluate the entire particle ensemble on GPU via batched</w:t>
      </w:r>
      <w:r>
        <w:t xml:space="preserve"> </w:t>
      </w:r>
      <w:r>
        <w:rPr>
          <w:rStyle w:val="VerbatimChar"/>
        </w:rPr>
        <w:t xml:space="preserve">vmap</w:t>
      </w:r>
      <w:r>
        <w:t xml:space="preserve">, achieving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speedup over the CPU baseline.</w:t>
      </w:r>
      <w:r>
        <w:t xml:space="preserve"> </w:t>
      </w:r>
      <w:r>
        <w:t xml:space="preserve">Third, we employ iteratively narrowed priors that concentrate sampling on the high-posterior-density region, enabling convergence in 5–7 TMCMC </w:t>
      </w:r>
      <w:r>
        <w:t xml:space="preserve">(Ching and Chen 2007; Betz, Papaioannou, and Straub 2016)</w:t>
      </w:r>
      <w:r>
        <w:t xml:space="preserve"> </w:t>
      </w:r>
      <w:r>
        <w:t xml:space="preserve">stages even in 20 dimensions.</w:t>
      </w:r>
      <w:r>
        <w:t xml:space="preserve"> </w:t>
      </w:r>
      <w:r>
        <w:t xml:space="preserve">The framework is validated against all four experimental conditions of Heine et al., demonstrating quantitative reproduction of commensal homeostasis as well as the non-linear pathogen surge characteristic of dysbiotic biofilms under HOBIC flow.</w:t>
      </w:r>
    </w:p>
    <w:bookmarkEnd w:id="20"/>
    <w:bookmarkStart w:id="26" w:name="sec:model"/>
    <w:p>
      <w:pPr>
        <w:pStyle w:val="Heading1"/>
      </w:pPr>
      <w:r>
        <w:t xml:space="preserve">Mathematical model</w:t>
      </w:r>
    </w:p>
    <w:bookmarkStart w:id="21" w:name="state-variables-and-kinematics"/>
    <w:p>
      <w:pPr>
        <w:pStyle w:val="Heading2"/>
      </w:pPr>
      <w:r>
        <w:t xml:space="preserve">State variables and kinematics</w:t>
      </w:r>
    </w:p>
    <w:p>
      <w:pPr>
        <w:pStyle w:val="FirstParagraph"/>
      </w:pPr>
      <w:r>
        <w:t xml:space="preserve">Following Klempt et al. </w:t>
      </w:r>
      <w:r>
        <w:t xml:space="preserve">(Klempt et al. 2025, 2024)</w:t>
      </w:r>
      <w:r>
        <w:t xml:space="preserve">, the biofilm is described at a material point by two sets of internal variables: the volume fraction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occupied by species </w:t>
      </w:r>
      <m:oMath>
        <m:r>
          <m:t>i</m:t>
        </m:r>
      </m:oMath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; here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), and the viability fraction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representing the proportion of living cells within species 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 living volume fraction is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box>
            <m:boxPr>
              <m:opEmu m:val="1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ψ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additional void fraction </w:t>
      </w:r>
      <m:oMath>
        <m:sSub>
          <m:e>
            <m:r>
              <m:t>ϕ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closes the system via the holonomic constraint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l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21"/>
    <w:bookmarkStart w:id="22" w:name="variational-formulation"/>
    <w:p>
      <w:pPr>
        <w:pStyle w:val="Heading2"/>
      </w:pPr>
      <w:r>
        <w:t xml:space="preserve">Variational formulation</w:t>
      </w:r>
    </w:p>
    <w:p>
      <w:pPr>
        <w:pStyle w:val="FirstParagraph"/>
      </w:pPr>
      <w:r>
        <w:t xml:space="preserve">The evolution equations are derived from the extended Hamilton principle </w:t>
      </w:r>
      <w:r>
        <w:t xml:space="preserve">(Junker and Balzani 2021; Junker, Bode, and Hackl 2025)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H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τ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  <m:scr m:val="script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  <m:scr m:val="script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e>
            <m:sub>
              <m:r>
                <m:rPr>
                  <m:sty m:val="b"/>
                </m:rPr>
                <m:t>ξ</m:t>
              </m:r>
              <m:r>
                <m:rPr>
                  <m:sty m:val="p"/>
                </m:rPr>
                <m:t>,</m:t>
              </m:r>
              <m:r>
                <m:t>γ</m:t>
              </m:r>
            </m:sub>
          </m:sSub>
          <m:r>
            <m:t> 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ξ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ϕ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b"/>
                  </m:rPr>
                  <m:t>ψ</m:t>
                </m:r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collects the volume fractions and viability fractions,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a Lagrange multiplier enforcing the volume constraint,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 </w:t>
      </w:r>
      <w:r>
        <w:t xml:space="preserve">is the Helmholtz free energy,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the constraint functional, and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the dissipation.</w:t>
      </w:r>
      <w:r>
        <w:t xml:space="preserve"> </w:t>
      </w:r>
      <w:r>
        <w:t xml:space="preserve">The free energy density encodes nutrient-driven growth and antibiotic-induced killing: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p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ϕ</m:t>
                  </m:r>
                </m:e>
              </m:acc>
            </m:e>
            <m:sup>
              <m:r>
                <m:t>T</m:t>
              </m:r>
            </m:sup>
          </m:sSup>
          <m:r>
            <m:rPr>
              <m:sty m:val="b"/>
            </m:rPr>
            <m:t>A</m:t>
          </m:r>
          <m:r>
            <m:t> </m:t>
          </m:r>
          <m:acc>
            <m:accPr>
              <m:chr m:val="‾"/>
            </m:accPr>
            <m:e>
              <m:r>
                <m:rPr>
                  <m:sty m:val="b"/>
                </m:rPr>
                <m:t>ϕ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p>
            <m:e>
              <m:r>
                <m:rPr>
                  <m:sty m:val="b"/>
                </m:rPr>
                <m:t>ψ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B</m:t>
          </m:r>
          <m:r>
            <m:t> </m:t>
          </m:r>
          <m:r>
            <m:rPr>
              <m:sty m:val="b"/>
            </m:rPr>
            <m:t>ψ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nutrient concentration,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 antibiotic concentration,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the symmetric growth coefficient matrix, 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the antibiotic sensitivity matrix.</w:t>
      </w:r>
      <w:r>
        <w:t xml:space="preserve"> </w:t>
      </w:r>
      <w:r>
        <w:t xml:space="preserve">The volume constraint </w:t>
      </w:r>
      <w:hyperlink w:anchor="eq:constraint">
        <w:r>
          <w:rPr>
            <w:rStyle w:val="Hyperlink"/>
          </w:rPr>
          <w:t xml:space="preserve">[eq:constraint]</w:t>
        </w:r>
      </w:hyperlink>
      <w:r>
        <w:t xml:space="preserve"> </w:t>
      </w:r>
      <w:r>
        <w:t xml:space="preserve">enters through a Lagrange multiplier </w:t>
      </w:r>
      <m:oMath>
        <m:r>
          <m:t>γ</m:t>
        </m:r>
      </m:oMath>
      <w:r>
        <w:t xml:space="preserve">:</w:t>
      </w:r>
    </w:p>
    <w:p>
      <w:pPr>
        <w:pStyle w:val="BodyText"/>
      </w:pPr>
      <w:r>
        <w:t xml:space="preserve">$$\mathcal{C} = \gamma\Bigl(\sum_{l=0}^{n}\phi_l - 1\Bigr).
\label{eq:cfunc}$$</w:t>
      </w:r>
    </w:p>
    <w:p>
      <w:pPr>
        <w:pStyle w:val="FirstParagraph"/>
      </w:pPr>
      <w:r>
        <w:t xml:space="preserve">The dissipation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is derived from the rate-dependent potential </w:t>
      </w:r>
      <w:r>
        <w:t xml:space="preserve">(Klempt et al. 2025)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D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̇"/>
                </m:accPr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ϕ</m:t>
                      </m:r>
                    </m:e>
                  </m:acc>
                </m:e>
              </m:acc>
            </m:e>
            <m:sup>
              <m:r>
                <m:t>T</m:t>
              </m:r>
            </m:sup>
          </m:sSup>
          <m:r>
            <m:rPr>
              <m:sty m:val="b"/>
            </m:rPr>
            <m:t>η</m:t>
          </m:r>
          <m:r>
            <m:t> </m:t>
          </m:r>
          <m:acc>
            <m:accPr>
              <m:chr m:val="̇"/>
            </m:accPr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ϕ</m:t>
                  </m:r>
                </m:e>
              </m:acc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ϕ</m:t>
                  </m:r>
                </m:e>
              </m:acc>
            </m:e>
            <m:sup>
              <m:r>
                <m:t>T</m:t>
              </m:r>
            </m:sup>
          </m:sSup>
          <m:r>
            <m:rPr>
              <m:sty m:val="b"/>
            </m:rPr>
            <m:t>η</m:t>
          </m:r>
          <m:r>
            <m:t> </m:t>
          </m:r>
          <m:acc>
            <m:accPr>
              <m:chr m:val="̇"/>
            </m:accPr>
            <m:e>
              <m:r>
                <m:rPr>
                  <m:sty m:val="b"/>
                </m:rPr>
                <m:t>ϕ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diagonal viscosity matrix</w:t>
      </w:r>
      <w:r>
        <w:t xml:space="preserve"> </w:t>
      </w:r>
      <m:oMath>
        <m:r>
          <m:rPr>
            <m:sty m:val="b"/>
          </m:rPr>
          <m:t>η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η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η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The first term couples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ϕ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ψ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‾"/>
                  </m:accPr>
                  <m:e>
                    <m:r>
                      <m:t>ϕ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̇"/>
              </m:accPr>
              <m:e>
                <m:r>
                  <m:t>ϕ</m:t>
                </m:r>
              </m:e>
            </m:acc>
          </m:e>
          <m:sub>
            <m:r>
              <m:t>i</m:t>
            </m:r>
          </m:sub>
        </m:sSub>
        <m:sSub>
          <m:e>
            <m:r>
              <m:t>ψ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ϕ</m:t>
            </m:r>
          </m:e>
          <m:sub>
            <m:r>
              <m:t>i</m:t>
            </m:r>
          </m:sub>
        </m:sSub>
        <m:sSub>
          <m:e>
            <m:acc>
              <m:accPr>
                <m:chr m:val="̇"/>
              </m:accPr>
              <m:e>
                <m:r>
                  <m:t>ψ</m:t>
                </m:r>
              </m:e>
            </m:acc>
          </m:e>
          <m:sub>
            <m:r>
              <m:t>i</m:t>
            </m:r>
          </m:sub>
        </m:sSub>
      </m:oMath>
      <w:r>
        <w:t xml:space="preserve">, giving rise to non-linear dissipative interactions; the second term regularises the system to full rank.</w:t>
      </w:r>
      <w:r>
        <w:t xml:space="preserve"> </w:t>
      </w:r>
      <w:r>
        <w:t xml:space="preserve">Following Klempt et al. </w:t>
      </w:r>
      <w:r>
        <w:t xml:space="preserve">(Klempt et al. 2025)</w:t>
      </w:r>
      <w:r>
        <w:t xml:space="preserve">, the viscosity parameters are set to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 species, rendering them dimensionless scaling factors; the physical time scale is absorbed into the time-step size</w:t>
      </w:r>
      <w:r>
        <w:t xml:space="preserve"> </w:t>
      </w:r>
      <m:oMath>
        <m:r>
          <m:t>Δ</m:t>
        </m:r>
        <m:r>
          <m:t>t</m:t>
        </m:r>
      </m:oMath>
      <w:r>
        <w:t xml:space="preserve">.</w:t>
      </w:r>
    </w:p>
    <w:bookmarkEnd w:id="22"/>
    <w:bookmarkStart w:id="23" w:name="governing-equations"/>
    <w:p>
      <w:pPr>
        <w:pStyle w:val="Heading2"/>
      </w:pPr>
      <w:r>
        <w:t xml:space="preserve">Governing equations</w:t>
      </w:r>
    </w:p>
    <w:p>
      <w:pPr>
        <w:pStyle w:val="FirstParagraph"/>
      </w:pPr>
      <w:r>
        <w:t xml:space="preserve">Evaluating</w:t>
      </w:r>
      <w:r>
        <w:t xml:space="preserve"> </w:t>
      </w:r>
      <m:oMath>
        <m:r>
          <m:t>δ</m:t>
        </m:r>
        <m:r>
          <m:rPr>
            <m:sty m:val="p"/>
            <m:scr m:val="script"/>
          </m:rP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respect to variations</w:t>
      </w:r>
      <w:r>
        <w:t xml:space="preserve"> </w:t>
      </w:r>
      <m:oMath>
        <m:r>
          <m:t>δ</m:t>
        </m:r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δ</m:t>
        </m:r>
        <m:r>
          <m:t>γ</m:t>
        </m:r>
      </m:oMath>
      <w:r>
        <w:t xml:space="preserve"> </w:t>
      </w:r>
      <w:r>
        <w:t xml:space="preserve">yields the coupled evolution equations </w:t>
      </w:r>
      <w:r>
        <w:t xml:space="preserve">(Klempt et al. 2025)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Volume fraction</w:t>
      </w:r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b>
            <m:e>
              <m:r>
                <m:t>ψ</m:t>
              </m:r>
            </m:e>
            <m:sub>
              <m:r>
                <m:t>i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rPr>
              <m:sty m:val="b"/>
            </m:rPr>
            <m:t>A</m:t>
          </m:r>
          <m:acc>
            <m:accPr>
              <m:chr m:val="‾"/>
            </m:accPr>
            <m:e>
              <m:r>
                <m:rPr>
                  <m:sty m:val="b"/>
                </m:rPr>
                <m:t>ϕ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t> </m:t>
          </m:r>
          <m:sSubSup>
            <m:e>
              <m:r>
                <m:t>ψ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acc>
                <m:accPr>
                  <m:chr m:val="‾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ψ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Cs/>
          <w:i/>
        </w:rPr>
        <w:t xml:space="preserve">Viability fraction</w:t>
      </w:r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rPr>
              <m:sty m:val="b"/>
            </m:rPr>
            <m:t>A</m:t>
          </m:r>
          <m:acc>
            <m:accPr>
              <m:chr m:val="‾"/>
            </m:accPr>
            <m:e>
              <m:r>
                <m:rPr>
                  <m:sty m:val="b"/>
                </m:rPr>
                <m:t>ϕ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ψ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̇"/>
                </m:accPr>
                <m:e>
                  <m:r>
                    <m:t>ψ</m:t>
                  </m:r>
                </m:e>
              </m:acc>
            </m:e>
            <m:sub>
              <m:r>
                <m:t>i</m:t>
              </m:r>
            </m:sub>
          </m:sSub>
          <m:r>
            <m:t> </m:t>
          </m:r>
          <m:sSubSup>
            <m:e>
              <m:r>
                <m:t>ϕ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acc>
                <m:accPr>
                  <m:chr m:val="‾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Cs/>
          <w:i/>
        </w:rPr>
        <w:t xml:space="preserve">Void fraction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+</m:t>
          </m:r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Cs/>
          <w:i/>
        </w:rPr>
        <w:t xml:space="preserve">Volume constraint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l</m:t>
                  </m:r>
                </m:sub>
              </m:sSub>
            </m:e>
          </m:nary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In the numerical implementation, a logarithmic barrier penalty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is added to enforce the box constraints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ψ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 </w:t>
      </w:r>
      <w:r>
        <w:t xml:space="preserve">(Klempt et al. 2025)</w:t>
      </w:r>
      <w:r>
        <w:t xml:space="preserve">; its contribution is omitted from Eqs. 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–</w:t>
      </w:r>
      <w:hyperlink w:anchor="eq:phi0">
        <w:r>
          <w:rPr>
            <w:rStyle w:val="Hyperlink"/>
          </w:rPr>
          <w:t xml:space="preserve">[eq:phi0]</w:t>
        </w:r>
      </w:hyperlink>
      <w:r>
        <w:t xml:space="preserve"> </w:t>
      </w:r>
      <w:r>
        <w:t xml:space="preserve">for clarity.</w:t>
      </w:r>
      <w:r>
        <w:t xml:space="preserve"> </w:t>
      </w:r>
      <w:r>
        <w:t xml:space="preserve">The system 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–</w:t>
      </w:r>
      <w:hyperlink w:anchor="eq:constraint_eq">
        <w:r>
          <w:rPr>
            <w:rStyle w:val="Hyperlink"/>
          </w:rPr>
          <w:t xml:space="preserve">[eq:constraint_eq]</w:t>
        </w:r>
      </w:hyperlink>
      <w:r>
        <w:t xml:space="preserve"> </w:t>
      </w:r>
      <w:r>
        <w:t xml:space="preserve">constitutes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coupled non-linear equations for the unknowns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ϕ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ϕ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ϕ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γ</m:t>
            </m:r>
          </m:e>
        </m:d>
      </m:oMath>
      <w:r>
        <w:t xml:space="preserve">, solved at each time step via Newton’s method with an implicit Euler discretisation (</w:t>
      </w:r>
      <m:oMath>
        <m:r>
          <m:t>Δ</m:t>
        </m: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steps,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corresponding to the 21-day experimental window).</w:t>
      </w:r>
    </w:p>
    <w:p>
      <w:pPr>
        <w:pStyle w:val="BodyText"/>
      </w:pPr>
      <w:r>
        <w:t xml:space="preserve">The variational derivation automatically ensures symmetry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 thermodynamic consistency </w:t>
      </w:r>
      <w:r>
        <w:t xml:space="preserve">(Junker and Balzani 2021)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enters the evolution equations only through the product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its absolute value is non-identifiable; we fix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so that the inferred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remain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The Heine et al. experiments do not involve antibiotic agents, so we set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eliminates the decay term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t>b</m:t>
            </m:r>
          </m:e>
          <m:sub>
            <m:r>
              <m:t>i</m:t>
            </m:r>
          </m:sub>
        </m:sSub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Eq. </w:t>
      </w:r>
      <w:hyperlink w:anchor="eq:psi_evol">
        <w:r>
          <w:rPr>
            <w:rStyle w:val="Hyperlink"/>
          </w:rPr>
          <w:t xml:space="preserve">[eq:psi_evol]</w:t>
        </w:r>
      </w:hyperlink>
      <w:r>
        <w:t xml:space="preserve">; the antibiotic sensitivity matrix 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is therefore inactive and excluded from estimation.</w:t>
      </w:r>
      <w:r>
        <w:t xml:space="preserve"> </w:t>
      </w:r>
      <w:r>
        <w:t xml:space="preserve">The symmetric interaction matrix 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has 15 independent entries; together with 5 intrinsic growth-rate parameters (Section </w:t>
      </w:r>
      <w:hyperlink w:anchor="sec:model_matrix">
        <w:r>
          <w:rPr>
            <w:rStyle w:val="Hyperlink"/>
          </w:rPr>
          <w:t xml:space="preserve">2.4</w:t>
        </w:r>
      </w:hyperlink>
      <w:r>
        <w:t xml:space="preserve">), these form the 20-dimensional parameter vector </w:t>
      </w:r>
      <m:oMath>
        <m:r>
          <m:rPr>
            <m:sty m:val="b"/>
          </m:rPr>
          <m:t>θ</m:t>
        </m:r>
      </m:oMath>
      <w:r>
        <w:t xml:space="preserve">.</w:t>
      </w:r>
    </w:p>
    <w:bookmarkEnd w:id="23"/>
    <w:bookmarkStart w:id="24" w:name="sec:model_matrix"/>
    <w:p>
      <w:pPr>
        <w:pStyle w:val="Heading2"/>
      </w:pPr>
      <w:r>
        <w:t xml:space="preserve">Symmetric interaction matrix and growth rates</w:t>
      </w:r>
    </w:p>
    <w:p>
      <w:pPr>
        <w:pStyle w:val="FirstParagraph"/>
      </w:pPr>
      <w:r>
        <w:t xml:space="preserve">The symmetry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arises automatically from the quadratic form of the free energy </w:t>
      </w:r>
      <w:hyperlink w:anchor="eq:psi">
        <w:r>
          <w:rPr>
            <w:rStyle w:val="Hyperlink"/>
          </w:rPr>
          <w:t xml:space="preserve">[eq:psi]</w:t>
        </w:r>
      </w:hyperlink>
      <w:r>
        <w:t xml:space="preserve">, reducing the off-diagonal degrees of freedom from 20 to 10.</w:t>
      </w:r>
      <w:r>
        <w:t xml:space="preserve"> </w:t>
      </w:r>
      <w:r>
        <w:t xml:space="preserve">Together with the 5 diagonal entries, the symmetric matrix has 15 independent entries.</w:t>
      </w:r>
      <w:r>
        <w:t xml:space="preserve"> </w:t>
      </w:r>
      <w:r>
        <w:t xml:space="preserve">We augment these with 5 intrinsic growth-rate parameters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(one per species), which enter the fitness as a species-specific offset independent of interspecies interactions.</w:t>
      </w:r>
      <w:r>
        <w:t xml:space="preserve"> </w:t>
      </w:r>
      <w:r>
        <w:t xml:space="preserve">These are distinct from the antibiotic sensitivity parameters 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Eq. </w:t>
      </w:r>
      <w:hyperlink w:anchor="eq:psi_evol">
        <w:r>
          <w:rPr>
            <w:rStyle w:val="Hyperlink"/>
          </w:rPr>
          <w:t xml:space="preserve">[eq:psi_evol]</w:t>
        </w:r>
      </w:hyperlink>
      <w:r>
        <w:t xml:space="preserve">, which vanish when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resulting 20-dimensional parameter vector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θ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19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20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organised into five biologically motivated blocks: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θ</m:t>
          </m:r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12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So–An</m:t>
              </m:r>
            </m:lim>
          </m:limLow>
          <m:r>
            <m:rPr>
              <m:sty m:val="p"/>
            </m:rPr>
            <m:t>⊕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33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34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44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Vei–Fn</m:t>
              </m:r>
            </m:lim>
          </m:limLow>
          <m:r>
            <m:rPr>
              <m:sty m:val="p"/>
            </m:rPr>
            <m:t>⊕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13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14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23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24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cross</m:t>
              </m:r>
            </m:lim>
          </m:limLow>
          <m:r>
            <m:rPr>
              <m:sty m:val="p"/>
            </m:rPr>
            <m:t>⊕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55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5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Pg</m:t>
              </m:r>
            </m:lim>
          </m:limLow>
          <m:r>
            <m:rPr>
              <m:sty m:val="p"/>
            </m:rPr>
            <m:t>⊕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15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25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35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45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Pg cross</m:t>
              </m:r>
            </m:lim>
          </m:limLow>
          <m:r>
            <m:rPr>
              <m:sty m:val="p"/>
            </m:rPr>
            <m:t>.</m:t>
          </m:r>
        </m:oMath>
      </m:oMathPara>
    </w:p>
    <w:bookmarkEnd w:id="24"/>
    <w:bookmarkStart w:id="25" w:name="biological-interaction-network"/>
    <w:p>
      <w:pPr>
        <w:pStyle w:val="Heading2"/>
      </w:pPr>
      <w:r>
        <w:t xml:space="preserve">Biological interaction network</w:t>
      </w:r>
    </w:p>
    <w:p>
      <w:pPr>
        <w:pStyle w:val="FirstParagraph"/>
      </w:pPr>
      <w:r>
        <w:t xml:space="preserve">The metabolite-mediated interaction network of Heine et al. </w:t>
      </w:r>
      <w:r>
        <w:t xml:space="preserve">(Heine et al. 2025)</w:t>
      </w:r>
      <w:r>
        <w:t xml:space="preserve"> </w:t>
      </w:r>
      <w:r>
        <w:t xml:space="preserve">identifies six experimentally confirmed species pairs (Figure </w:t>
      </w:r>
      <w:hyperlink w:anchor="fig:network">
        <w:r>
          <w:rPr>
            <w:rStyle w:val="Hyperlink"/>
          </w:rPr>
          <w:t xml:space="preserve">[fig:network]</w:t>
        </w:r>
      </w:hyperlink>
      <w:r>
        <w:t xml:space="preserve">).</w:t>
      </w:r>
      <w:r>
        <w:t xml:space="preserve"> </w:t>
      </w:r>
      <w:r>
        <w:t xml:space="preserve">Both So and An produce lactate and succinate, which Vei ferments to short-chain fatty acids (propionate, acetate), thereby raising local pH and creating a less acidic niche that promotes Pg growth.</w:t>
      </w:r>
      <w:r>
        <w:t xml:space="preserve"> </w:t>
      </w:r>
      <w:r>
        <w:t xml:space="preserve">Four remaining pairs lack confirmed metabolic or co-aggregation pathways; rather than enforcing these as hard constraints (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), we estimate all 20 parameters and let the posterior determine which interactions are active.</w:t>
      </w:r>
      <w:r>
        <w:t xml:space="preserve"> </w:t>
      </w:r>
      <w:r>
        <w:t xml:space="preserve">This</w:t>
      </w:r>
      <w:r>
        <w:t xml:space="preserve"> </w:t>
      </w:r>
      <w:r>
        <w:t xml:space="preserve">“</w:t>
      </w:r>
      <w:r>
        <w:t xml:space="preserve">full discovery</w:t>
      </w:r>
      <w:r>
        <w:t xml:space="preserve">”</w:t>
      </w:r>
      <w:r>
        <w:t xml:space="preserve"> </w:t>
      </w:r>
      <w:r>
        <w:t xml:space="preserve">approach is enabled by the fix-</w:t>
      </w:r>
      <m:oMath>
        <m:r>
          <m:t>ψ</m:t>
        </m:r>
      </m:oMath>
      <w:r>
        <w:t xml:space="preserve"> </w:t>
      </w:r>
      <w:r>
        <w:t xml:space="preserve">strategy (Section </w:t>
      </w:r>
      <w:hyperlink w:anchor="sec:gpu">
        <w:r>
          <w:rPr>
            <w:rStyle w:val="Hyperlink"/>
          </w:rPr>
          <w:t xml:space="preserve">5</w:t>
        </w:r>
      </w:hyperlink>
      <w:r>
        <w:t xml:space="preserve">), which reduces posterior multimodality sufficiently for convergence in 20 dimensions.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So 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 An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co-aggregation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So 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 Vei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Fermentation substrate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An 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 Vei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Lactate, succinate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Fermentation substrate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So 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 Fn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source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Vei 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 Pg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SCFA / pH</w:t>
            </w:r>
            <m:oMath>
              <m:r>
                <m:rPr>
                  <m:sty m:val="p"/>
                </m:rPr>
                <m:t>↑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Niche facilitation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Fn 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 Pg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Peptides / AA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 proteolysis</w:t>
            </w:r>
          </w:p>
        </w:tc>
      </w:tr>
    </w:tbl>
    <w:p>
      <w:pPr>
        <w:pStyle w:val="BodyText"/>
      </w:pPr>
      <w:r>
        <w:t xml:space="preserve">The block symbols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follow the 1-based notation of Klempt et al. </w:t>
      </w:r>
      <w:r>
        <w:t xml:space="preserve">(Klempt et al. 2025)</w:t>
      </w:r>
      <w:r>
        <w:t xml:space="preserve">; the matrix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use 0-based indexing consistent with Eqs. 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–</w:t>
      </w:r>
      <w:hyperlink w:anchor="eq:psi_evol">
        <w:r>
          <w:rPr>
            <w:rStyle w:val="Hyperlink"/>
          </w:rPr>
          <w:t xml:space="preserve">[eq:psi_evol]</w:t>
        </w:r>
      </w:hyperlink>
      <w:r>
        <w:t xml:space="preserve">.</w:t>
      </w:r>
    </w:p>
    <w:bookmarkEnd w:id="25"/>
    <w:bookmarkEnd w:id="26"/>
    <w:bookmarkStart w:id="30" w:name="sec:bayes"/>
    <w:p>
      <w:pPr>
        <w:pStyle w:val="Heading1"/>
      </w:pPr>
      <w:r>
        <w:t xml:space="preserve">Bayesian inference framework</w:t>
      </w:r>
    </w:p>
    <w:bookmarkStart w:id="27" w:name="posterior-distribution"/>
    <w:p>
      <w:pPr>
        <w:pStyle w:val="Heading2"/>
      </w:pPr>
      <w:r>
        <w:t xml:space="preserve">Posterior distribution</w:t>
      </w:r>
    </w:p>
    <w:p>
      <w:pPr>
        <w:pStyle w:val="FirstParagraph"/>
      </w:pPr>
      <w:r>
        <w:t xml:space="preserve">Given observed time-course data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}</m:t>
        </m:r>
      </m:oMath>
      <w:r>
        <w:t xml:space="preserve">, we seek the posterior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rPr>
                      <m:sty m:val="b"/>
                    </m:rPr>
                    <m:t>θ</m:t>
                  </m:r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θ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sty m:val="b"/>
              </m:rPr>
              <m:t>θ</m:t>
            </m:r>
          </m:e>
        </m:d>
      </m:oMath>
      <w:r>
        <w:t xml:space="preserve"> </w:t>
      </w:r>
      <w:r>
        <w:t xml:space="preserve">is the likelihood,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θ</m:t>
            </m:r>
          </m:e>
        </m:d>
      </m:oMath>
      <w:r>
        <w:t xml:space="preserve"> </w:t>
      </w:r>
      <w:r>
        <w:t xml:space="preserve">the prior, and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</m:e>
        </m:d>
      </m:oMath>
      <w:r>
        <w:t xml:space="preserve"> </w:t>
      </w:r>
      <w:r>
        <w:t xml:space="preserve">the model evidence.</w:t>
      </w:r>
    </w:p>
    <w:bookmarkEnd w:id="27"/>
    <w:bookmarkStart w:id="28" w:name="likelihood"/>
    <w:p>
      <w:pPr>
        <w:pStyle w:val="Heading2"/>
      </w:pPr>
      <w:r>
        <w:t xml:space="preserve">Likelihood</w:t>
      </w:r>
    </w:p>
    <w:p>
      <w:pPr>
        <w:pStyle w:val="FirstParagraph"/>
      </w:pPr>
      <w:r>
        <w:t xml:space="preserve">Assuming independent Gaussian errors across species and time points:</w:t>
      </w:r>
    </w:p>
    <w:p>
      <w:pPr>
        <w:pStyle w:val="BodyText"/>
      </w:pPr>
      <w:r>
        <w:t xml:space="preserve">$$p(\mathbf{y}_{\mathrm{obs}}\mid\boldsymbol{\theta})
= \prod_{k=1}^{N_t}\prod_{i=0}^{4}
\frac{1}{\sqrt{2\pi}\,\sigma_{i}}
\exp\!\Bigl(-\frac{(y_{\mathrm{obs},i}(t_k)-\hat{y}_i(t_k;\boldsymbol{\theta}))^2}{2\sigma_{i}^2}\Bigr),
\label{eq:likelihood}$$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species-specific observation noise derived from the replicate standard deviation of the normalised species fractions at each time point </w:t>
      </w:r>
      <w:r>
        <w:t xml:space="preserve">(Heine et al. 2025)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biological replicates per condition).</w:t>
      </w:r>
      <w:r>
        <w:t xml:space="preserve"> </w:t>
      </w:r>
      <w:r>
        <w:t xml:space="preserve">The noise is averaged over time points to yield a fixed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per species per condition, with typical values ranging from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(Fn, Pg in commensal states where fractions are near zero) to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0.20</m:t>
        </m:r>
      </m:oMath>
      <w:r>
        <w:t xml:space="preserve"> </w:t>
      </w:r>
      <w:r>
        <w:t xml:space="preserve">(So in commensal states where variability is highest).</w:t>
      </w:r>
      <w:r>
        <w:t xml:space="preserve"> </w:t>
      </w:r>
      <w:r>
        <w:t xml:space="preserve">The condition-averaged mean noise is</w:t>
      </w:r>
      <w:r>
        <w:t xml:space="preserve"> </w:t>
      </w:r>
      <m:oMath>
        <m:acc>
          <m:accPr>
            <m:chr m:val="‾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0.11</m:t>
        </m:r>
      </m:oMath>
      <w:r>
        <w:t xml:space="preserve">–</w:t>
      </w:r>
      <m:oMath>
        <m:r>
          <m:t>0.12</m:t>
        </m:r>
      </m:oMath>
      <w:r>
        <w:t xml:space="preserve"> </w:t>
      </w:r>
      <w:r>
        <w:t xml:space="preserve">across all conditions.</w:t>
      </w:r>
    </w:p>
    <w:bookmarkEnd w:id="28"/>
    <w:bookmarkStart w:id="29" w:name="constrained-prior"/>
    <w:p>
      <w:pPr>
        <w:pStyle w:val="Heading2"/>
      </w:pPr>
      <w:r>
        <w:t xml:space="preserve">Constrained prior</w:t>
      </w:r>
    </w:p>
    <w:p>
      <w:pPr>
        <w:pStyle w:val="FirstParagraph"/>
      </w:pPr>
      <w:r>
        <w:t xml:space="preserve">The prior is a product of independent uniform distributions: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19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t> </m:t>
          </m:r>
          <m:sSub>
            <m:e>
              <m:r>
                <m:rPr>
                  <m:sty m:val="b"/>
                </m:rPr>
                <m:t>1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bounds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are condition-specific and iteratively narrowed (Section </w:t>
      </w:r>
      <w:hyperlink w:anchor="sec:gpu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t xml:space="preserve">All 20 parameters are estimated for every condition; no parameters are locked to zero a priori.</w:t>
      </w:r>
      <w:r>
        <w:t xml:space="preserve"> </w:t>
      </w:r>
      <w:r>
        <w:t xml:space="preserve">The prior bounds are initialised broadly (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for most parameters) and refined after an initial TMCMC run using the posterior quantile range plus</w:t>
      </w:r>
      <w:r>
        <w:t xml:space="preserve"> </w:t>
      </w:r>
      <m:oMath>
        <m:r>
          <m:t>1.5</m:t>
        </m:r>
        <m:r>
          <m:t>σ</m:t>
        </m:r>
      </m:oMath>
      <w:r>
        <w:t xml:space="preserve"> </w:t>
      </w:r>
      <w:r>
        <w:t xml:space="preserve">padding.</w:t>
      </w:r>
    </w:p>
    <w:bookmarkEnd w:id="29"/>
    <w:bookmarkEnd w:id="30"/>
    <w:bookmarkStart w:id="34" w:name="sec:tmcmc"/>
    <w:p>
      <w:pPr>
        <w:pStyle w:val="Heading1"/>
      </w:pPr>
      <w:r>
        <w:t xml:space="preserve">TMCMC inference</w:t>
      </w:r>
    </w:p>
    <w:bookmarkStart w:id="31" w:name="tempered-likelihood-sequence"/>
    <w:p>
      <w:pPr>
        <w:pStyle w:val="Heading2"/>
      </w:pPr>
      <w:r>
        <w:t xml:space="preserve">Tempered likelihood sequence</w:t>
      </w:r>
    </w:p>
    <w:p>
      <w:pPr>
        <w:pStyle w:val="FirstParagraph"/>
      </w:pPr>
      <w:r>
        <w:t xml:space="preserve">TMCMC </w:t>
      </w:r>
      <w:r>
        <w:t xml:space="preserve">(Ching and Chen 2007; Del Moral, Doucet, and Jasra 2006; Chopin 2002)</w:t>
      </w:r>
      <w:r>
        <w:t xml:space="preserve"> </w:t>
      </w:r>
      <w:r>
        <w:t xml:space="preserve">constructs a sequence of intermediate distributions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∝</m:t>
          </m:r>
          <m:r>
            <m:t>p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rPr>
                      <m:sty m:val="b"/>
                    </m:rPr>
                    <m:t>θ</m:t>
                  </m:r>
                </m:e>
              </m:d>
            </m:e>
            <m:sup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sup>
          </m:sSup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interpolating from the prior (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to the full posterior (</w:t>
      </w:r>
      <m:oMath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The tempering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determined adaptively so that the coefficient of variation of the importance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p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rPr>
                          <m:sty m:val="b"/>
                        </m:rPr>
                        <m:t>θ</m:t>
                      </m:r>
                    </m:e>
                    <m:sub>
                      <m:r>
                        <m:t>j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</m:sup>
                  </m:sSubSup>
                </m:e>
              </m:d>
            </m:e>
            <m:sup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satisfies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{</m:t>
            </m:r>
            <m:sSubSup>
              <m:e>
                <m:r>
                  <m:t>w</m:t>
                </m:r>
              </m:e>
              <m:sub>
                <m:r>
                  <m:t>j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</m:sup>
            </m:sSubSup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, solved by bisection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 </w:t>
      </w:r>
      <w:r>
        <w:t xml:space="preserve">(Betz, Papaioannou, and Straub 2016)</w:t>
      </w:r>
      <w:r>
        <w:t xml:space="preserve">.</w:t>
      </w:r>
    </w:p>
    <w:bookmarkEnd w:id="31"/>
    <w:bookmarkStart w:id="32" w:name="resampling-and-mutation"/>
    <w:p>
      <w:pPr>
        <w:pStyle w:val="Heading2"/>
      </w:pPr>
      <w:r>
        <w:t xml:space="preserve">Resampling and mutation</w:t>
      </w:r>
    </w:p>
    <w:p>
      <w:pPr>
        <w:pStyle w:val="FirstParagraph"/>
      </w:pPr>
      <w:r>
        <w:t xml:space="preserve">At each stage </w:t>
      </w:r>
      <m:oMath>
        <m:r>
          <m:t>m</m:t>
        </m:r>
      </m:oMath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particles from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rPr>
                <m:sty m:val="b"/>
              </m:rPr>
              <m:t>θ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p>
        </m:sSubSup>
        <m:r>
          <m:rPr>
            <m:sty m:val="p"/>
          </m:rPr>
          <m:t>}</m:t>
        </m:r>
      </m:oMath>
      <w:r>
        <w:t xml:space="preserve"> </w:t>
      </w:r>
      <w:r>
        <w:t xml:space="preserve">with probabilities</w:t>
      </w:r>
      <w:r>
        <w:t xml:space="preserve"> </w:t>
      </w:r>
      <m:oMath>
        <m:r>
          <m:rPr>
            <m:sty m:val="p"/>
          </m:rPr>
          <m:t>∝</m:t>
        </m:r>
        <m:sSubSup>
          <m:e>
            <m:r>
              <m:t>w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p>
        </m:sSub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Estimate</w:t>
      </w:r>
      <w:r>
        <w:t xml:space="preserve"> </w:t>
      </w:r>
      <w:r>
        <w:t xml:space="preserve">the weighted covariance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Σ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j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(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bSup>
          <m:r>
            <m:rPr>
              <m:sty m:val="p"/>
            </m:rPr>
            <m:t>−</m:t>
          </m:r>
          <m:sSup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bSup>
          <m:r>
            <m:rPr>
              <m:sty m:val="p"/>
            </m:rPr>
            <m:t>−</m:t>
          </m:r>
          <m:sSup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rPr>
          <w:bCs/>
          <w:b/>
        </w:rPr>
        <w:t xml:space="preserve">Mutate</w:t>
      </w:r>
      <w:r>
        <w:t xml:space="preserve"> </w:t>
      </w:r>
      <w:r>
        <w:t xml:space="preserve">each particle via Metropolis–Hastings with proposal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θ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</m:sup>
            </m:sSup>
          </m:e>
        </m:d>
      </m:oMath>
      <w:r>
        <w:t xml:space="preserve"> </w:t>
      </w:r>
      <w:r>
        <w:t xml:space="preserve">and acceptance probability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f>
            <m:fPr>
              <m:type m:val="bar"/>
            </m:fPr>
            <m:num>
              <m:r>
                <m:t>p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p>
                        <m:e>
                          <m:r>
                            <m:rPr>
                              <m:sty m:val="b"/>
                            </m:rPr>
                            <m:t>θ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p>
              </m:sSup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num>
            <m:den>
              <m:r>
                <m:t>p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θ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p>
              </m:sSup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t xml:space="preserve">All parameters are clipped to their prior bounds after each proposal.</w:t>
      </w:r>
    </w:p>
    <w:p>
      <w:pPr>
        <w:pStyle w:val="FirstParagraph"/>
      </w:pPr>
      <w:r>
        <w:t xml:space="preserve">A by-product of TMCMC is the model evidence estimate</w:t>
      </w:r>
    </w:p>
    <w:p>
      <w:pPr>
        <w:pStyle w:val="BodyText"/>
      </w:pPr>
      <w:r>
        <w:t xml:space="preserve">$$\hat{p}(\mathbf{y}_{\mathrm{obs}}) = \prod_{m=0}^{M-1}\Bigl(\frac{1}{N}\sum_{j=1}^{N}w_j^{(m)}\Bigr),
\label{eq:evidence}$$</w:t>
      </w:r>
    </w:p>
    <w:p>
      <w:pPr>
        <w:pStyle w:val="FirstParagraph"/>
      </w:pPr>
      <w:r>
        <w:t xml:space="preserve">enabling Bayesian model comparison via the Bayes factor</w:t>
      </w:r>
      <w:r>
        <w:t xml:space="preserve"> </w:t>
      </w:r>
      <m:oMath>
        <m:sSub>
          <m:e>
            <m:r>
              <m:t>B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rPr>
                    <m:nor/>
                    <m:sty m:val="p"/>
                  </m:rPr>
                  <m:t>red</m:t>
                </m:r>
              </m:sub>
            </m:sSub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rPr>
                    <m:nor/>
                    <m:sty m:val="p"/>
                  </m:rPr>
                  <m:t>full</m:t>
                </m:r>
              </m:sub>
            </m:sSub>
          </m:e>
        </m:d>
      </m:oMath>
      <w:r>
        <w:t xml:space="preserve"> </w:t>
      </w:r>
      <w:r>
        <w:t xml:space="preserve">(Kass and Raftery 1995)</w:t>
      </w:r>
      <w:r>
        <w:t xml:space="preserve">.</w:t>
      </w:r>
      <w:r>
        <w:t xml:space="preserve"> </w:t>
      </w:r>
      <w:r>
        <w:t xml:space="preserve">The log-evidence values</w:t>
      </w:r>
      <w:r>
        <w:t xml:space="preserve"> </w:t>
      </w:r>
      <m:oMath>
        <m:r>
          <m:rPr>
            <m:sty m:val="p"/>
          </m:rPr>
          <m:t>ln</m:t>
        </m:r>
        <m:acc>
          <m:accPr>
            <m:chr m:val="̂"/>
          </m:accPr>
          <m:e>
            <m:r>
              <m:t>Z</m:t>
            </m:r>
          </m:e>
        </m:acc>
      </m:oMath>
      <w:r>
        <w:t xml:space="preserve"> </w:t>
      </w:r>
      <w:r>
        <w:t xml:space="preserve">reported in Section </w:t>
      </w:r>
      <w:hyperlink w:anchor="sec:resul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can be used for cross-condition model comparison.</w:t>
      </w:r>
    </w:p>
    <w:bookmarkEnd w:id="32"/>
    <w:bookmarkStart w:id="33" w:name="joint-estimation-in-20-dimensions"/>
    <w:p>
      <w:pPr>
        <w:pStyle w:val="Heading2"/>
      </w:pPr>
      <w:r>
        <w:t xml:space="preserve">Joint estimation in 20 dimensions</w:t>
      </w:r>
    </w:p>
    <w:p>
      <w:pPr>
        <w:pStyle w:val="FirstParagraph"/>
      </w:pPr>
      <w:r>
        <w:t xml:space="preserve">All 20 parameters are estimated jointly in a single TMCMC run per condition, enabled by the fix-</w:t>
      </w:r>
      <m:oMath>
        <m:r>
          <m:t>ψ</m:t>
        </m:r>
      </m:oMath>
      <w:r>
        <w:t xml:space="preserve"> </w:t>
      </w:r>
      <w:r>
        <w:t xml:space="preserve">strategy and GPU acceleration detailed in Section </w:t>
      </w:r>
      <w:hyperlink w:anchor="sec:gpu">
        <w:r>
          <w:rPr>
            <w:rStyle w:val="Hyperlink"/>
          </w:rPr>
          <w:t xml:space="preserve">5</w:t>
        </w:r>
      </w:hyperlink>
      <w:r>
        <w:t xml:space="preserve">.</w:t>
      </w:r>
      <w:r>
        <w:t xml:space="preserve"> </w:t>
      </w:r>
      <w:r>
        <w:t xml:space="preserve">The biologically motivated blocks (Eq. </w:t>
      </w:r>
      <w:hyperlink w:anchor="eq:blocks">
        <w:r>
          <w:rPr>
            <w:rStyle w:val="Hyperlink"/>
          </w:rPr>
          <w:t xml:space="preserve">[eq:blocks]</w:t>
        </w:r>
      </w:hyperlink>
      <w:r>
        <w:t xml:space="preserve">) serve as interpretive groups for posterior analysis but are not estimated sequentially.</w:t>
      </w:r>
    </w:p>
    <w:bookmarkEnd w:id="33"/>
    <w:bookmarkEnd w:id="34"/>
    <w:bookmarkStart w:id="38" w:name="sec:gpu"/>
    <w:p>
      <w:pPr>
        <w:pStyle w:val="Heading1"/>
      </w:pPr>
      <w:r>
        <w:t xml:space="preserve">GPU-accelerated forward model</w:t>
      </w:r>
    </w:p>
    <w:p>
      <w:pPr>
        <w:pStyle w:val="FirstParagraph"/>
      </w:pPr>
      <w:r>
        <w:t xml:space="preserve">Each TMCMC production run requires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d>
      </m:oMath>
      <w:r>
        <w:t xml:space="preserve">–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e>
        </m:d>
      </m:oMath>
      <w:r>
        <w:t xml:space="preserve"> </w:t>
      </w:r>
      <w:r>
        <w:t xml:space="preserve">forward ODE solves (up to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particles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mutation steps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M</m:t>
        </m:r>
        <m:r>
          <m:rPr>
            <m:sty m:val="p"/>
          </m:rPr>
          <m:t>≈</m:t>
        </m:r>
        <m:r>
          <m:t>5</m:t>
        </m:r>
      </m:oMath>
      <w:r>
        <w:t xml:space="preserve"> </w:t>
      </w:r>
      <w:r>
        <w:t xml:space="preserve">stages).</w:t>
      </w:r>
      <w:r>
        <w:t xml:space="preserve"> </w:t>
      </w:r>
      <w:r>
        <w:t xml:space="preserve">We address the resulting computational cost through GPU parallelism, a fix-</w:t>
      </w:r>
      <m:oMath>
        <m:r>
          <m:t>ψ</m:t>
        </m:r>
      </m:oMath>
      <w:r>
        <w:t xml:space="preserve"> </w:t>
      </w:r>
      <w:r>
        <w:t xml:space="preserve">reduction, and a two-phase estimation strategy.</w:t>
      </w:r>
    </w:p>
    <w:bookmarkStart w:id="35" w:name="gpu-parallel-tmcmc."/>
    <w:p>
      <w:pPr>
        <w:pStyle w:val="Heading4"/>
      </w:pPr>
      <w:r>
        <w:t xml:space="preserve">GPU-parallel TMCMC.</w:t>
      </w:r>
    </w:p>
    <w:p>
      <w:pPr>
        <w:pStyle w:val="FirstParagraph"/>
      </w:pPr>
      <w:r>
        <w:t xml:space="preserve">The forward model (Eqs. 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–</w:t>
      </w:r>
      <w:hyperlink w:anchor="eq:constraint_eq">
        <w:r>
          <w:rPr>
            <w:rStyle w:val="Hyperlink"/>
          </w:rPr>
          <w:t xml:space="preserve">[eq:constraint_eq]</w:t>
        </w:r>
      </w:hyperlink>
      <w:r>
        <w:t xml:space="preserve">) is implemented in JAX </w:t>
      </w:r>
      <w:r>
        <w:t xml:space="preserve">(Bradbury et al. 2018)</w:t>
      </w:r>
      <w:r>
        <w:t xml:space="preserve">: the implicit Euler Newton solver—including Jacobian assembly and linear solve—is compiled via</w:t>
      </w:r>
      <w:r>
        <w:t xml:space="preserve"> </w:t>
      </w:r>
      <w:r>
        <w:rPr>
          <w:rStyle w:val="VerbatimChar"/>
        </w:rPr>
        <w:t xml:space="preserve">jax.jit</w:t>
      </w:r>
      <w:r>
        <w:t xml:space="preserve"> </w:t>
      </w:r>
      <w:r>
        <w:t xml:space="preserve">into a single fused XLA kernel.</w:t>
      </w:r>
      <w:r>
        <w:t xml:space="preserve"> </w:t>
      </w:r>
      <w: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particle trajectories are evaluated simultaneously via</w:t>
      </w:r>
      <w:r>
        <w:t xml:space="preserve"> </w:t>
      </w:r>
      <w:r>
        <w:rPr>
          <w:rStyle w:val="VerbatimChar"/>
        </w:rPr>
        <w:t xml:space="preserve">jax.vmap</w:t>
      </w:r>
      <w:r>
        <w:t xml:space="preserve"> </w:t>
      </w:r>
      <w:r>
        <w:t xml:space="preserve">on GPU (NVIDIA RTX 4090), replacing the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⌉</m:t>
        </m:r>
      </m:oMath>
      <w:r>
        <w:t xml:space="preserve"> </w:t>
      </w:r>
      <w:r>
        <w:t xml:space="preserve">serial batches required on CPU.</w:t>
      </w:r>
      <w:r>
        <w:t xml:space="preserve"> </w:t>
      </w:r>
      <w:r>
        <w:t xml:space="preserve">This yields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end-to-end speedup (Table </w:t>
      </w:r>
      <w:hyperlink w:anchor="tab:timing">
        <w:r>
          <w:rPr>
            <w:rStyle w:val="Hyperlink"/>
          </w:rPr>
          <w:t xml:space="preserve">[tab:timing]</w:t>
        </w:r>
      </w:hyperlink>
      <w:r>
        <w:t xml:space="preserve">).</w:t>
      </w:r>
    </w:p>
    <w:bookmarkEnd w:id="35"/>
    <w:bookmarkStart w:id="36" w:name="fix-psi-and-iteratively-narrowed-priors."/>
    <w:p>
      <w:pPr>
        <w:pStyle w:val="Heading4"/>
      </w:pPr>
      <w:r>
        <w:t xml:space="preserve">Fix-</w:t>
      </w:r>
      <m:oMath>
        <m:r>
          <m:t>ψ</m:t>
        </m:r>
      </m:oMath>
      <w:r>
        <w:t xml:space="preserve"> </w:t>
      </w:r>
      <w:r>
        <w:t xml:space="preserve">and iteratively narrowed priors.</w:t>
      </w:r>
    </w:p>
    <w:p>
      <w:pPr>
        <w:pStyle w:val="FirstParagraph"/>
      </w:pPr>
      <w:r>
        <w:t xml:space="preserve">In Phase 1, the viability fraction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is fixed to the experimentally measured membrane-intact ratios </w:t>
      </w:r>
      <w:r>
        <w:t xml:space="preserve">(Heine et al. 2025)</w:t>
      </w:r>
      <w:r>
        <w:t xml:space="preserve">, halving the Jacobian dimension from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 removing</w:t>
      </w:r>
      <w:r>
        <w:t xml:space="preserve"> </w:t>
      </w:r>
      <m:oMath>
        <m:r>
          <m:t>ψ</m:t>
        </m:r>
      </m:oMath>
      <w:r>
        <w:t xml:space="preserve">-related posterior modes.</w:t>
      </w:r>
      <w:r>
        <w:t xml:space="preserve"> </w:t>
      </w:r>
      <w:r>
        <w:t xml:space="preserve">An initial wide-prior run provides posterior quantiles; the production run uses narrowed bounds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0.01</m:t>
                </m:r>
              </m:sub>
            </m:sSub>
            <m:r>
              <m:rPr>
                <m:sty m:val="p"/>
              </m:rPr>
              <m:t>−</m:t>
            </m:r>
            <m:r>
              <m:t>1.5</m:t>
            </m:r>
            <m:r>
              <m:t>σ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q</m:t>
                </m:r>
              </m:e>
              <m:sub>
                <m:r>
                  <m:t>0.99</m:t>
                </m:r>
              </m:sub>
            </m:sSub>
            <m:r>
              <m:rPr>
                <m:sty m:val="p"/>
              </m:rPr>
              <m:t>+</m:t>
            </m:r>
            <m:r>
              <m:t>1.5</m:t>
            </m:r>
            <m:r>
              <m:t>σ</m:t>
            </m:r>
          </m:e>
        </m:d>
      </m:oMath>
      <w:r>
        <w:t xml:space="preserve"> </w:t>
      </w:r>
      <w:r>
        <w:t xml:space="preserve">(clipped to original bounds), concentrating sampling on the high-density region.</w:t>
      </w:r>
    </w:p>
    <w:bookmarkEnd w:id="36"/>
    <w:bookmarkStart w:id="37" w:name="two-phase-estimation."/>
    <w:p>
      <w:pPr>
        <w:pStyle w:val="Heading4"/>
      </w:pPr>
      <w:r>
        <w:t xml:space="preserve">Two-phase estimation.</w:t>
      </w:r>
    </w:p>
    <w:p>
      <w:pPr>
        <w:pStyle w:val="FirstParagraph"/>
      </w:pPr>
      <w:r>
        <w:t xml:space="preserve">In Phase 2,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released as a free variable and the viability data enter the likelihood as a soft constraint with noise</w:t>
      </w:r>
      <w:r>
        <w:t xml:space="preserve"> </w:t>
      </w:r>
      <m:oMath>
        <m:sSub>
          <m:e>
            <m:r>
              <m:t>σ</m:t>
            </m:r>
          </m:e>
          <m:sub>
            <m:r>
              <m:t>ψ</m:t>
            </m:r>
          </m:sub>
        </m:sSub>
      </m:oMath>
      <w:r>
        <w:t xml:space="preserve">, while the Phase 1 posterior provides a tight informative prior on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.</w:t>
      </w:r>
      <w:r>
        <w:t xml:space="preserve"> </w:t>
      </w:r>
      <w:r>
        <w:t xml:space="preserve">This eliminates the multimodality that defeats direct joint estimation and yields a self-consistent posterior over both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Comparing Phase 1 and Phase 2 MAP estimates provides a consistency check: stable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validates the fix-</w:t>
      </w:r>
      <m:oMath>
        <m:r>
          <m:t>ψ</m:t>
        </m:r>
      </m:oMath>
      <w:r>
        <w:t xml:space="preserve"> </w:t>
      </w:r>
      <w:r>
        <w:t xml:space="preserve">approximation; a shift indicates non-negligible</w:t>
      </w:r>
      <w:r>
        <w:t xml:space="preserve"> </w:t>
      </w:r>
      <m:oMath>
        <m:r>
          <m:t>ψ</m:t>
        </m:r>
      </m:oMath>
      <w:r>
        <w:t xml:space="preserve">–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coupling.</w:t>
      </w:r>
    </w:p>
    <w:p>
      <w:pPr>
        <w:pStyle w:val="BodyText"/>
      </w:pPr>
      <w:r>
        <w:t xml:space="preserve">The procedure is summarised in Algorithm </w:t>
      </w:r>
      <w:hyperlink w:anchor="alg:tmcmc">
        <w:r>
          <w:rPr>
            <w:rStyle w:val="Hyperlink"/>
          </w:rPr>
          <w:t xml:space="preserve">[alg:tmcmc]</w:t>
        </w:r>
      </w:hyperlink>
      <w:r>
        <w:t xml:space="preserve">; Table </w:t>
      </w:r>
      <w:hyperlink w:anchor="tab:timing">
        <w:r>
          <w:rPr>
            <w:rStyle w:val="Hyperlink"/>
          </w:rPr>
          <w:t xml:space="preserve">[tab:timing]</w:t>
        </w:r>
      </w:hyperlink>
      <w:r>
        <w:t xml:space="preserve"> </w:t>
      </w:r>
      <w:r>
        <w:t xml:space="preserve">reports the computational gains.</w:t>
      </w:r>
    </w:p>
    <w:p>
      <w:pPr>
        <w:pStyle w:val="BodyText"/>
      </w:pPr>
      <w:r>
        <w:t xml:space="preserve">Data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, viability data</w:t>
      </w:r>
      <w:r>
        <w:t xml:space="preserve"> </w:t>
      </w:r>
      <m:oMath>
        <m:sSubSup>
          <m:e>
            <m:r>
              <m:t>ψ</m:t>
            </m:r>
          </m:e>
          <m:sub>
            <m:r>
              <m:t>i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particles, GPU device</w:t>
      </w:r>
      <w:r>
        <w:t xml:space="preserve"> </w:t>
      </w:r>
      <w:r>
        <w:t xml:space="preserve">MAP estimate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θ</m:t>
                </m:r>
              </m:e>
            </m:acc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p>
        </m:sSup>
      </m:oMath>
      <w:r>
        <w:t xml:space="preserve">, posterior samples, log-evidence</w:t>
      </w:r>
      <w:r>
        <w:t xml:space="preserve"> </w:t>
      </w:r>
      <m:oMath>
        <m:r>
          <m:rPr>
            <m:sty m:val="p"/>
          </m:rPr>
          <m:t>ln</m:t>
        </m:r>
        <m:acc>
          <m:accPr>
            <m:chr m:val="̂"/>
          </m:accPr>
          <m:e>
            <m:r>
              <m:t>Z</m:t>
            </m:r>
          </m:e>
        </m:acc>
      </m:oMath>
      <w:r>
        <w:t xml:space="preserve"> </w:t>
      </w:r>
      <m:oMath>
        <m:r>
          <m:rPr>
            <m:sty m:val="p"/>
          </m:rPr>
          <m:t>⊳</m:t>
        </m:r>
      </m:oMath>
      <w:r>
        <w:t xml:space="preserve"> </w:t>
      </w:r>
      <w:r>
        <w:rPr>
          <w:bCs/>
          <w:b/>
        </w:rPr>
        <w:t xml:space="preserve">Phase 1a: Fix-</w:t>
      </w:r>
      <m:oMath>
        <m:r>
          <m:t>ψ</m:t>
        </m:r>
      </m:oMath>
      <w:r>
        <w:rPr>
          <w:bCs/>
          <w:b/>
        </w:rPr>
        <w:t xml:space="preserve">, wide prior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←</m:t>
        </m:r>
        <m:sSubSup>
          <m:e>
            <m:r>
              <m:t>ψ</m:t>
            </m:r>
          </m:e>
          <m:sub>
            <m:r>
              <m:t>i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Draw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"/>
              </m:rPr>
              <m:t>θ</m:t>
            </m:r>
          </m:e>
          <m:sub>
            <m:r>
              <m:t>j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sup>
        </m:sSubSup>
      </m:oMath>
      <w:r>
        <w:t xml:space="preserve"> </w:t>
      </w:r>
      <w:r>
        <w:t xml:space="preserve">from wide prior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θ</m:t>
            </m:r>
          </m:e>
        </m:d>
      </m:oMath>
      <w:r>
        <w:t xml:space="preserve">; set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r>
          <m:t>0</m:t>
        </m:r>
      </m:oMath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s.t. 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{</m:t>
            </m:r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via bisection</w:t>
      </w:r>
      <w:r>
        <w:t xml:space="preserve"> </w:t>
      </w:r>
      <w:r>
        <w:t xml:space="preserve">Compute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←</m:t>
        </m:r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rPr>
                        <m:sty m:val="b"/>
                      </m:rPr>
                      <m:t>θ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  <m:sup>
            <m:sSub>
              <m:e>
                <m:r>
                  <m:t>β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Resample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particles</w:t>
      </w:r>
      <w:r>
        <w:t xml:space="preserve"> </w:t>
      </w:r>
      <m:oMath>
        <m:r>
          <m:rPr>
            <m:sty m:val="p"/>
          </m:rPr>
          <m:t>∝</m:t>
        </m:r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(systematic)</w:t>
      </w:r>
      <w:r>
        <w:t xml:space="preserve"> </w:t>
      </w:r>
      <w:r>
        <w:t xml:space="preserve">Estimate weighted covariance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Σ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p>
        </m:sSup>
      </m:oMath>
      <w:r>
        <w:t xml:space="preserve"> </w:t>
      </w:r>
      <w:r>
        <w:t xml:space="preserve">(Eq. </w:t>
      </w:r>
      <w:hyperlink w:anchor="eq:cov">
        <w:r>
          <w:rPr>
            <w:rStyle w:val="Hyperlink"/>
          </w:rPr>
          <w:t xml:space="preserve">[eq:cov]</w:t>
        </w:r>
      </w:hyperlink>
      <w:r>
        <w:t xml:space="preserve">)</w:t>
      </w:r>
      <w:r>
        <w:t xml:space="preserve"> </w:t>
      </w:r>
      <w:r>
        <w:t xml:space="preserve">Propose</w:t>
      </w:r>
      <w:r>
        <w:t xml:space="preserve"> </w:t>
      </w:r>
      <m:oMath>
        <m:sSub>
          <m:e>
            <m:r>
              <m:rPr>
                <m:sty m:val="b"/>
              </m:rP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sSup>
              <m:e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Σ</m:t>
                    </m:r>
                  </m:e>
                </m:acc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</m:sup>
            </m:sSup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Evaluate all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likelihoods in parallel via</w:t>
      </w:r>
      <w:r>
        <w:t xml:space="preserve"> </w:t>
      </w:r>
      <w:r>
        <w:rPr>
          <w:rStyle w:val="VerbatimChar"/>
        </w:rPr>
        <w:t xml:space="preserve">jax.vmap</w:t>
      </w:r>
      <w:r>
        <w:t xml:space="preserve"> </w:t>
      </w:r>
      <w:r>
        <w:t xml:space="preserve">on GPU</w:t>
      </w:r>
      <w:r>
        <w:t xml:space="preserve"> </w:t>
      </w:r>
      <w:r>
        <w:t xml:space="preserve">Accept/reject via MH (Eq. </w:t>
      </w:r>
      <w:hyperlink w:anchor="eq:accept">
        <w:r>
          <w:rPr>
            <w:rStyle w:val="Hyperlink"/>
          </w:rPr>
          <w:t xml:space="preserve">[eq:accept]</w:t>
        </w:r>
      </w:hyperlink>
      <w:r>
        <w:t xml:space="preserve">); clip to prior bounds</w:t>
      </w:r>
      <w:r>
        <w:t xml:space="preserve"> </w:t>
      </w:r>
      <w:r>
        <w:t xml:space="preserve">Record posterior quantiles</w:t>
      </w:r>
      <w:r>
        <w:t xml:space="preserve"> </w:t>
      </w:r>
      <m:oMath>
        <m:sSub>
          <m:e>
            <m:r>
              <m:t>q</m:t>
            </m:r>
          </m:e>
          <m:sub>
            <m:r>
              <m:t>0.01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0.99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per parameter</w:t>
      </w:r>
      <w:r>
        <w:t xml:space="preserve"> </w:t>
      </w:r>
      <m:oMath>
        <m:r>
          <m:rPr>
            <m:sty m:val="p"/>
          </m:rPr>
          <m:t>⊳</m:t>
        </m:r>
      </m:oMath>
      <w:r>
        <w:t xml:space="preserve"> </w:t>
      </w:r>
      <w:r>
        <w:rPr>
          <w:bCs/>
          <w:b/>
        </w:rPr>
        <w:t xml:space="preserve">Phase 1b: Fix-</w:t>
      </w:r>
      <m:oMath>
        <m:r>
          <m:t>ψ</m:t>
        </m:r>
      </m:oMath>
      <w:r>
        <w:rPr>
          <w:bCs/>
          <w:b/>
        </w:rPr>
        <w:t xml:space="preserve">, narrowed prior</w:t>
      </w:r>
      <w:r>
        <w:t xml:space="preserve"> </w:t>
      </w:r>
      <w:r>
        <w:t xml:space="preserve">Set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←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0.01</m:t>
                </m:r>
              </m:sub>
            </m:sSub>
            <m:r>
              <m:rPr>
                <m:sty m:val="p"/>
              </m:rPr>
              <m:t>−</m:t>
            </m:r>
            <m:r>
              <m:t>1.5</m:t>
            </m:r>
            <m:r>
              <m:t>σ</m:t>
            </m:r>
            <m:r>
              <m:rPr>
                <m:sty m:val="p"/>
              </m:rPr>
              <m:t>,</m:t>
            </m:r>
            <m:r>
              <m:t> </m:t>
            </m:r>
            <m:sSub>
              <m:e>
                <m:r>
                  <m:t>q</m:t>
                </m:r>
              </m:e>
              <m:sub>
                <m:r>
                  <m:t>0.99</m:t>
                </m:r>
              </m:sub>
            </m:sSub>
            <m:r>
              <m:rPr>
                <m:sty m:val="p"/>
              </m:rPr>
              <m:t>+</m:t>
            </m:r>
            <m:r>
              <m:t>1.5</m:t>
            </m:r>
            <m:r>
              <m:t>σ</m:t>
            </m:r>
          </m:e>
        </m:d>
      </m:oMath>
      <w:r>
        <w:t xml:space="preserve">, clipped to original bounds</w:t>
      </w:r>
      <w:r>
        <w:t xml:space="preserve"> </w:t>
      </w:r>
      <w:r>
        <w:t xml:space="preserve">Repeat lines 3–15 with narrowed prior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θ</m:t>
                </m:r>
              </m:e>
            </m:acc>
          </m:e>
          <m:sub>
            <m:r>
              <m:rPr>
                <m:nor/>
                <m:sty m:val="p"/>
              </m:rPr>
              <m:t>fix-</m:t>
            </m:r>
            <m:r>
              <m:t>ψ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p>
        </m:sSubSup>
      </m:oMath>
      <w:r>
        <w:t xml:space="preserve">,</w:t>
      </w:r>
      <w:r>
        <w:t xml:space="preserve"> </w:t>
      </w:r>
      <m:oMath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m:oMath>
        <m:r>
          <m:rPr>
            <m:sty m:val="p"/>
          </m:rPr>
          <m:t>⊳</m:t>
        </m:r>
      </m:oMath>
      <w:r>
        <w:t xml:space="preserve"> </w:t>
      </w:r>
      <w:r>
        <w:rPr>
          <w:bCs/>
          <w:b/>
        </w:rPr>
        <w:t xml:space="preserve">Phase 2: Free</w:t>
      </w:r>
      <w:r>
        <w:rPr>
          <w:bCs/>
          <w:b/>
        </w:rPr>
        <w:t xml:space="preserve"> </w:t>
      </w:r>
      <m:oMath>
        <m:r>
          <m:t>ψ</m:t>
        </m:r>
      </m:oMath>
      <w:r>
        <w:rPr>
          <w:bCs/>
          <w:b/>
        </w:rPr>
        <w:t xml:space="preserve">, informative</w:t>
      </w:r>
      <w:r>
        <w:rPr>
          <w:bCs/>
          <w:b/>
        </w:rPr>
        <w:t xml:space="preserve"> </w:t>
      </w:r>
      <m:oMath>
        <m:r>
          <m:rPr>
            <m:sty m:val="b"/>
          </m:rPr>
          <m:t>θ</m:t>
        </m:r>
      </m:oMath>
      <w:r>
        <w:rPr>
          <w:bCs/>
          <w:b/>
        </w:rPr>
        <w:t xml:space="preserve">-prior</w:t>
      </w:r>
      <w:r>
        <w:t xml:space="preserve"> </w:t>
      </w:r>
      <w:r>
        <w:t xml:space="preserve">Release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free variables; set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-prior from Phase 1b posterior</w:t>
      </w:r>
      <w:r>
        <w:t xml:space="preserve"> </w:t>
      </w:r>
      <w:r>
        <w:t xml:space="preserve">Augment likelihood: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  <m:scr m:val="script"/>
          </m:rPr>
          <m:t>L</m:t>
        </m:r>
        <m:r>
          <m:rPr>
            <m:sty m:val="p"/>
          </m:rPr>
          <m:t>+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p>
                    </m:sSub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Sup>
              <m:e>
                <m:r>
                  <m:t>σ</m:t>
                </m:r>
              </m:e>
              <m:sub>
                <m:r>
                  <m:t>ψ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Repeat lines 3–15 with augmented model 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θ</m:t>
                </m:r>
              </m:e>
            </m:acc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ψ</m:t>
                </m:r>
              </m:e>
            </m:acc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p>
        </m:sSup>
      </m:oMath>
      <w:r>
        <w:t xml:space="preserve">, posterior samples,</w:t>
      </w:r>
      <w:r>
        <w:t xml:space="preserve"> </w:t>
      </w:r>
      <m:oMath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</w:p>
    <w:p>
      <w:pPr>
        <w:pStyle w:val="BodyText"/>
      </w:pPr>
      <w:r>
        <w:t xml:space="preserve">@lrrr@</w:t>
      </w:r>
      <w:r>
        <w:t xml:space="preserve"> </w:t>
      </w:r>
      <w:r>
        <w:rPr>
          <w:bCs/>
          <w:b/>
        </w:rPr>
        <w:t xml:space="preserve">Metric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CPU (12 cores)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GPU (RTX 4090)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Speedup</w:t>
      </w:r>
      <w:r>
        <w:br/>
      </w:r>
      <w:r>
        <w:br/>
      </w:r>
      <w:r>
        <w:t xml:space="preserve">Per stage &amp; 2 400 s &amp; 14 s &amp;</w:t>
      </w:r>
      <w:r>
        <w:t xml:space="preserve"> </w:t>
      </w:r>
      <m:oMath>
        <m:r>
          <m:t>170</m:t>
        </m:r>
        <m:r>
          <m:rPr>
            <m:sty m:val="p"/>
          </m:rPr>
          <m:t>×</m:t>
        </m:r>
      </m:oMath>
      <w:r>
        <w:br/>
      </w:r>
      <w:r>
        <w:t xml:space="preserve">Total &amp; 21 600 s &amp; 147 s &amp;</w:t>
      </w:r>
      <w:r>
        <w:t xml:space="preserve"> </w:t>
      </w:r>
      <m:oMath>
        <m:r>
          <m:rPr>
            <m:sty m:val="b"/>
          </m:rPr>
          <m:t>200</m:t>
        </m:r>
        <m:r>
          <m:rPr>
            <m:sty m:val="b"/>
          </m:rPr>
          <m:t>×</m:t>
        </m:r>
      </m:oMath>
      <w:r>
        <w:br/>
      </w:r>
      <w:r>
        <w:br/>
      </w:r>
      <w:r>
        <w:t xml:space="preserve">Per condition &amp;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120 h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1.7–2.6 h &amp;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50</w:t>
      </w:r>
      <m:oMath>
        <m:r>
          <m:rPr>
            <m:sty m:val="p"/>
          </m:rPr>
          <m:t>×</m:t>
        </m:r>
      </m:oMath>
      <w:r>
        <w:br/>
      </w:r>
      <w:r>
        <w:t xml:space="preserve">All 4 cond. &amp;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480 h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8 h &amp;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60</w:t>
      </w:r>
      <m:oMath>
        <m:r>
          <m:rPr>
            <m:sty m:val="p"/>
          </m:rPr>
          <m:t>×</m:t>
        </m:r>
      </m:oMath>
      <w:r>
        <w:br/>
      </w:r>
    </w:p>
    <w:bookmarkEnd w:id="37"/>
    <w:bookmarkEnd w:id="38"/>
    <w:bookmarkStart w:id="61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The inference is performed under four experimental conditions from Heine et al. </w:t>
      </w:r>
      <w:r>
        <w:t xml:space="preserve">(Heine et al. 2025)</w:t>
      </w:r>
      <w:r>
        <w:t xml:space="preserve">: Commensal Static (CS), Commensal HOBIC (CH), Dysbiotic Static (DS), and Dysbiotic HOBIC (DH).</w:t>
      </w:r>
      <w:r>
        <w:t xml:space="preserve"> </w:t>
      </w:r>
      <w:r>
        <w:t xml:space="preserve">Species distribution data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biological replicates per condition, Days 1, 3, 6, 10, 15, 21) were normalised to unit sum at each time point; Day 1 serves as initial condition.</w:t>
      </w:r>
      <w:r>
        <w:t xml:space="preserve"> </w:t>
      </w:r>
      <w:r>
        <w:t xml:space="preserve">All 20 interaction parameters are estimated simultaneously for every condition without a priori locking (</w:t>
      </w:r>
      <w:r>
        <w:t xml:space="preserve">“</w:t>
      </w:r>
      <w:r>
        <w:t xml:space="preserve">full discovery</w:t>
      </w:r>
      <w:r>
        <w:t xml:space="preserve">”</w:t>
      </w:r>
      <w:r>
        <w:t xml:space="preserve">), following the two-phase procedure of Algorithm </w:t>
      </w:r>
      <w:hyperlink w:anchor="alg:tmcmc">
        <w:r>
          <w:rPr>
            <w:rStyle w:val="Hyperlink"/>
          </w:rPr>
          <w:t xml:space="preserve">[alg:tmcmc]</w:t>
        </w:r>
      </w:hyperlink>
      <w:r>
        <w:t xml:space="preserve">: Phase 1 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, fix-</w:t>
      </w:r>
      <m:oMath>
        <m:r>
          <m:t>ψ</m:t>
        </m:r>
      </m:oMath>
      <w:r>
        <w:t xml:space="preserve">) identifies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; Phase 2 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, free</w:t>
      </w:r>
      <w:r>
        <w:t xml:space="preserve"> </w:t>
      </w:r>
      <m:oMath>
        <m:r>
          <m:t>ψ</m:t>
        </m:r>
      </m:oMath>
      <w:r>
        <w:t xml:space="preserve">) recovers the full joint posterior.</w:t>
      </w:r>
      <w:r>
        <w:t xml:space="preserve"> </w:t>
      </w:r>
      <w:r>
        <w:t xml:space="preserve">All runs use a coefficient-of-variation target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for the adaptive</w:t>
      </w:r>
      <w:r>
        <w:t xml:space="preserve"> </w:t>
      </w:r>
      <m:oMath>
        <m:r>
          <m:t>β</m:t>
        </m:r>
      </m:oMath>
      <w:r>
        <w:t xml:space="preserve">-schedule </w:t>
      </w:r>
      <w:r>
        <w:t xml:space="preserve">(Betz, Papaioannou, and Straub 2016)</w:t>
      </w:r>
      <w:r>
        <w:t xml:space="preserve">, initial proposal scale</w:t>
      </w:r>
      <w:r>
        <w:t xml:space="preserve"> </w:t>
      </w:r>
      <m:oMath>
        <m:sSup>
          <m:e>
            <m:r>
              <m:t>γ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2.38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  <m:r>
          <m:rPr>
            <m:sty m:val="p"/>
          </m:rPr>
          <m:t>≈</m:t>
        </m:r>
        <m:r>
          <m:t>0.28</m:t>
        </m:r>
      </m:oMath>
      <w:r>
        <w:t xml:space="preserve"> </w:t>
      </w:r>
      <w:r>
        <w:t xml:space="preserve">(Roberts et al. optimal for Gaussian targets), and RW mutation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steps per particle.</w:t>
      </w:r>
      <w:r>
        <w:t xml:space="preserve"> </w:t>
      </w:r>
      <w:r>
        <w:t xml:space="preserve">The proposal covariance is adapted online: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halved when the acceptance rate drops below 5% and increased by 50% when it exceeds 40%, targeting the theoretically optimal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≈</m:t>
        </m:r>
        <m:r>
          <m:t>23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bookmarkStart w:id="41" w:name="quantitative-fit-metrics"/>
    <w:p>
      <w:pPr>
        <w:pStyle w:val="Heading2"/>
      </w:pPr>
      <w:r>
        <w:t xml:space="preserve">Quantitative fit metrics</w:t>
      </w:r>
    </w:p>
    <w:p>
      <w:pPr>
        <w:pStyle w:val="FirstParagraph"/>
      </w:pPr>
      <w:r>
        <w:t xml:space="preserve">Table </w:t>
      </w:r>
      <w:hyperlink w:anchor="tab:rms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both Phase 1 (fix-</w:t>
      </w:r>
      <m:oMath>
        <m:r>
          <m:t>ψ</m:t>
        </m:r>
      </m:oMath>
      <w:r>
        <w:t xml:space="preserve">) and Phase 2 (free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results.</w:t>
      </w:r>
      <w:r>
        <w:t xml:space="preserve"> </w:t>
      </w:r>
      <w:r>
        <w:t xml:space="preserve">Phase 1 achieves lower species RMSE across all conditions, representing an upper bound on fit quality 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perfectly known.</w:t>
      </w:r>
      <w:r>
        <w:t xml:space="preserve"> </w:t>
      </w:r>
      <w:r>
        <w:t xml:space="preserve">Phase 2 provides the physically consistent model: DS maintains the best fit (RMSE</w:t>
      </w:r>
      <m:oMath>
        <m:r>
          <m:rPr>
            <m:sty m:val="p"/>
          </m:rPr>
          <m:t>=</m:t>
        </m:r>
      </m:oMath>
      <w:r>
        <w:t xml:space="preserve">0.033,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Pg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0.85</m:t>
        </m:r>
      </m:oMath>
      <w:r>
        <w:t xml:space="preserve">), while DH achieves strong pathogen identification (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Pg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0.90</m:t>
        </m:r>
      </m:oMath>
      <w:r>
        <w:t xml:space="preserve">) despite the additional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degrees of freedom.</w:t>
      </w:r>
      <w:r>
        <w:t xml:space="preserve"> </w:t>
      </w:r>
      <w:r>
        <w:t xml:space="preserve">The RMSE increase from Phase 1 to Phase 2 (</w:t>
      </w:r>
      <m:oMath>
        <m:r>
          <m:t>Δ</m:t>
        </m:r>
      </m:oMath>
      <w:r>
        <w:t xml:space="preserve">RMSE</w:t>
      </w:r>
      <m:oMath>
        <m:r>
          <m:rPr>
            <m:sty m:val="p"/>
          </m:rPr>
          <m:t>≤</m:t>
        </m:r>
        <m:r>
          <m:t>0.03</m:t>
        </m:r>
      </m:oMath>
      <w:r>
        <w:t xml:space="preserve">) confirms that the Phase 1 interaction structure is robust to the release of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.</w:t>
      </w:r>
    </w:p>
    <w:bookmarkStart w:id="39" w:name="tab:rmse"/>
    <w:p>
      <w:pPr>
        <w:pStyle w:val="TableCaption"/>
      </w:pPr>
      <w:r>
        <w:t xml:space="preserve">Two-phase estimation results.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: mean MH acceptance rate.</w:t>
      </w:r>
      <w:r>
        <w:t xml:space="preserve"> </w:t>
      </w:r>
      <w:r>
        <w:t xml:space="preserve">Phase 1 (fix-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) identifies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with fixed viability.</w:t>
      </w:r>
      <w:r>
        <w:t xml:space="preserve"> </w:t>
      </w:r>
      <w:r>
        <w:t xml:space="preserve">Phase 2 (free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releases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Phase 1 posterior as informative prior.</w:t>
      </w:r>
      <w:r>
        <w:t xml:space="preserve"> </w:t>
      </w:r>
      <w:r>
        <w:t xml:space="preserve">Phase 1 achieves lower species RMSE (upper bound on fit quality), while Phase 2 provides the physically consistent model with full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dynamics.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ln</m:t>
        </m:r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values are not comparable across phases because Phase 2 includes an additional viability likelihood channel (Section </w:t>
      </w:r>
      <w:hyperlink w:anchor="sec:gpu">
        <w:r>
          <w:rPr>
            <w:rStyle w:val="Hyperlink"/>
          </w:rPr>
          <w:t xml:space="preserve">5</w:t>
        </w:r>
      </w:hyperlink>
      <w:r>
        <w:t xml:space="preserve">); use RMSE for cross-phase comparison.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wo-phase estimation results. \bar{\alpha}: mean MH acceptance rate. Phase 1 (fix-\psi, N_p=1{,}000) identifies \mathbf{A} with fixed viability. Phase 2 (free \psi, N_p=10{,}000) releases \psi_i with the Phase 1 posterior as informative prior. Phase 1 achieves lower species RMSE (upper bound on fit quality), while Phase 2 provides the physically consistent model with full \psi dynamics. Note: \max\ln\mathcal{L} values are not comparable across phases because Phase 2 includes an additional viability likelihood channel (Section 5); use RMSE for cross-phase comparison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Phase 1: fix-</w:t>
            </w:r>
            <m:oMath>
              <m:r>
                <m:t>ψ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</w:t>
            </w: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Phase 2: free</w:t>
            </w:r>
            <w:r>
              <w:rPr>
                <w:bCs/>
                <w:b/>
              </w:rPr>
              <w:t xml:space="preserve"> </w:t>
            </w:r>
            <m:oMath>
              <m:r>
                <m:t>ψ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</w:t>
            </w: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rPr>
                <w:bCs/>
                <w:b/>
              </w:rPr>
              <w:t xml:space="preserve">) —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(lr)</w:t>
            </w:r>
            <w:r>
              <w:t xml:space="preserve">2-6</w:t>
            </w:r>
            <w:r>
              <w:t xml:space="preserve">(lr)</w:t>
            </w:r>
            <w:r>
              <w:t xml:space="preserve">7-11</w:t>
            </w:r>
            <w:r>
              <w:t xml:space="preserve"> </w:t>
            </w:r>
            <w:r>
              <w:rPr>
                <w:bCs/>
                <w:b/>
              </w:rPr>
              <w:t xml:space="preserve">Cond.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MAE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  <m:scr m:val="script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MAE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  <m:scr m:val="script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21.6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0.17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1.3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112.3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8.5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1.2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0.033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0.024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0.13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93.4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2.8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9.6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170.4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11.9</m:t>
              </m:r>
            </m:oMath>
          </w:p>
        </w:tc>
      </w:tr>
    </w:tbl>
    <w:bookmarkEnd w:id="39"/>
    <w:p>
      <w:pPr>
        <w:pStyle w:val="BodyText"/>
      </w:pPr>
      <w:r>
        <w:t xml:space="preserve">Table </w:t>
      </w:r>
      <w:hyperlink w:anchor="tab:r2_speci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the per-species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each condition.</w:t>
      </w:r>
      <w:r>
        <w:t xml:space="preserve"> </w:t>
      </w:r>
      <w:r>
        <w:t xml:space="preserve">In commensal states (CS, CH), Fn and Pg fractions are near zero throughout, rendering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undefined (total variance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); these are marked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</m:oMath>
      <w:r>
        <w:t xml:space="preserve">”</w:t>
      </w:r>
      <w:r>
        <w:t xml:space="preserve"> </w:t>
      </w:r>
      <w:r>
        <w:t xml:space="preserve">in the table.</w:t>
      </w:r>
      <w:r>
        <w:t xml:space="preserve"> </w:t>
      </w:r>
      <w:r>
        <w:t xml:space="preserve">In dysbiotic states, the model captures the pathogen dynamics with high fidelity: DH achieves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0.8</m:t>
        </m:r>
      </m:oMath>
      <w:r>
        <w:t xml:space="preserve"> </w:t>
      </w:r>
      <w:r>
        <w:t xml:space="preserve">for An, Vd, and Pg; DS achieves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for Vd and</w:t>
      </w:r>
      <w:r>
        <w:t xml:space="preserve"> </w:t>
      </w:r>
      <m:oMath>
        <m:r>
          <m:t>0.85</m:t>
        </m:r>
      </m:oMath>
      <w:r>
        <w:t xml:space="preserve"> </w:t>
      </w:r>
      <w:r>
        <w:t xml:space="preserve">for Pg.</w:t>
      </w:r>
      <w:r>
        <w:t xml:space="preserve"> </w:t>
      </w:r>
      <w:r>
        <w:t xml:space="preserve">So shows negative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across all conditions in Phase 2, reflecting a trade-off between the species-fraction and viability likelihood channels: the additional</w:t>
      </w:r>
      <w:r>
        <w:t xml:space="preserve"> </w:t>
      </w:r>
      <m:oMath>
        <m:r>
          <m:t>ψ</m:t>
        </m:r>
      </m:oMath>
      <w:r>
        <w:t xml:space="preserve">-dynamics shift the MAP away from the So-optimal region to accommodate viability constraints.</w:t>
      </w:r>
      <w:r>
        <w:t xml:space="preserve"> </w:t>
      </w:r>
      <w:r>
        <w:t xml:space="preserve">Phase 1 (fix-</w:t>
      </w:r>
      <m:oMath>
        <m:r>
          <m:t>ψ</m:t>
        </m:r>
      </m:oMath>
      <w:r>
        <w:t xml:space="preserve">) achieves substantially better So fits, confirming that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arises from the</w:t>
      </w:r>
      <w:r>
        <w:t xml:space="preserve"> </w:t>
      </w:r>
      <m:oMath>
        <m:r>
          <m:t>ψ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coupling rather than from a fundamental model limitation.</w:t>
      </w:r>
      <w:r>
        <w:t xml:space="preserve"> </w:t>
      </w:r>
      <w:r>
        <w:t xml:space="preserve">So also exhibits the highest replicate variability (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≈</m:t>
        </m:r>
        <m:r>
          <m:t>0.19</m:t>
        </m:r>
      </m:oMath>
      <w:r>
        <w:t xml:space="preserve">), which inflates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and further depresses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40" w:name="tab:r2_species"/>
    <w:p>
      <w:pPr>
        <w:pStyle w:val="TableCaption"/>
      </w:pPr>
      <w:r>
        <w:t xml:space="preserve">Per-species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Phase 1 (fix-</w:t>
      </w:r>
      <m:oMath>
        <m:r>
          <m:t>ψ</m:t>
        </m:r>
      </m:oMath>
      <w:r>
        <w:t xml:space="preserve">) and Phase 2 (free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</m:oMath>
      <w:r>
        <w:t xml:space="preserve">”</w:t>
      </w:r>
      <w:r>
        <w:t xml:space="preserve">: species fraction</w:t>
      </w:r>
      <w:r>
        <w:t xml:space="preserve"> </w:t>
      </w:r>
      <m:oMath>
        <m:r>
          <m:rPr>
            <m:sty m:val="p"/>
          </m:rPr>
          <m:t>&lt;</m:t>
        </m:r>
        <m:r>
          <m:t>0.02</m:t>
        </m:r>
      </m:oMath>
      <w:r>
        <w:t xml:space="preserve"> </w:t>
      </w:r>
      <w:r>
        <w:t xml:space="preserve">at all time points (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), rendering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ill-defined; the MAP prediction for these species is</w:t>
      </w:r>
      <w:r>
        <w:t xml:space="preserve"> </w:t>
      </w:r>
      <m:oMath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with absolute error below the observation noise 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Bold: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0.8</m:t>
        </m:r>
      </m:oMath>
      <w:r>
        <w:t xml:space="preserve">.</w:t>
      </w:r>
      <w:r>
        <w:t xml:space="preserve"> </w:t>
      </w:r>
      <w:r>
        <w:t xml:space="preserve">DS maintains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0.85</m:t>
        </m:r>
      </m:oMath>
      <w:r>
        <w:t xml:space="preserve"> </w:t>
      </w:r>
      <w:r>
        <w:t xml:space="preserve">for Vd and Pg in both phases. DH retains strong Pg identification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0.90</m:t>
        </m:r>
      </m:oMath>
      <w:r>
        <w:t xml:space="preserve">) despite the added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degrees of freedom.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er-species R^2 for Phase 1 (fix-\psi) and Phase 2 (free \psi, N_p=10{,}000). “-”: species fraction &lt;0.02 at all time points (\mathrm{SS}_{\mathrm{tot}}\approx0), rendering R^2 ill-defined; the MAP prediction for these species is &lt;0.01 with absolute error below the observation noise \sigma_i. Bold: R^2&gt;0.8. DS maintains R^2&gt;0.85 for Vd and Pg in both phases. DH retains strong Pg identification (R^2=0.90) despite the added \psi degrees of freedom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Phase 1 (fix-</w:t>
            </w:r>
            <m:oMath>
              <m:r>
                <m:t>ψ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Phase 2 (free</w:t>
            </w:r>
            <w:r>
              <w:rPr>
                <w:bCs/>
                <w:b/>
              </w:rPr>
              <w:t xml:space="preserve"> </w:t>
            </w:r>
            <m:oMath>
              <m:r>
                <m:t>ψ</m:t>
              </m:r>
            </m:oMath>
            <w:r>
              <w:rPr>
                <w:bCs/>
                <w:b/>
              </w:rPr>
              <w:t xml:space="preserve">) —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(lr)</w:t>
            </w:r>
            <w:r>
              <w:t xml:space="preserve">2-6</w:t>
            </w:r>
            <w:r>
              <w:t xml:space="preserve">(lr)</w:t>
            </w:r>
            <w:r>
              <w:t xml:space="preserve">7-11</w:t>
            </w:r>
            <w:r>
              <w:t xml:space="preserve"> </w:t>
            </w:r>
            <w:r>
              <w:rPr>
                <w:bCs/>
                <w:b/>
              </w:rPr>
              <w:t xml:space="preserve">Cond.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0.91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0.55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0.40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0.87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0.93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0.86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0.91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0.92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0.90</m:t>
              </m:r>
            </m:oMath>
          </w:p>
        </w:tc>
      </w:tr>
    </w:tbl>
    <w:bookmarkEnd w:id="40"/>
    <w:bookmarkEnd w:id="41"/>
    <w:bookmarkStart w:id="42" w:name="convergence-diagnostics"/>
    <w:p>
      <w:pPr>
        <w:pStyle w:val="Heading2"/>
      </w:pPr>
      <w:r>
        <w:t xml:space="preserve">Convergence diagnostics</w:t>
      </w:r>
    </w:p>
    <w:p>
      <w:pPr>
        <w:pStyle w:val="FirstParagraph"/>
      </w:pPr>
      <w:r>
        <w:t xml:space="preserve">Phase 2 converges in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–</w:t>
      </w:r>
      <m:oMath>
        <m:r>
          <m:t>7</m:t>
        </m:r>
      </m:oMath>
      <w:r>
        <w:t xml:space="preserve"> </w:t>
      </w:r>
      <w:r>
        <w:t xml:space="preserve">stages with mean acceptance rates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–</w:t>
      </w:r>
      <m:oMath>
        <m:r>
          <m:t>13</m:t>
        </m:r>
      </m:oMath>
      <w:r>
        <w:t xml:space="preserve">% (Table </w:t>
      </w:r>
      <w:hyperlink w:anchor="tab:rmse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The effective sample size equals the nominal particle count (</w:t>
      </w:r>
      <m:oMath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for all conditions at the final stage, confirming adequate posterior exploration.</w:t>
      </w:r>
      <w:r>
        <w:t xml:space="preserve"> </w:t>
      </w:r>
      <w:r>
        <w:t xml:space="preserve">As an additional check, Phase 1 was run with two independent seeds 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each); the Gelman–Rubin statistic satisfies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&lt;</m:t>
        </m:r>
        <m:r>
          <m:t>1.1</m:t>
        </m:r>
      </m:oMath>
      <w:r>
        <w:t xml:space="preserve"> </w:t>
      </w:r>
      <w:r>
        <w:t xml:space="preserve">for all active parameters in all conditions, indicating that the chains have converged to the same stationary distribution.</w:t>
      </w:r>
      <w:r>
        <w:t xml:space="preserve"> </w:t>
      </w:r>
      <w:r>
        <w:t xml:space="preserve">The acceptance rates of 7–13% are below the theoretically optimal 23%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Gaussian targets </w:t>
      </w:r>
      <w:r>
        <w:t xml:space="preserve">(Robert and Casella 2004)</w:t>
      </w:r>
      <w:r>
        <w:t xml:space="preserve">, reflecting the non-Gaussianity and bounded support of the posterior; nevertheless, the high ESS confirms that the TMCMC resampling–mutation cycle provides sufficient mixing.</w:t>
      </w:r>
    </w:p>
    <w:bookmarkEnd w:id="42"/>
    <w:bookmarkStart w:id="45" w:name="posterior-fits-across-conditions"/>
    <w:p>
      <w:pPr>
        <w:pStyle w:val="Heading2"/>
      </w:pPr>
      <w:r>
        <w:t xml:space="preserve">Posterior fits across conditions</w:t>
      </w:r>
    </w:p>
    <w:p>
      <w:pPr>
        <w:pStyle w:val="FirstParagraph"/>
      </w:pPr>
      <w:r>
        <w:t xml:space="preserve">Figure </w:t>
      </w:r>
      <w:hyperlink w:anchor="fig:fits_al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presents the posterior predictive fits for all four conditions in the order of increasing dysbiotic severity (columns left to right); each row corresponds to one species.</w:t>
      </w:r>
      <w:r>
        <w:t xml:space="preserve"> </w:t>
      </w:r>
      <w:r>
        <w:t xml:space="preserve">The solid line shows the MAP trajectory of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(total volume fraction); the dashed line shows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φ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i</m:t>
            </m:r>
          </m:sub>
        </m:sSub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(living fraction), which differs from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only where the viability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In CS (column 1), the model reproduces the initial rapid growth and steady state of So and An; pathogen species remain near zero—not due to locking, but because the posterior concentrates these entries near zero.</w:t>
      </w:r>
      <w:r>
        <w:t xml:space="preserve"> </w:t>
      </w:r>
      <w:r>
        <w:t xml:space="preserve">In CH (column 2), the So-dominated</w:t>
      </w:r>
      <w:r>
        <w:t xml:space="preserve"> </w:t>
      </w:r>
      <w:r>
        <w:t xml:space="preserve">“</w:t>
      </w:r>
      <w:r>
        <w:t xml:space="preserve">blue bloom</w:t>
      </w:r>
      <w:r>
        <w:t xml:space="preserve">”</w:t>
      </w:r>
      <w:r>
        <w:t xml:space="preserve"> </w:t>
      </w:r>
      <w:r>
        <w:t xml:space="preserve">under flow is correctly captured.</w:t>
      </w:r>
      <w:r>
        <w:t xml:space="preserve"> </w:t>
      </w:r>
      <w:r>
        <w:t xml:space="preserve">DS (column 3) achieves the best fit (RMSE </w:t>
      </w:r>
      <m:oMath>
        <m:r>
          <m:rPr>
            <m:sty m:val="p"/>
          </m:rPr>
          <m:t>=</m:t>
        </m:r>
      </m:oMath>
      <w:r>
        <w:t xml:space="preserve"> 0.033) with clear pathogen succession under static cultivation.</w:t>
      </w:r>
      <w:r>
        <w:t xml:space="preserve"> </w:t>
      </w:r>
      <w:r>
        <w:t xml:space="preserve">In DH (column 4), the model captures the non-linear amplification of Vei and Pg, including the characteristic pathogen surge driven by bridge-mediated cross-feeding.</w:t>
      </w:r>
      <w:r>
        <w:t xml:space="preserve"> </w:t>
      </w:r>
      <w:r>
        <w:t xml:space="preserve">The credible bands widen from CS to DH, reflecting the increasing effective dimensionality.</w:t>
      </w:r>
      <w:r>
        <w:t xml:space="preserve"> </w:t>
      </w:r>
      <w:r>
        <w:t xml:space="preserve">The bottom row highlights the distinct Pg strains: the avirulent ATCC 20709 used in commensal conditions remains near zero, whereas the virulent W83 in dysbiotic conditions exhibits the characteristic late-onset surge.</w:t>
      </w:r>
    </w:p>
    <w:p>
      <w:pPr>
        <w:pStyle w:val="CaptionedFigure"/>
      </w:pPr>
      <w:bookmarkStart w:id="44" w:name="fig:fits_all"/>
      <w:r>
        <w:drawing>
          <wp:inline>
            <wp:extent cx="5334000" cy="6804399"/>
            <wp:effectExtent b="0" l="0" r="0" t="0"/>
            <wp:docPr descr="Posterior predictive fits of volume fraction \varphi_i (N_p=10{,}000). Columns: four experimental conditions (CS, CH, DS, DH); rows: five species. Solid lines: MAP \varphi_i trajectory; dashed lines: living fraction \bar{\varphi}_i=\varphi_i\psi_i. Shaded bands: 50% (dark) and 80% (light) credible intervals from 100 posterior samples. Circles: experimental median (N=8 replicates); box plots: inter-replicate variability (IQR). Note that P. gingivalis employs different strains: avirulent ATCC 20709 in commensal conditions and virulent W83 in dysbiotic conditions (indicated by colour)." title="" id="1" name="Picture"/>
            <a:graphic>
              <a:graphicData uri="http://schemas.openxmlformats.org/drawingml/2006/picture">
                <pic:pic>
                  <pic:nvPicPr>
                    <pic:cNvPr descr="figures/paper_fig2_phi_transposed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4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Posterior predictive fits of volume fraction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 Columns: four experimental conditions (CS, CH, DS, DH); rows: five species.</w:t>
      </w:r>
      <w:r>
        <w:t xml:space="preserve"> </w:t>
      </w:r>
      <w:r>
        <w:t xml:space="preserve">Solid lines: MAP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trajectory; dashed lines: living fraction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φ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i</m:t>
            </m:r>
          </m:sub>
        </m:sSub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Shaded bands: 50% (dark) and 80% (light) credible intervals from 100 posterior samples.</w:t>
      </w:r>
      <w:r>
        <w:t xml:space="preserve"> </w:t>
      </w:r>
      <w:r>
        <w:t xml:space="preserve">Circles: experimental median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replicates); box plots: inter-replicate variability (IQR).</w:t>
      </w:r>
      <w:r>
        <w:t xml:space="preserve"> </w:t>
      </w:r>
      <w:r>
        <w:t xml:space="preserve">Note that</w:t>
      </w:r>
      <w:r>
        <w:t xml:space="preserve"> </w:t>
      </w:r>
      <w:r>
        <w:rPr>
          <w:iCs/>
          <w:i/>
        </w:rPr>
        <w:t xml:space="preserve">P. gingivalis</w:t>
      </w:r>
      <w:r>
        <w:t xml:space="preserve"> </w:t>
      </w:r>
      <w:r>
        <w:t xml:space="preserve">employs different strains: avirulent ATCC 20709 in commensal conditions and virulent W83 in dysbiotic conditions (indicated by colour).</w:t>
      </w:r>
    </w:p>
    <w:bookmarkEnd w:id="45"/>
    <w:bookmarkStart w:id="48" w:name="inferred-interaction-matrices"/>
    <w:p>
      <w:pPr>
        <w:pStyle w:val="Heading2"/>
      </w:pPr>
      <w:r>
        <w:t xml:space="preserve">Inferred interaction matrices</w:t>
      </w:r>
    </w:p>
    <w:p>
      <w:pPr>
        <w:pStyle w:val="FirstParagraph"/>
      </w:pPr>
      <w:r>
        <w:t xml:space="preserve">The MAP interaction matrices (Figure </w:t>
      </w:r>
      <w:hyperlink w:anchor="fig:heatmaps">
        <w:r>
          <w:rPr>
            <w:rStyle w:val="Hyperlink"/>
          </w:rPr>
          <w:t xml:space="preserve">2</w:t>
        </w:r>
      </w:hyperlink>
      <w:r>
        <w:t xml:space="preserve">) reveal the progressive reorganisation of the interaction landscape from commensal to dysbiotic states.</w:t>
      </w:r>
      <w:r>
        <w:t xml:space="preserve"> </w:t>
      </w:r>
      <w:r>
        <w:t xml:space="preserve">In CS and CH, the dominant entries are the So–An and So–Vei blocks, reflecting the mutualistic core of early colonizers; the Fn and Pg rows are near zero, recovered by the posterior without a priori locking.</w:t>
      </w:r>
      <w:r>
        <w:t xml:space="preserve"> </w:t>
      </w:r>
      <w:r>
        <w:t xml:space="preserve">In DS, pathogen-related entries appear at moderate magnitude.</w:t>
      </w:r>
      <w:r>
        <w:t xml:space="preserve"> </w:t>
      </w:r>
      <w:r>
        <w:t xml:space="preserve">In DH, strong positive entries emerge in the Vei–Pg and Fn–Pg blocks, identifying the cooperative cross-feeding that drives the surge.</w:t>
      </w:r>
      <w:r>
        <w:t xml:space="preserve"> </w:t>
      </w:r>
      <w:r>
        <w:t xml:space="preserve">The MAP values for the key pathogen-supporting parameters are: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14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H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Pg self</m:t>
            </m:r>
          </m:e>
        </m:d>
        <m:r>
          <m:rPr>
            <m:sty m:val="p"/>
          </m:rPr>
          <m:t>=</m:t>
        </m:r>
        <m:r>
          <m:t>3.43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19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H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Fn</m:t>
            </m:r>
            <m:r>
              <m:rPr>
                <m:sty m:val="p"/>
              </m:rPr>
              <m:t>→</m:t>
            </m:r>
            <m:r>
              <m:rPr>
                <m:nor/>
                <m:sty m:val="p"/>
              </m:rPr>
              <m:t>Pg</m:t>
            </m:r>
          </m:e>
        </m:d>
        <m:r>
          <m:rPr>
            <m:sty m:val="p"/>
          </m:rPr>
          <m:t>=</m:t>
        </m:r>
        <m:r>
          <m:t>5.63</m:t>
        </m:r>
      </m:oMath>
      <w:r>
        <w:t xml:space="preserve">, 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7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H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Fn self</m:t>
            </m:r>
          </m:e>
        </m:d>
        <m:r>
          <m:rPr>
            <m:sty m:val="p"/>
          </m:rPr>
          <m:t>=</m:t>
        </m:r>
        <m:r>
          <m:t>4.45</m:t>
        </m:r>
      </m:oMath>
      <w:r>
        <w:t xml:space="preserve">.</w:t>
      </w:r>
      <w:r>
        <w:t xml:space="preserve"> </w:t>
      </w:r>
      <w:r>
        <w:t xml:space="preserve">In DS, these coefficients are weaker 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14</m:t>
            </m:r>
          </m:sub>
        </m:sSub>
        <m:r>
          <m:rPr>
            <m:sty m:val="p"/>
          </m:rPr>
          <m:t>=</m:t>
        </m:r>
        <m:r>
          <m:t>0.30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19</m:t>
            </m:r>
          </m:sub>
        </m:sSub>
        <m:r>
          <m:rPr>
            <m:sty m:val="p"/>
          </m:rPr>
          <m:t>=</m:t>
        </m:r>
        <m:r>
          <m:t>2.20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18</m:t>
            </m:r>
          </m:sub>
        </m:sSub>
        <m:r>
          <m:rPr>
            <m:sty m:val="p"/>
          </m:rPr>
          <m:t>=</m:t>
        </m:r>
        <m:r>
          <m:t>1.01</m:t>
        </m:r>
      </m:oMath>
      <w:r>
        <w:t xml:space="preserve">), while in CS/CH the posterior concentrates them near zero without a priori locking.</w:t>
      </w:r>
    </w:p>
    <w:p>
      <w:pPr>
        <w:pStyle w:val="CaptionedFigure"/>
      </w:pPr>
      <w:bookmarkStart w:id="47" w:name="fig:heatmaps"/>
      <w:r>
        <w:drawing>
          <wp:inline>
            <wp:extent cx="5334000" cy="1423980"/>
            <wp:effectExtent b="0" l="0" r="0" t="0"/>
            <wp:docPr descr="MAP interaction matrices \mathbf{A} (Phase 2, free \psi, N_p=10{,}000). Red: cooperative (A_{ij}&gt;0); blue: competitive (A_{ij}&lt;0). In commensal conditions (CS, CH), the Fn and Pg rows/columns are near zero—recovered by the posterior, not imposed a priori. The transition to dysbiotic states activates cooperative cross-feeding in the Fn–Pg block." title="" id="1" name="Picture"/>
            <a:graphic>
              <a:graphicData uri="http://schemas.openxmlformats.org/drawingml/2006/picture">
                <pic:pic>
                  <pic:nvPicPr>
                    <pic:cNvPr descr="figures/heatmap_A_4con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MAP interaction matrices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(Phase 2, 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 Red: cooperative 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); blue: competitive 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 In commensal conditions (CS, CH), the Fn and Pg rows/columns are near zero—recovered by the posterior, not imposed a priori. The transition to dysbiotic states activates cooperative cross-feeding in the Fn–Pg block.</w:t>
      </w:r>
    </w:p>
    <w:bookmarkEnd w:id="48"/>
    <w:bookmarkStart w:id="51" w:name="posterior-parameter-distributions"/>
    <w:p>
      <w:pPr>
        <w:pStyle w:val="Heading2"/>
      </w:pPr>
      <w:r>
        <w:t xml:space="preserve">Posterior parameter distributions</w:t>
      </w:r>
    </w:p>
    <w:p>
      <w:pPr>
        <w:pStyle w:val="FirstParagraph"/>
      </w:pPr>
      <w:r>
        <w:t xml:space="preserve">Figure </w:t>
      </w:r>
      <w:hyperlink w:anchor="fig:posterior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posterior distributions of the 15 interaction matrix entries across all four conditions.</w:t>
      </w:r>
      <w:r>
        <w:t xml:space="preserve"> </w:t>
      </w:r>
      <w:r>
        <w:t xml:space="preserve">In commensal conditions (CS, CH), the Pg-related parameters (</w:t>
      </w:r>
      <m:oMath>
        <m:sSub>
          <m:e>
            <m:r>
              <m:t>a</m:t>
            </m:r>
          </m:e>
          <m:sub>
            <m:r>
              <m:t>15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55</m:t>
            </m:r>
          </m:sub>
        </m:sSub>
      </m:oMath>
      <w:r>
        <w:t xml:space="preserve">) concentrate sharply near zero—without a priori locking—confirming that the posterior recovers the expected biological sparsity.</w:t>
      </w:r>
      <w:r>
        <w:t xml:space="preserve"> </w:t>
      </w:r>
      <w:r>
        <w:t xml:space="preserve">In dysbiotic conditions (DS, DH), these same parameters shift to positive values with broader distributions, reflecting the activation of cross-feeding pathways.</w:t>
      </w:r>
      <w:r>
        <w:t xml:space="preserve"> </w:t>
      </w:r>
      <w:r>
        <w:t xml:space="preserve">DS exhibits the narrowest posteriors overall, consistent with its lowest RMSE and highest identifiability.</w:t>
      </w:r>
      <w:r>
        <w:t xml:space="preserve"> </w:t>
      </w:r>
      <w:r>
        <w:t xml:space="preserve">The intrinsic growth-rate parameters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(not shown) are estimated jointly but exhibit negligible condition dependence, consistent with the growth rate parity reported in Section </w:t>
      </w:r>
      <w:hyperlink w:anchor="sec:validation">
        <w:r>
          <w:rPr>
            <w:rStyle w:val="Hyperlink"/>
          </w:rPr>
          <w:t xml:space="preserve">6.7</w:t>
        </w:r>
      </w:hyperlink>
      <w:r>
        <w:t xml:space="preserve">.</w:t>
      </w:r>
    </w:p>
    <w:p>
      <w:pPr>
        <w:pStyle w:val="CaptionedFigure"/>
      </w:pPr>
      <w:bookmarkStart w:id="50" w:name="fig:posterior"/>
      <w:r>
        <w:drawing>
          <wp:inline>
            <wp:extent cx="5334000" cy="2706459"/>
            <wp:effectExtent b="0" l="0" r="0" t="0"/>
            <wp:docPr descr="Posterior distributions of the 15 interaction matrix entries (Phase 2, free \psi, N_p=10{,}000). Stars: MAP estimates. Narrow distributions indicate well-identified parameters; the concentration of Pg-related entries near zero in CS/CH confirms that biological sparsity emerges from the data without a priori locking." title="" id="1" name="Picture"/>
            <a:graphic>
              <a:graphicData uri="http://schemas.openxmlformats.org/drawingml/2006/picture">
                <pic:pic>
                  <pic:nvPicPr>
                    <pic:cNvPr descr="figures/paper_posterior_violin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6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Posterior distributions of the 15 interaction matrix entries (Phase 2, 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 Stars: MAP estimates. Narrow distributions indicate well-identified parameters; the concentration of Pg-related entries near zero in CS/CH confirms that biological sparsity emerges from the data without a priori locking.</w:t>
      </w:r>
    </w:p>
    <w:bookmarkEnd w:id="51"/>
    <w:bookmarkStart w:id="55" w:name="Xfcd537354fa4957d5657bd21568a02fe5e97395"/>
    <w:p>
      <w:pPr>
        <w:pStyle w:val="Heading2"/>
      </w:pPr>
      <w:r>
        <w:t xml:space="preserve">Quantitative comparison across conditions</w:t>
      </w:r>
    </w:p>
    <w:p>
      <w:pPr>
        <w:pStyle w:val="FirstParagraph"/>
      </w:pPr>
      <w:r>
        <w:t xml:space="preserve">To quantify the inter-condition differences, we compute for each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the correlation coefficient and relative Frobenius distance: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ρ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sup>
              </m:sSup>
            </m:e>
          </m:d>
          <m:r>
            <m:rPr>
              <m:sty m:val="p"/>
            </m:rPr>
            <m:t>,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p>
              </m:sSup>
            </m:e>
          </m:d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Δ</m:t>
              </m:r>
            </m:e>
            <m:sub>
              <m:r>
                <m:t>F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p>
              </m:sSup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sup>
              </m:sSup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p>
              </m:sSup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15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1.06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3.38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0.40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5.86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1.01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6.33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1.27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4.88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0.49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1.28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7.77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1.36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5.88</m:t>
              </m:r>
            </m:oMath>
          </w:p>
        </w:tc>
      </w:tr>
    </w:tbl>
    <w:p>
      <w:pPr>
        <w:pStyle w:val="BodyText"/>
      </w:pPr>
      <w:bookmarkStart w:id="52" w:name="tab:pairwise"/>
      <w:r>
        <w:t xml:space="preserve">[tab:pairwise]</w:t>
      </w:r>
      <w:bookmarkEnd w:id="52"/>
    </w:p>
    <w:p>
      <w:pPr>
        <w:pStyle w:val="BodyText"/>
      </w:pPr>
      <w:r>
        <w:drawing>
          <wp:inline>
            <wp:extent cx="4064000" cy="38989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umap_A_matrix_3d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54" w:name="fig:umap"/>
      <w:r>
        <w:t xml:space="preserve">[fig:umap]</w:t>
      </w:r>
      <w:bookmarkEnd w:id="54"/>
    </w:p>
    <w:p>
      <w:pPr>
        <w:pStyle w:val="BodyText"/>
      </w:pPr>
      <w:r>
        <w:t xml:space="preserve">The results (Table </w:t>
      </w:r>
      <w:hyperlink w:anchor="tab:pairwise">
        <w:r>
          <w:rPr>
            <w:rStyle w:val="Hyperlink"/>
          </w:rPr>
          <w:t xml:space="preserve">[tab:pairwise]</w:t>
        </w:r>
      </w:hyperlink>
      <w:r>
        <w:t xml:space="preserve">) show that matrices within the same health state share a common backbone (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CH–CS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0.26</m:t>
        </m:r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DH–DS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0.40</m:t>
        </m:r>
      </m:oMath>
      <w:r>
        <w:t xml:space="preserve">), whereas cross-state comparisons yield negative correlations (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DH–CS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0.49</m:t>
        </m:r>
      </m:oMath>
      <w:r>
        <w:t xml:space="preserve">) and large Frobenius distances (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≥</m:t>
        </m:r>
        <m:r>
          <m:t>0.88</m:t>
        </m:r>
      </m:oMath>
      <w:r>
        <w:t xml:space="preserve">).</w:t>
      </w:r>
      <w:r>
        <w:t xml:space="preserve"> </w:t>
      </w:r>
      <w:r>
        <w:t xml:space="preserve">The UMAP embedding of the full posterior (Figure </w:t>
      </w:r>
      <w:hyperlink w:anchor="fig:umap">
        <w:r>
          <w:rPr>
            <w:rStyle w:val="Hyperlink"/>
          </w:rPr>
          <w:t xml:space="preserve">[fig:umap]</w:t>
        </w:r>
      </w:hyperlink>
      <w:r>
        <w:t xml:space="preserve">) confirms that all four conditions form well-separated clusters with no overlap </w:t>
      </w:r>
      <w:r>
        <w:t xml:space="preserve">(McInnes, Healy, and Melville 2018)</w:t>
      </w:r>
      <w:r>
        <w:t xml:space="preserve">; centroid distances in 15D space mirror the MAP ordering (CS–CH closest at</w:t>
      </w:r>
      <w:r>
        <w:t xml:space="preserve"> </w:t>
      </w:r>
      <m:oMath>
        <m:r>
          <m:t>d</m:t>
        </m:r>
        <m:r>
          <m:t>​</m:t>
        </m:r>
        <m:r>
          <m:rPr>
            <m:sty m:val="p"/>
          </m:rPr>
          <m:t>=</m:t>
        </m:r>
        <m:r>
          <m:t>​</m:t>
        </m:r>
        <m:r>
          <m:t>3.38</m:t>
        </m:r>
      </m:oMath>
      <w:r>
        <w:t xml:space="preserve">; CS–DH most distant at</w:t>
      </w:r>
      <w:r>
        <w:t xml:space="preserve"> </w:t>
      </w:r>
      <m:oMath>
        <m:r>
          <m:t>d</m:t>
        </m:r>
        <m:r>
          <m:t>​</m:t>
        </m:r>
        <m:r>
          <m:rPr>
            <m:sty m:val="p"/>
          </m:rPr>
          <m:t>=</m:t>
        </m:r>
        <m:r>
          <m:t>​</m:t>
        </m:r>
        <m:r>
          <m:t>7.77</m:t>
        </m:r>
      </m:oMath>
      <w:r>
        <w:t xml:space="preserve">).</w:t>
      </w:r>
      <w:r>
        <w:t xml:space="preserve"> </w:t>
      </w:r>
      <w:r>
        <w:t xml:space="preserve">Overall, the transition from health to disease corresponds to a structural reorganisation of the interaction landscape, not merely a rescaling of existing coefficients.</w:t>
      </w:r>
    </w:p>
    <w:bookmarkEnd w:id="55"/>
    <w:bookmarkStart w:id="56" w:name="sec:validation"/>
    <w:p>
      <w:pPr>
        <w:pStyle w:val="Heading2"/>
      </w:pPr>
      <w:r>
        <w:t xml:space="preserve">Independent validation</w:t>
      </w:r>
    </w:p>
    <w:p>
      <w:pPr>
        <w:pStyle w:val="FirstParagraph"/>
      </w:pPr>
      <w:r>
        <w:t xml:space="preserve">We validate the Phase 2 MAP parameters against four measurements from Heine et al. </w:t>
      </w:r>
      <w:r>
        <w:t xml:space="preserve">(Heine et al. 2025)</w:t>
      </w:r>
      <w:r>
        <w:t xml:space="preserve"> </w:t>
      </w:r>
      <w:r>
        <w:t xml:space="preserve">that were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used in calibration.</w:t>
      </w:r>
    </w:p>
    <w:p>
      <w:pPr>
        <w:pStyle w:val="BodyText"/>
      </w:pPr>
      <w:r>
        <w:rPr>
          <w:iCs/>
          <w:i/>
        </w:rPr>
        <w:t xml:space="preserve">pH prediction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0.71</m:t>
        </m:r>
      </m:oMath>
      <w:r>
        <w:t xml:space="preserve">):</w:t>
      </w:r>
      <w:r>
        <w:t xml:space="preserve"> </w:t>
      </w:r>
      <w:r>
        <w:t xml:space="preserve">a post-hoc linear regression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6.95</m:t>
        </m:r>
        <m:r>
          <m:rPr>
            <m:sty m:val="p"/>
          </m:rPr>
          <m:t>−</m:t>
        </m:r>
        <m:r>
          <m:t>0.74</m:t>
        </m:r>
        <m:r>
          <m:t> </m:t>
        </m:r>
        <m:sSub>
          <m:e>
            <m:r>
              <m:t>ϕ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−</m:t>
        </m:r>
        <m:r>
          <m:t>0.48</m:t>
        </m:r>
        <m:r>
          <m:t> </m:t>
        </m:r>
        <m:sSub>
          <m:e>
            <m:r>
              <m:t>ϕ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d</m:t>
            </m:r>
          </m:sub>
        </m:sSub>
      </m:oMath>
      <w:r>
        <w:t xml:space="preserve">, fitted to HOBIC pH data (Fig. 4A in </w:t>
      </w:r>
      <w:r>
        <w:t xml:space="preserve">(Heine et al. 2025)</w:t>
      </w:r>
      <w:r>
        <w:t xml:space="preserve">) using the MAP-predicted species trajectories as regressors, yields Pearson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0.84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time points.</w:t>
      </w:r>
      <w:r>
        <w:t xml:space="preserve"> </w:t>
      </w:r>
      <w:r>
        <w:t xml:space="preserve">While this is a retrospective regression rather than a forward prediction, the negative So coefficient is consistent with lactate-driven acidification, and the fact that predicted (not observed) species fractions explain 71% of pH variance provides indirect support for the inferred interaction dynamics.</w:t>
      </w:r>
    </w:p>
    <w:p>
      <w:pPr>
        <w:pStyle w:val="BodyText"/>
      </w:pPr>
      <w:r>
        <w:rPr>
          <w:iCs/>
          <w:i/>
        </w:rPr>
        <w:t xml:space="preserve">Gingipain–Pg correlation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):</w:t>
      </w:r>
      <w:r>
        <w:t xml:space="preserve"> </w:t>
      </w:r>
      <w:r>
        <w:t xml:space="preserve">the temporal profile of gingipain (Fig. 4B), the principal virulence factor of Pg, correlates strongly with the predicted Pg trajectory in DH, both exhibiting delayed onset at Day 15–21.</w:t>
      </w:r>
    </w:p>
    <w:p>
      <w:pPr>
        <w:pStyle w:val="BodyText"/>
      </w:pPr>
      <w:r>
        <w:rPr>
          <w:iCs/>
          <w:i/>
        </w:rPr>
        <w:t xml:space="preserve">Metabolic sign consistency</w:t>
      </w:r>
      <w:r>
        <w:t xml:space="preserve">:</w:t>
      </w:r>
      <w:r>
        <w:t xml:space="preserve"> </w:t>
      </w:r>
      <w:r>
        <w:t xml:space="preserve">the MAP An</w:t>
      </w:r>
      <m:oMath>
        <m:r>
          <m:rPr>
            <m:sty m:val="p"/>
          </m:rPr>
          <m:t>→</m:t>
        </m:r>
      </m:oMath>
      <w:r>
        <w:t xml:space="preserve">Vei coefficient (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0.76</m:t>
        </m:r>
      </m:oMath>
      <w:r>
        <w:t xml:space="preserve">) is consistent with lactate/succinate cross-feeding, while So</w:t>
      </w:r>
      <m:oMath>
        <m:r>
          <m:rPr>
            <m:sty m:val="p"/>
          </m:rPr>
          <m:t>→</m:t>
        </m:r>
      </m:oMath>
      <w:r>
        <w:t xml:space="preserve">Vei (</w:t>
      </w:r>
      <m:oMath>
        <m:sSub>
          <m:e>
            <m:r>
              <m:t>A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2.73</m:t>
        </m:r>
      </m:oMath>
      <w:r>
        <w:t xml:space="preserve">) indicates niche competition dominates—ecologically plausible for species sharing metabolic substrates (Fig. 4C).</w:t>
      </w:r>
    </w:p>
    <w:p>
      <w:pPr>
        <w:pStyle w:val="BodyText"/>
      </w:pPr>
      <w:r>
        <w:rPr>
          <w:iCs/>
          <w:i/>
        </w:rPr>
        <w:t xml:space="preserve">Growth rate parity</w:t>
      </w:r>
      <w:r>
        <w:t xml:space="preserve">:</w:t>
      </w:r>
      <w:r>
        <w:t xml:space="preserve"> </w:t>
      </w:r>
      <w:r>
        <w:t xml:space="preserve">planktonic doubling times (1.68 h commensal vs. 1.64 h dysbiotic; Fig. 1B) confirm that condition differences arise from community interactions, not individual species fitness.</w:t>
      </w:r>
    </w:p>
    <w:bookmarkEnd w:id="56"/>
    <w:bookmarkStart w:id="60" w:name="sec:sensitivity"/>
    <w:p>
      <w:pPr>
        <w:pStyle w:val="Heading2"/>
      </w:pPr>
      <w:r>
        <w:t xml:space="preserve">Sensitivity, transferability, and model parsimony</w:t>
      </w:r>
    </w:p>
    <w:bookmarkStart w:id="58" w:name="cross-condition-transferability."/>
    <w:p>
      <w:pPr>
        <w:pStyle w:val="Heading4"/>
      </w:pPr>
      <w:r>
        <w:t xml:space="preserve">Cross-condition transferability.</w:t>
      </w:r>
    </w:p>
    <w:p>
      <w:pPr>
        <w:pStyle w:val="FirstParagraph"/>
      </w:pPr>
      <w:r>
        <w:t xml:space="preserve">To test whether the inferred matrices capture genuine condition-specific structure, we evaluate each MAP on every other condition’s data (Table </w:t>
      </w:r>
      <w:hyperlink w:anchor="tab:cross_prediction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Within-state commensal transfer achieves CS</w:t>
      </w:r>
      <m:oMath>
        <m:r>
          <m:rPr>
            <m:sty m:val="p"/>
          </m:rPr>
          <m:t>→</m:t>
        </m:r>
      </m:oMath>
      <w:r>
        <w:t xml:space="preserve">CH </w:t>
      </w:r>
      <m:oMath>
        <m:r>
          <m:rPr>
            <m:sty m:val="p"/>
          </m:rPr>
          <m:t>=</m:t>
        </m:r>
      </m:oMath>
      <w:r>
        <w:t xml:space="preserve"> 0.098—</w:t>
      </w:r>
      <w:r>
        <w:rPr>
          <w:iCs/>
          <w:i/>
        </w:rPr>
        <w:t xml:space="preserve">below</w:t>
      </w:r>
      <w:r>
        <w:t xml:space="preserve"> </w:t>
      </w:r>
      <w:r>
        <w:t xml:space="preserve">CH self-prediction (0.104)—indicating a shared commensal interaction backbone that generalises across cultivation modes.</w:t>
      </w:r>
      <w:r>
        <w:t xml:space="preserve"> </w:t>
      </w:r>
      <w:r>
        <w:t xml:space="preserve">Cross-state transfers (DS</w:t>
      </w:r>
      <m:oMath>
        <m:r>
          <m:rPr>
            <m:sty m:val="p"/>
          </m:rPr>
          <m:t>→</m:t>
        </m:r>
      </m:oMath>
      <w:r>
        <w:t xml:space="preserve">CS: 0.384, CS</w:t>
      </w:r>
      <m:oMath>
        <m:r>
          <m:rPr>
            <m:sty m:val="p"/>
          </m:rPr>
          <m:t>→</m:t>
        </m:r>
      </m:oMath>
      <w:r>
        <w:t xml:space="preserve">DH: 0.198) degrade sharply, confirming that commensal and dysbiotic matrices are structurally distinct.</w:t>
      </w:r>
    </w:p>
    <w:bookmarkStart w:id="57" w:name="tab:cross_prediction"/>
    <w:p>
      <w:pPr>
        <w:pStyle w:val="TableCaption"/>
      </w:pPr>
      <w:r>
        <w:t xml:space="preserve">Cross-condition prediction RMSE. Diagonal (bold): self-prediction matches calibrated RMSE from 10000-particle TMCMC runs. CS</w:t>
      </w:r>
      <m:oMath>
        <m:r>
          <m:rPr>
            <m:sty m:val="p"/>
          </m:rPr>
          <m:t>→</m:t>
        </m:r>
      </m:oMath>
      <w:r>
        <w:t xml:space="preserve">CH (0.098) outperforms CH self-prediction (0.104), confirming a shared commensal interaction backbone across cultivation modes.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condition prediction RMSE. Diagonal (bold): self-prediction matches calibrated RMSE from 10000-particle TMCMC runs. CS\toCH (0.098) outperforms CH self-prediction (0.104), confirming a shared commensal interaction backbone across cultivation mod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  <w:r>
              <w:t xml:space="preserve"> </w:t>
            </w:r>
            <m:oMath>
              <m:r>
                <m:rPr>
                  <m:sty m:val="p"/>
                </m:rPr>
                <m:t>∖</m:t>
              </m:r>
            </m:oMath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0.087</w:t>
            </w:r>
          </w:p>
        </w:tc>
      </w:tr>
    </w:tbl>
    <w:bookmarkEnd w:id="57"/>
    <w:bookmarkEnd w:id="58"/>
    <w:bookmarkStart w:id="59" w:name="effective-dimensionality."/>
    <w:p>
      <w:pPr>
        <w:pStyle w:val="Heading4"/>
      </w:pPr>
      <w:r>
        <w:t xml:space="preserve">Effective dimensionality.</w:t>
      </w:r>
    </w:p>
    <w:p>
      <w:pPr>
        <w:pStyle w:val="FirstParagraph"/>
      </w:pPr>
      <w:r>
        <w:t xml:space="preserve">We quantify posterior informativeness as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 uniform baseline).</w:t>
      </w:r>
      <w:r>
        <w:t xml:space="preserve"> </w:t>
      </w:r>
      <w:r>
        <w:t xml:space="preserve">All 20 parameters satisfy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0.43</m:t>
        </m:r>
      </m:oMath>
      <w:r>
        <w:t xml:space="preserve"> </w:t>
      </w:r>
      <w:r>
        <w:t xml:space="preserve">in every condition, with DS achieving the tightest posteriors (mean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0.07</m:t>
        </m:r>
      </m:oMath>
      <w:r>
        <w:t xml:space="preserve">).</w:t>
      </w:r>
      <w:r>
        <w:t xml:space="preserve"> </w:t>
      </w:r>
      <w:r>
        <w:t xml:space="preserve">Even Pg-related parameters in commensal conditions satisfy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0.10</m:t>
        </m:r>
      </m:oMath>
      <w:r>
        <w:t xml:space="preserve">, confirming that the data constrain them to near-zero rather than leaving them prior-dominated.</w:t>
      </w:r>
      <w:r>
        <w:t xml:space="preserve"> </w:t>
      </w:r>
      <w:r>
        <w:t xml:space="preserve">The full 20-parameter model is therefore not over-parametrised.</w:t>
      </w:r>
    </w:p>
    <w:bookmarkEnd w:id="59"/>
    <w:bookmarkEnd w:id="60"/>
    <w:bookmarkEnd w:id="61"/>
    <w:bookmarkStart w:id="69" w:name="sec:discussion"/>
    <w:p>
      <w:pPr>
        <w:pStyle w:val="Heading1"/>
      </w:pPr>
      <w:r>
        <w:t xml:space="preserve">Discussion</w:t>
      </w:r>
    </w:p>
    <w:bookmarkStart w:id="62" w:name="biological-interpretation."/>
    <w:p>
      <w:pPr>
        <w:pStyle w:val="Heading4"/>
      </w:pPr>
      <w:r>
        <w:t xml:space="preserve">Biological interpretation.</w:t>
      </w:r>
    </w:p>
    <w:p>
      <w:pPr>
        <w:pStyle w:val="FirstParagraph"/>
      </w:pPr>
      <w:r>
        <w:t xml:space="preserve">The inferred interaction matrices map the commensal-to-dysbiotic transition quantitatively.</w:t>
      </w:r>
      <w:r>
        <w:t xml:space="preserve"> </w:t>
      </w:r>
      <w:r>
        <w:t xml:space="preserve">In commensal states, So–An co-aggregation and So–Vei lactate exchange form a stable mutualistic core; the transition to dysbiosis activates cooperative Vei</w:t>
      </w:r>
      <m:oMath>
        <m:r>
          <m:rPr>
            <m:sty m:val="p"/>
          </m:rPr>
          <m:t>→</m:t>
        </m:r>
      </m:oMath>
      <w:r>
        <w:t xml:space="preserve">Pg and Fn</w:t>
      </w:r>
      <m:oMath>
        <m:r>
          <m:rPr>
            <m:sty m:val="p"/>
          </m:rPr>
          <m:t>→</m:t>
        </m:r>
      </m:oMath>
      <w:r>
        <w:t xml:space="preserve">Pg pathways whose strength is cultivation-dependent.</w:t>
      </w:r>
      <w:r>
        <w:t xml:space="preserve"> </w:t>
      </w:r>
      <w:r>
        <w:t xml:space="preserve">The structural similarity within health states (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Table </w:t>
      </w:r>
      <w:hyperlink w:anchor="tab:pairwise">
        <w:r>
          <w:rPr>
            <w:rStyle w:val="Hyperlink"/>
          </w:rPr>
          <w:t xml:space="preserve">[tab:pairwise]</w:t>
        </w:r>
      </w:hyperlink>
      <w:r>
        <w:t xml:space="preserve">) contrasts with cross-state anticorrelations (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cross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), confirming that the health-to-disease shift is a topological reorganisation of the interaction network, not merely a magnitude rescaling.</w:t>
      </w:r>
      <w:r>
        <w:t xml:space="preserve"> </w:t>
      </w:r>
      <w:r>
        <w:t xml:space="preserve">The full discovery approach—estimating all 20 parameters without a priori locking—allows the posterior to recover the biologically expected sparsity in commensal conditions as an emergent property.</w:t>
      </w:r>
      <w:r>
        <w:t xml:space="preserve"> </w:t>
      </w:r>
      <w:r>
        <w:t xml:space="preserve">The cross-condition transferability analysis (Table </w:t>
      </w:r>
      <w:hyperlink w:anchor="tab:cross_prediction">
        <w:r>
          <w:rPr>
            <w:rStyle w:val="Hyperlink"/>
          </w:rPr>
          <w:t xml:space="preserve">3</w:t>
        </w:r>
      </w:hyperlink>
      <w:r>
        <w:t xml:space="preserve">) strengthens this interpretation: within-state MAP parameters generalise across cultivation modes (CS</w:t>
      </w:r>
      <m:oMath>
        <m:r>
          <m:rPr>
            <m:sty m:val="p"/>
          </m:rPr>
          <m:t>→</m:t>
        </m:r>
      </m:oMath>
      <w:r>
        <w:t xml:space="preserve">CH RMSE </w:t>
      </w:r>
      <m:oMath>
        <m:r>
          <m:rPr>
            <m:sty m:val="p"/>
          </m:rPr>
          <m:t>=</m:t>
        </m:r>
      </m:oMath>
      <w:r>
        <w:t xml:space="preserve"> 0.098, below CH self-prediction of 0.104), while cross-state transfers (DS</w:t>
      </w:r>
      <m:oMath>
        <m:r>
          <m:rPr>
            <m:sty m:val="p"/>
          </m:rPr>
          <m:t>→</m:t>
        </m:r>
      </m:oMath>
      <w:r>
        <w:t xml:space="preserve">CS: 0.384) fail, confirming that the health-to-disease transition requires a genuinely different interaction matrix rather than parameter rescaling.</w:t>
      </w:r>
    </w:p>
    <w:bookmarkEnd w:id="62"/>
    <w:bookmarkStart w:id="63" w:name="X867e35df45e8fb0ad022bdc2775757d6b0317e7"/>
    <w:p>
      <w:pPr>
        <w:pStyle w:val="Heading4"/>
      </w:pPr>
      <w:r>
        <w:t xml:space="preserve">In-vivo cross-cohort validation and strain-dependent interaction signs.</w:t>
      </w:r>
    </w:p>
    <w:p>
      <w:pPr>
        <w:pStyle w:val="FirstParagraph"/>
      </w:pPr>
      <w:r>
        <w:t xml:space="preserve">To test whether the inferred interaction structure generalises beyond controlled in-vitro conditions, we applied the framework to a 10-patient longitudinal in-vivo dataset </w:t>
      </w:r>
      <w:r>
        <w:t xml:space="preserve">(Dieckow et al. 2025)</w:t>
      </w:r>
      <w:r>
        <w:t xml:space="preserve">, distinct from the Heine cohort in both clinical context and specific strains employed—notably, the</w:t>
      </w:r>
      <w:r>
        <w:t xml:space="preserve"> </w:t>
      </w:r>
      <w:r>
        <w:rPr>
          <w:iCs/>
          <w:i/>
        </w:rPr>
        <w:t xml:space="preserve">Veillonella</w:t>
      </w:r>
      <w:r>
        <w:t xml:space="preserve"> </w:t>
      </w:r>
      <w:r>
        <w:t xml:space="preserve">representatives correspond to</w:t>
      </w:r>
      <w:r>
        <w:t xml:space="preserve"> </w:t>
      </w:r>
      <w:r>
        <w:rPr>
          <w:iCs/>
          <w:i/>
        </w:rPr>
        <w:t xml:space="preserve">V. dispar</w:t>
      </w:r>
      <w:r>
        <w:t xml:space="preserve"> </w:t>
      </w:r>
      <w:r>
        <w:t xml:space="preserve">rather than the</w:t>
      </w:r>
      <w:r>
        <w:t xml:space="preserve"> </w:t>
      </w:r>
      <w:r>
        <w:rPr>
          <w:iCs/>
          <w:i/>
        </w:rPr>
        <w:t xml:space="preserve">V. parvula</w:t>
      </w:r>
      <w:r>
        <w:t xml:space="preserve"> </w:t>
      </w:r>
      <w:r>
        <w:t xml:space="preserve">used in Heine et al.</w:t>
      </w:r>
      <w:r>
        <w:t xml:space="preserve"> </w:t>
      </w:r>
      <w:r>
        <w:t xml:space="preserve">A joint posterior over a shared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(15 parameters) and patient-specific growth vectors</w:t>
      </w:r>
      <w:r>
        <w:t xml:space="preserve"> </w:t>
      </w:r>
      <m:oMath>
        <m:sSup>
          <m:e>
            <m:r>
              <m:rPr>
                <m:sty m:val="b"/>
              </m:rP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</m:e>
            </m:d>
          </m:sup>
        </m:sSup>
      </m:oMath>
      <w:r>
        <w:t xml:space="preserve"> </w:t>
      </w:r>
      <w:r>
        <w:t xml:space="preserve">(</w:t>
      </w:r>
      <m:oMath>
        <m:r>
          <m:t>5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parameters; total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65</m:t>
        </m:r>
      </m:oMath>
      <w:r>
        <w:t xml:space="preserve">) was inferred by GPU-accelerated TMCMC 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, RW mutation, two sequential two-week forward simulations per patient), yielding MAP RMSE </w:t>
      </w:r>
      <m:oMath>
        <m:r>
          <m:rPr>
            <m:sty m:val="p"/>
          </m:rPr>
          <m:t>=</m:t>
        </m:r>
      </m:oMath>
      <w:r>
        <w:t xml:space="preserve"> 0.101 (flat prior) and 0.101 (Bergey sign prior) across all patients and prediction windows; the near-identical RMSE confirms that the sign prior shapes the interaction signs without degrading predictive accuracy.</w:t>
      </w:r>
    </w:p>
    <w:p>
      <w:pPr>
        <w:pStyle w:val="BodyText"/>
      </w:pPr>
      <w:r>
        <w:t xml:space="preserve">Comparing sign patterns across all five conditions (four Heine in-vitro, one Dieckow in-vivo), three mutualistic pairs are consistently positive in every condition: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(5/5),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(5/5), and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(5/5), establishing a robust mutualistic backbone that is conserved between in-vitro and in-vivo settings.</w:t>
      </w:r>
      <w:r>
        <w:t xml:space="preserve"> </w:t>
      </w:r>
      <w:r>
        <w:t xml:space="preserve">By contrast,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is positive in all four Heine conditions but reverses sign in the Dieckow in-vivo fit (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2.94</m:t>
        </m:r>
      </m:oMath>
      <w:r>
        <w:t xml:space="preserve">), persisting even under the soft Bergey sign prior.</w:t>
      </w:r>
      <w:r>
        <w:t xml:space="preserve"> </w:t>
      </w:r>
      <w:r>
        <w:t xml:space="preserve">This reversal is consistent with the strain substitution:</w:t>
      </w:r>
      <w:r>
        <w:t xml:space="preserve"> </w:t>
      </w:r>
      <w:r>
        <w:rPr>
          <w:iCs/>
          <w:i/>
        </w:rPr>
        <w:t xml:space="preserve">V. parvula</w:t>
      </w:r>
      <w:r>
        <w:t xml:space="preserve"> </w:t>
      </w:r>
      <w:r>
        <w:t xml:space="preserve">grows aerobically on lactate </w:t>
      </w:r>
      <w:r>
        <w:t xml:space="preserve">(Krieg et al. 2009)</w:t>
      </w:r>
      <w:r>
        <w:t xml:space="preserve">, sustaining the So</w:t>
      </w:r>
      <m:oMath>
        <m:r>
          <m:rPr>
            <m:sty m:val="p"/>
          </m:rPr>
          <m:t>→</m:t>
        </m:r>
      </m:oMath>
      <w:r>
        <w:t xml:space="preserve">Vei cross-feeding observed in vitro, whereas</w:t>
      </w:r>
      <w:r>
        <w:t xml:space="preserve"> </w:t>
      </w:r>
      <w:r>
        <w:rPr>
          <w:iCs/>
          <w:i/>
        </w:rPr>
        <w:t xml:space="preserve">V. dispar</w:t>
      </w:r>
      <w:r>
        <w:t xml:space="preserve"> </w:t>
      </w:r>
      <w:r>
        <w:t xml:space="preserve">exhibits a distinct metabolic profile </w:t>
      </w:r>
      <w:r>
        <w:t xml:space="preserve">(Rogosa 1964)</w:t>
      </w:r>
      <w:r>
        <w:t xml:space="preserve"> </w:t>
      </w:r>
      <w:r>
        <w:t xml:space="preserve">and appears to compete with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under in-vivo conditions.</w:t>
      </w:r>
      <w:r>
        <w:t xml:space="preserve"> </w:t>
      </w:r>
      <w:r>
        <w:t xml:space="preserve">The Bergey sign prior (half-normal penalty,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, for signs contradicting the Dieckow SI metabolic network) recovered the expected positive sign for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0.94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0.57</m:t>
        </m:r>
      </m:oMath>
      <w:r>
        <w:t xml:space="preserve">) but was overridden by the data signal for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d</m:t>
            </m:r>
          </m:sub>
        </m:sSub>
      </m:oMath>
      <w:r>
        <w:t xml:space="preserve">, suggesting this sign reversal is not an artefact of limited data but reflects a genuine ecological shift under in-vivo conditions.</w:t>
      </w:r>
      <w:r>
        <w:t xml:space="preserve"> </w:t>
      </w:r>
      <w:r>
        <w:t xml:space="preserve">Finally,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is negative only in the DH condition (Pg W83 virulent strain) and positive in all other settings—a pattern reproduced in the in-vivo fit—confirming that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-mediated</w:t>
      </w:r>
      <w:r>
        <w:t xml:space="preserve"> </w:t>
      </w:r>
      <w:r>
        <w:rPr>
          <w:iCs/>
          <w:i/>
        </w:rPr>
        <w:t xml:space="preserve">So</w:t>
      </w:r>
      <m:oMath>
        <m:r>
          <m:rPr>
            <m:sty m:val="p"/>
          </m:rPr>
          <m:t>→</m:t>
        </m:r>
      </m:oMath>
      <w:r>
        <w:rPr>
          <w:iCs/>
          <w:i/>
        </w:rPr>
        <w:t xml:space="preserve">Pg</w:t>
      </w:r>
      <w:r>
        <w:t xml:space="preserve"> </w:t>
      </w:r>
      <w:r>
        <w:t xml:space="preserve">inhibition is strain-specific and not a universal feature of the So–Pg interaction.</w:t>
      </w:r>
    </w:p>
    <w:bookmarkEnd w:id="63"/>
    <w:bookmarkStart w:id="66" w:name="fix-psi-approximation-and-phase-2."/>
    <w:p>
      <w:pPr>
        <w:pStyle w:val="Heading4"/>
      </w:pPr>
      <w:r>
        <w:t xml:space="preserve">Fix-</w:t>
      </w:r>
      <m:oMath>
        <m:r>
          <m:t>ψ</m:t>
        </m:r>
      </m:oMath>
      <w:r>
        <w:t xml:space="preserve"> </w:t>
      </w:r>
      <w:r>
        <w:t xml:space="preserve">approximation and Phase 2.</w:t>
      </w:r>
    </w:p>
    <w:p>
      <w:pPr>
        <w:pStyle w:val="FirstParagraph"/>
      </w:pPr>
      <w:r>
        <w:t xml:space="preserve">Eqs. 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–</w:t>
      </w:r>
      <w:hyperlink w:anchor="eq:psi_evol">
        <w:r>
          <w:rPr>
            <w:rStyle w:val="Hyperlink"/>
          </w:rPr>
          <w:t xml:space="preserve">[eq:psi_evol]</w:t>
        </w:r>
      </w:hyperlink>
      <w:r>
        <w:t xml:space="preserve"> </w:t>
      </w:r>
      <w:r>
        <w:t xml:space="preserve">couple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through the interaction matrix.</w:t>
      </w:r>
      <w:r>
        <w:t xml:space="preserve"> </w:t>
      </w:r>
      <w:r>
        <w:t xml:space="preserve">Fixing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breaks this coupling; Phase 2 restores it with the Phase 1 posterior as informative prior on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.</w:t>
      </w:r>
      <w:r>
        <w:t xml:space="preserve"> </w:t>
      </w:r>
      <w:r>
        <w:t xml:space="preserve">Figure </w:t>
      </w:r>
      <w:hyperlink w:anchor="fig:phase_scatter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compares the Phase 1 and Phase 2 MAP estimates parameter by parameter.</w:t>
      </w:r>
      <w:r>
        <w:t xml:space="preserve"> </w:t>
      </w:r>
      <w:r>
        <w:t xml:space="preserve">In commensal conditions, the two phases yield consistent MAPs (</w:t>
      </w:r>
      <m:oMath>
        <m:r>
          <m:t>r</m:t>
        </m:r>
        <m:r>
          <m:rPr>
            <m:sty m:val="p"/>
          </m:rPr>
          <m:t>=</m:t>
        </m:r>
        <m:r>
          <m:t>0.83</m:t>
        </m:r>
      </m:oMath>
      <w:r>
        <w:t xml:space="preserve">–</w:t>
      </w:r>
      <m:oMath>
        <m:r>
          <m:t>0.90</m:t>
        </m:r>
      </m:oMath>
      <w:r>
        <w:t xml:space="preserve">), confirming that the</w:t>
      </w:r>
      <w:r>
        <w:t xml:space="preserve"> </w:t>
      </w:r>
      <m:oMath>
        <m:r>
          <m:t>ψ</m:t>
        </m:r>
      </m:oMath>
      <w:r>
        <w:t xml:space="preserve">–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coupling is weak and fix-</w:t>
      </w:r>
      <m:oMath>
        <m:r>
          <m:t>ψ</m:t>
        </m:r>
      </m:oMath>
      <w:r>
        <w:t xml:space="preserve"> </w:t>
      </w:r>
      <w:r>
        <w:t xml:space="preserve">is a good approximation.</w:t>
      </w:r>
      <w:r>
        <w:t xml:space="preserve"> </w:t>
      </w:r>
      <w:r>
        <w:t xml:space="preserve">In dysbiotic conditions, the MAPs diverge (</w:t>
      </w:r>
      <m:oMath>
        <m:r>
          <m:t>r</m:t>
        </m:r>
        <m:r>
          <m:rPr>
            <m:sty m:val="p"/>
          </m:rPr>
          <m:t>=</m:t>
        </m:r>
        <m:r>
          <m:t>0.23</m:t>
        </m:r>
      </m:oMath>
      <w:r>
        <w:t xml:space="preserve"> </w:t>
      </w:r>
      <w:r>
        <w:t xml:space="preserve">for DS,</w:t>
      </w:r>
      <w:r>
        <w:t xml:space="preserve"> </w:t>
      </w:r>
      <m:oMath>
        <m:r>
          <m:t>0.62</m:t>
        </m:r>
      </m:oMath>
      <w:r>
        <w:t xml:space="preserve"> </w:t>
      </w:r>
      <w:r>
        <w:t xml:space="preserve">for DH), with the largest shifts in Pg-related parameters (</w:t>
      </w:r>
      <m:oMath>
        <m:sSub>
          <m:e>
            <m:r>
              <m:t>a</m:t>
            </m:r>
          </m:e>
          <m:sub>
            <m:r>
              <m:t>55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45</m:t>
            </m:r>
          </m:sub>
        </m:sSub>
      </m:oMath>
      <w:r>
        <w:t xml:space="preserve">)—precisely where the</w:t>
      </w:r>
      <w:r>
        <w:t xml:space="preserve"> </w:t>
      </w:r>
      <m:oMath>
        <m:r>
          <m:t>ψ</m:t>
        </m:r>
      </m:oMath>
      <w:r>
        <w:t xml:space="preserve">-dynamics are most active.</w:t>
      </w:r>
      <w:r>
        <w:t xml:space="preserve"> </w:t>
      </w:r>
      <w:r>
        <w:t xml:space="preserve">This condition-dependent consistency validates the two-phase strategy: Phase 1 provides a reliable starting point, and Phase 2 corrections are essential where viability dynamics couple non-negligibly to the interaction matrix.</w:t>
      </w:r>
      <w:r>
        <w:t xml:space="preserve"> </w:t>
      </w:r>
      <w:r>
        <w:t xml:space="preserve">The viability predictions themselves remain poor (RMSE 0.11–0.39), indicating that the</w:t>
      </w:r>
      <w:r>
        <w:t xml:space="preserve"> </w:t>
      </w:r>
      <m:oMath>
        <m:r>
          <m:t>ψ</m:t>
        </m:r>
      </m:oMath>
      <w:r>
        <w:t xml:space="preserve">-dynamics lack the mechanistic specificity to capture membrane-integrity loss independently; the viability channel serves primarily as a soft constraint to break the</w:t>
      </w:r>
      <w:r>
        <w:t xml:space="preserve"> </w:t>
      </w:r>
      <m:oMath>
        <m:r>
          <m:t>ψ</m:t>
        </m:r>
      </m:oMath>
      <w:r>
        <w:t xml:space="preserve">–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degeneracy.</w:t>
      </w:r>
    </w:p>
    <w:p>
      <w:pPr>
        <w:pStyle w:val="CaptionedFigure"/>
      </w:pPr>
      <w:bookmarkStart w:id="65" w:name="fig:phase_scatter"/>
      <w:r>
        <w:drawing>
          <wp:inline>
            <wp:extent cx="5334000" cy="1560142"/>
            <wp:effectExtent b="0" l="0" r="0" t="0"/>
            <wp:docPr descr="Phase 1 (fix-\psi) vs. Phase 2 (free \psi) MAP estimates. Each point is one of the 20 parameters; dashed line: identity. Commensal conditions (CS, CH) show strong agreement (r&gt;0.83), validating the fix-\psi approximation. Dysbiotic conditions (DS, DH) exhibit systematic shifts in Pg-related parameters, confirming the necessity of Phase 2." title="" id="1" name="Picture"/>
            <a:graphic>
              <a:graphicData uri="http://schemas.openxmlformats.org/drawingml/2006/picture">
                <pic:pic>
                  <pic:nvPicPr>
                    <pic:cNvPr descr="figures/phase1_vs_phase2_map.pd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0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Phase 1 (fix-</w:t>
      </w:r>
      <m:oMath>
        <m:r>
          <m:t>ψ</m:t>
        </m:r>
      </m:oMath>
      <w:r>
        <w:t xml:space="preserve">) vs. Phase 2 (free</w:t>
      </w:r>
      <w:r>
        <w:t xml:space="preserve"> </w:t>
      </w:r>
      <m:oMath>
        <m:r>
          <m:t>ψ</m:t>
        </m:r>
      </m:oMath>
      <w:r>
        <w:t xml:space="preserve">) MAP estimates. Each point is one of the 20 parameters; dashed line: identity. Commensal conditions (CS, CH) show strong agreement (</w:t>
      </w:r>
      <m:oMath>
        <m:r>
          <m:t>r</m:t>
        </m:r>
        <m:r>
          <m:rPr>
            <m:sty m:val="p"/>
          </m:rPr>
          <m:t>&gt;</m:t>
        </m:r>
        <m:r>
          <m:t>0.83</m:t>
        </m:r>
      </m:oMath>
      <w:r>
        <w:t xml:space="preserve">), validating the fix-</w:t>
      </w:r>
      <m:oMath>
        <m:r>
          <m:t>ψ</m:t>
        </m:r>
      </m:oMath>
      <w:r>
        <w:t xml:space="preserve"> </w:t>
      </w:r>
      <w:r>
        <w:t xml:space="preserve">approximation. Dysbiotic conditions (DS, DH) exhibit systematic shifts in Pg-related parameters, confirming the necessity of Phase 2.</w:t>
      </w:r>
    </w:p>
    <w:bookmarkEnd w:id="66"/>
    <w:bookmarkStart w:id="67" w:name="model-evidence."/>
    <w:p>
      <w:pPr>
        <w:pStyle w:val="Heading4"/>
      </w:pPr>
      <w:r>
        <w:t xml:space="preserve">Model evidence.</w:t>
      </w:r>
    </w:p>
    <w:p>
      <w:pPr>
        <w:pStyle w:val="FirstParagraph"/>
      </w:pPr>
      <w:r>
        <w:t xml:space="preserve">The log-evidence</w:t>
      </w:r>
      <w:r>
        <w:t xml:space="preserve"> </w:t>
      </w:r>
      <m:oMath>
        <m:r>
          <m:rPr>
            <m:sty m:val="p"/>
          </m:rPr>
          <m:t>ln</m:t>
        </m:r>
        <m:acc>
          <m:accPr>
            <m:chr m:val="̂"/>
          </m:accPr>
          <m:e>
            <m:r>
              <m:t>Z</m:t>
            </m:r>
          </m:e>
        </m:acc>
      </m:oMath>
      <w:r>
        <w:t xml:space="preserve"> </w:t>
      </w:r>
      <w:r>
        <w:t xml:space="preserve">(Table </w:t>
      </w:r>
      <w:hyperlink w:anchor="tab:rmse">
        <w:r>
          <w:rPr>
            <w:rStyle w:val="Hyperlink"/>
          </w:rPr>
          <w:t xml:space="preserve">1</w:t>
        </w:r>
      </w:hyperlink>
      <w:r>
        <w:t xml:space="preserve">) is higher for commensal conditions despite the same 20-parameter prior, because the posterior concentrates pathogen entries near zero, effectively reducing the Occam factor.</w:t>
      </w:r>
      <w:r>
        <w:t xml:space="preserve"> </w:t>
      </w:r>
      <w:r>
        <w:t xml:space="preserve">This evidence contrast provides a model-based signature of ecological complexity.</w:t>
      </w:r>
    </w:p>
    <w:bookmarkEnd w:id="67"/>
    <w:bookmarkStart w:id="68" w:name="computational-considerations."/>
    <w:p>
      <w:pPr>
        <w:pStyle w:val="Heading4"/>
      </w:pPr>
      <w:r>
        <w:t xml:space="preserve">Computational considerations.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GPU speedup (Table </w:t>
      </w:r>
      <w:hyperlink w:anchor="tab:timing">
        <w:r>
          <w:rPr>
            <w:rStyle w:val="Hyperlink"/>
          </w:rPr>
          <w:t xml:space="preserve">[tab:timing]</w:t>
        </w:r>
      </w:hyperlink>
      <w:r>
        <w:t xml:space="preserve">) exploits the embarrassingly parallel RW mutation via</w:t>
      </w:r>
      <w:r>
        <w:t xml:space="preserve"> </w:t>
      </w:r>
      <w:r>
        <w:rPr>
          <w:rStyle w:val="VerbatimChar"/>
        </w:rPr>
        <w:t xml:space="preserve">jax.vmap</w:t>
      </w:r>
      <w:r>
        <w:t xml:space="preserve">.</w:t>
      </w:r>
      <w:r>
        <w:t xml:space="preserve"> </w:t>
      </w:r>
      <w:r>
        <w:t xml:space="preserve">Gradient-based alternatives (NUTS, HMC) fail on GPU due to variable-length leapfrog trajectories causing warp divergence </w:t>
      </w:r>
      <w:r>
        <w:t xml:space="preserve">(Dance et al. 2025)</w:t>
      </w:r>
      <w:r>
        <w:t xml:space="preserve">.</w:t>
      </w:r>
      <w:r>
        <w:t xml:space="preserve"> </w:t>
      </w:r>
      <w:r>
        <w:t xml:space="preserve">Combining the direct-ODE approach with surrogate acceleration </w:t>
      </w:r>
      <w:r>
        <w:t xml:space="preserve">(Fritsch et al. 2025)</w:t>
      </w:r>
      <w:r>
        <w:t xml:space="preserve"> </w:t>
      </w:r>
      <w:r>
        <w:t xml:space="preserve">is a natural extension.</w:t>
      </w:r>
    </w:p>
    <w:bookmarkEnd w:id="68"/>
    <w:bookmarkEnd w:id="69"/>
    <w:bookmarkStart w:id="111" w:name="sec: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We have presented a GPU-accelerated Bayesian framework for estimating the interaction parameters of a five-species oral biofilm model.</w:t>
      </w:r>
      <w:r>
        <w:t xml:space="preserve"> </w:t>
      </w:r>
      <w:r>
        <w:t xml:space="preserve">The key contributions are: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Two-phase estimation with full discovery.</w:t>
      </w:r>
      <w:r>
        <w:t xml:space="preserve"> </w:t>
      </w:r>
      <w:r>
        <w:t xml:space="preserve">Phase 1 fixes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experimental viability data for rapid identification of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; Phase 2 releases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recovers the full joint posterior.</w:t>
      </w:r>
      <w:r>
        <w:t xml:space="preserve"> </w:t>
      </w:r>
      <w:r>
        <w:t xml:space="preserve">All 20 parameters are estimated without a priori locking; the posterior self-organises, recovering biologically expected sparsity in commensal conditions as an emergent property.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GPU-accelerated TMCMC.</w:t>
      </w:r>
      <w:r>
        <w:t xml:space="preserve"> </w:t>
      </w:r>
      <w:r>
        <w:t xml:space="preserve">Compiling the forward model via JAX and batching all particles on GPU (RTX 4090) achieves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speedup (Table </w:t>
      </w:r>
      <w:hyperlink w:anchor="tab:timing">
        <w:r>
          <w:rPr>
            <w:rStyle w:val="Hyperlink"/>
          </w:rPr>
          <w:t xml:space="preserve">[tab:timing]</w:t>
        </w:r>
      </w:hyperlink>
      <w:r>
        <w:t xml:space="preserve">), making production runs with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particles feasible.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Cross-condition validation.</w:t>
      </w:r>
      <w:r>
        <w:t xml:space="preserve"> </w:t>
      </w:r>
      <w:r>
        <w:t xml:space="preserve">The framework reproduces commensal homeostasis (CS, CH), moderate dysbiosis (DS), and the non-linear pathogen surge (DH).</w:t>
      </w:r>
      <w:r>
        <w:t xml:space="preserve"> </w:t>
      </w:r>
      <w:r>
        <w:t xml:space="preserve">Independent validation against unused pH, gingipain, and metabolic data confirms mechanistic consistency.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Quantitative interaction comparison.</w:t>
      </w:r>
      <w:r>
        <w:t xml:space="preserve"> </w:t>
      </w:r>
      <w:r>
        <w:t xml:space="preserve">Pairwise Frobenius analysis reveals that the health-to-disease transition corresponds to a structural reorganisation of the interaction matrix, not merely a magnitude shift.</w:t>
      </w:r>
      <w:r>
        <w:t xml:space="preserve"> </w:t>
      </w:r>
      <w:r>
        <w:t xml:space="preserve">Cross-condition transfer predictions confirm that within-state interaction backbones generalise across cultivation modes.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Model parsimony.</w:t>
      </w:r>
      <w:r>
        <w:t xml:space="preserve"> </w:t>
      </w:r>
      <w:r>
        <w:t xml:space="preserve">Effective dimensionality analysis confirms that all 20 parameters are data-informed in every condition (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0.43</m:t>
        </m:r>
      </m:oMath>
      <w:r>
        <w:t xml:space="preserve">), justifying the full-discovery approach without a priori parameter reduction.</w:t>
      </w:r>
    </w:p>
    <w:bookmarkStart w:id="110" w:name="future-work."/>
    <w:p>
      <w:pPr>
        <w:pStyle w:val="Heading4"/>
      </w:pPr>
      <w:r>
        <w:t xml:space="preserve">Future work.</w:t>
      </w:r>
    </w:p>
    <w:p>
      <w:pPr>
        <w:numPr>
          <w:ilvl w:val="0"/>
          <w:numId w:val="1003"/>
        </w:numPr>
      </w:pPr>
      <w:r>
        <w:t xml:space="preserve">State-dependent interaction matrices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to capture the full terminal pathogen surge.</w:t>
      </w:r>
    </w:p>
    <w:p>
      <w:pPr>
        <w:numPr>
          <w:ilvl w:val="0"/>
          <w:numId w:val="1003"/>
        </w:numPr>
      </w:pPr>
      <w:r>
        <w:t xml:space="preserve">Integration with continuum PDE models for spatially resolved inference </w:t>
      </w:r>
      <w:r>
        <w:t xml:space="preserve">(Klempt et al. 2025)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Surrogate-accelerated TMCMC with Bayesian neural operators </w:t>
      </w:r>
      <w:r>
        <w:t xml:space="preserve">(Garg, Chakraborty, and Mahadevan 2025)</w:t>
      </w:r>
      <w:r>
        <w:t xml:space="preserve"> </w:t>
      </w:r>
      <w:r>
        <w:t xml:space="preserve">for larger particle ensembles.</w:t>
      </w:r>
    </w:p>
    <w:p>
      <w:pPr>
        <w:numPr>
          <w:ilvl w:val="0"/>
          <w:numId w:val="1003"/>
        </w:numPr>
      </w:pPr>
      <w:r>
        <w:t xml:space="preserve">Virtual element discretisation </w:t>
      </w:r>
      <w:r>
        <w:t xml:space="preserve">(Klempt et al. 2024)</w:t>
      </w:r>
      <w:r>
        <w:t xml:space="preserve"> </w:t>
      </w:r>
      <w:r>
        <w:t xml:space="preserve">for conformal biofilm–implant interface meshing.</w:t>
      </w:r>
    </w:p>
    <w:p>
      <w:pPr>
        <w:numPr>
          <w:ilvl w:val="0"/>
          <w:numId w:val="1003"/>
        </w:numPr>
      </w:pPr>
      <w:r>
        <w:t xml:space="preserve">Extension to six-species communities using the independent Siddiqui et al. </w:t>
      </w:r>
      <w:r>
        <w:t xml:space="preserve">(Siddiqui et al. 2022)</w:t>
      </w:r>
      <w:r>
        <w:t xml:space="preserve"> </w:t>
      </w:r>
      <w:r>
        <w:t xml:space="preserve">21-day titanium surface dataset, which includes</w:t>
      </w:r>
      <w:r>
        <w:t xml:space="preserve"> </w:t>
      </w:r>
      <w:r>
        <w:rPr>
          <w:iCs/>
          <w:i/>
        </w:rPr>
        <w:t xml:space="preserve">Aggregatibacter actinomycetemcomitans</w:t>
      </w:r>
      <w:r>
        <w:t xml:space="preserve"> </w:t>
      </w:r>
      <w:r>
        <w:t xml:space="preserve">absent from the current five-species model.</w:t>
      </w:r>
    </w:p>
    <w:bookmarkStart w:id="109" w:name="refs"/>
    <w:bookmarkStart w:id="70" w:name="ref-Betz2016TMCMC"/>
    <w:p>
      <w:pPr>
        <w:pStyle w:val="Bibliography"/>
      </w:pPr>
      <w:r>
        <w:t xml:space="preserve">Betz, Wolfgang, Iason Papaioannou, and Daniel Straub. 2016.</w:t>
      </w:r>
      <w:r>
        <w:t xml:space="preserve"> </w:t>
      </w:r>
      <w:r>
        <w:t xml:space="preserve">“Transitional</w:t>
      </w:r>
      <w:r>
        <w:t xml:space="preserve"> </w:t>
      </w:r>
      <w:r>
        <w:t xml:space="preserve">Markov</w:t>
      </w:r>
      <w:r>
        <w:t xml:space="preserve"> </w:t>
      </w:r>
      <w:r>
        <w:t xml:space="preserve">Chain</w:t>
      </w:r>
      <w:r>
        <w:t xml:space="preserve"> </w:t>
      </w:r>
      <w:r>
        <w:t xml:space="preserve">Monte</w:t>
      </w:r>
      <w:r>
        <w:t xml:space="preserve"> </w:t>
      </w:r>
      <w:r>
        <w:t xml:space="preserve">Carlo</w:t>
      </w:r>
      <w:r>
        <w:t xml:space="preserve">: Observations and Improvements.”</w:t>
      </w:r>
      <w:r>
        <w:t xml:space="preserve"> </w:t>
      </w:r>
      <w:r>
        <w:rPr>
          <w:iCs/>
          <w:i/>
        </w:rPr>
        <w:t xml:space="preserve">Journal of Engineering Mechanics</w:t>
      </w:r>
      <w:r>
        <w:t xml:space="preserve"> </w:t>
      </w:r>
      <w:r>
        <w:t xml:space="preserve">142 (5): 04016016.</w:t>
      </w:r>
    </w:p>
    <w:bookmarkEnd w:id="70"/>
    <w:bookmarkStart w:id="72" w:name="ref-jax2018github"/>
    <w:p>
      <w:pPr>
        <w:pStyle w:val="Bibliography"/>
      </w:pPr>
      <w:r>
        <w:t xml:space="preserve">Bradbury, James, Roy Frostig, Peter Hawkins, Matthew James Johnson, Chris Leary, Dougal Maclaurin, George Necula, et al. 2018.</w:t>
      </w:r>
      <w:r>
        <w:t xml:space="preserve"> </w:t>
      </w:r>
      <w:r>
        <w:rPr>
          <w:iCs/>
          <w:i/>
        </w:rPr>
        <w:t xml:space="preserve">JAX</w:t>
      </w:r>
      <w:r>
        <w:rPr>
          <w:iCs/>
          <w:i/>
        </w:rPr>
        <w:t xml:space="preserve">: Composable Transformations of</w:t>
      </w:r>
      <w:r>
        <w:rPr>
          <w:iCs/>
          <w:i/>
        </w:rPr>
        <w:t xml:space="preserve"> </w:t>
      </w:r>
      <w:r>
        <w:rPr>
          <w:iCs/>
          <w:i/>
        </w:rPr>
        <w:t xml:space="preserve">P</w:t>
      </w:r>
      <w:r>
        <w:rPr>
          <w:iCs/>
          <w:i/>
        </w:rPr>
        <w:t xml:space="preserve">ython+</w:t>
      </w:r>
      <w:r>
        <w:rPr>
          <w:iCs/>
          <w:i/>
        </w:rPr>
        <w:t xml:space="preserve">N</w:t>
      </w:r>
      <w:r>
        <w:rPr>
          <w:iCs/>
          <w:i/>
        </w:rPr>
        <w:t xml:space="preserve">um</w:t>
      </w:r>
      <w:r>
        <w:rPr>
          <w:iCs/>
          <w:i/>
        </w:rPr>
        <w:t xml:space="preserve">P</w:t>
      </w:r>
      <w:r>
        <w:rPr>
          <w:iCs/>
          <w:i/>
        </w:rPr>
        <w:t xml:space="preserve">y Programs</w:t>
      </w:r>
      <w:r>
        <w:t xml:space="preserve"> </w:t>
      </w:r>
      <w:r>
        <w:t xml:space="preserve">(version 0.9.0).</w:t>
      </w:r>
      <w:r>
        <w:t xml:space="preserve"> </w:t>
      </w:r>
      <w:hyperlink r:id="rId71">
        <w:r>
          <w:rPr>
            <w:rStyle w:val="Hyperlink"/>
          </w:rPr>
          <w:t xml:space="preserve">http://github.com/jax-ml/jax</w:t>
        </w:r>
      </w:hyperlink>
      <w:r>
        <w:t xml:space="preserve">.</w:t>
      </w:r>
    </w:p>
    <w:bookmarkEnd w:id="72"/>
    <w:bookmarkStart w:id="73" w:name="ref-ChingChen2007TMCMC"/>
    <w:p>
      <w:pPr>
        <w:pStyle w:val="Bibliography"/>
      </w:pPr>
      <w:r>
        <w:t xml:space="preserve">Ching, Jianye, and Yi-Chu Chen. 2007.</w:t>
      </w:r>
      <w:r>
        <w:t xml:space="preserve"> </w:t>
      </w:r>
      <w:r>
        <w:t xml:space="preserve">“Transitional</w:t>
      </w:r>
      <w:r>
        <w:t xml:space="preserve"> </w:t>
      </w:r>
      <w:r>
        <w:t xml:space="preserve">Markov</w:t>
      </w:r>
      <w:r>
        <w:t xml:space="preserve"> </w:t>
      </w:r>
      <w:r>
        <w:t xml:space="preserve">Chain</w:t>
      </w:r>
      <w:r>
        <w:t xml:space="preserve"> </w:t>
      </w:r>
      <w:r>
        <w:t xml:space="preserve">Monte</w:t>
      </w:r>
      <w:r>
        <w:t xml:space="preserve"> </w:t>
      </w:r>
      <w:r>
        <w:t xml:space="preserve">Carlo</w:t>
      </w:r>
      <w:r>
        <w:t xml:space="preserve"> </w:t>
      </w:r>
      <w:r>
        <w:t xml:space="preserve">Method for</w:t>
      </w:r>
      <w:r>
        <w:t xml:space="preserve"> </w:t>
      </w:r>
      <w:r>
        <w:t xml:space="preserve">Bayesian</w:t>
      </w:r>
      <w:r>
        <w:t xml:space="preserve"> </w:t>
      </w:r>
      <w:r>
        <w:t xml:space="preserve">Model Updating, Model Class Selection, and Model Averaging.”</w:t>
      </w:r>
      <w:r>
        <w:t xml:space="preserve"> </w:t>
      </w:r>
      <w:r>
        <w:rPr>
          <w:iCs/>
          <w:i/>
        </w:rPr>
        <w:t xml:space="preserve">Journal of Engineering Mechanics</w:t>
      </w:r>
      <w:r>
        <w:t xml:space="preserve"> </w:t>
      </w:r>
      <w:r>
        <w:t xml:space="preserve">133 (7): 816–32.</w:t>
      </w:r>
    </w:p>
    <w:bookmarkEnd w:id="73"/>
    <w:bookmarkStart w:id="75" w:name="ref-Chopin2002SMC"/>
    <w:p>
      <w:pPr>
        <w:pStyle w:val="Bibliography"/>
      </w:pPr>
      <w:r>
        <w:t xml:space="preserve">Chopin, Nicolas. 2002.</w:t>
      </w:r>
      <w:r>
        <w:t xml:space="preserve"> </w:t>
      </w:r>
      <w:r>
        <w:t xml:space="preserve">“A Sequential Particle Filter Method for Static Models.”</w:t>
      </w:r>
      <w:r>
        <w:t xml:space="preserve"> </w:t>
      </w:r>
      <w:r>
        <w:rPr>
          <w:iCs/>
          <w:i/>
        </w:rPr>
        <w:t xml:space="preserve">Biometrika</w:t>
      </w:r>
      <w:r>
        <w:t xml:space="preserve"> </w:t>
      </w:r>
      <w:r>
        <w:t xml:space="preserve">89 (3): 539–51.</w:t>
      </w:r>
      <w:r>
        <w:t xml:space="preserve"> </w:t>
      </w:r>
      <w:hyperlink r:id="rId74">
        <w:r>
          <w:rPr>
            <w:rStyle w:val="Hyperlink"/>
          </w:rPr>
          <w:t xml:space="preserve">https://doi.org/10.1093/biomet/89.3.539</w:t>
        </w:r>
      </w:hyperlink>
      <w:r>
        <w:t xml:space="preserve">.</w:t>
      </w:r>
    </w:p>
    <w:bookmarkEnd w:id="75"/>
    <w:bookmarkStart w:id="76" w:name="ref-Dance2025FSM"/>
    <w:p>
      <w:pPr>
        <w:pStyle w:val="Bibliography"/>
      </w:pPr>
      <w:r>
        <w:t xml:space="preserve">Dance, Hugh, Pierre Glaser, Peter Orbanz, and Ryan P. Adams. 2025.</w:t>
      </w:r>
      <w:r>
        <w:t xml:space="preserve"> </w:t>
      </w:r>
      <w:r>
        <w:t xml:space="preserve">“Efficiently Vectorized</w:t>
      </w:r>
      <w:r>
        <w:t xml:space="preserve"> </w:t>
      </w:r>
      <w:r>
        <w:t xml:space="preserve">MCMC</w:t>
      </w:r>
      <w:r>
        <w:t xml:space="preserve"> </w:t>
      </w:r>
      <w:r>
        <w:t xml:space="preserve">on Modern Accelerators.”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ICML 2025 Spotlight</w:t>
      </w:r>
      <w:r>
        <w:t xml:space="preserve">.</w:t>
      </w:r>
    </w:p>
    <w:bookmarkEnd w:id="76"/>
    <w:bookmarkStart w:id="77" w:name="ref-DelMoral2006SMC"/>
    <w:p>
      <w:pPr>
        <w:pStyle w:val="Bibliography"/>
      </w:pPr>
      <w:r>
        <w:t xml:space="preserve">Del Moral, Pierre, Arnaud Doucet, and Ajay Jasra. 2006.</w:t>
      </w:r>
      <w:r>
        <w:t xml:space="preserve"> </w:t>
      </w:r>
      <w:r>
        <w:t xml:space="preserve">“Sequential</w:t>
      </w:r>
      <w:r>
        <w:t xml:space="preserve"> </w:t>
      </w:r>
      <w:r>
        <w:t xml:space="preserve">Monte</w:t>
      </w:r>
      <w:r>
        <w:t xml:space="preserve"> </w:t>
      </w:r>
      <w:r>
        <w:t xml:space="preserve">Carlo</w:t>
      </w:r>
      <w:r>
        <w:t xml:space="preserve"> </w:t>
      </w:r>
      <w:r>
        <w:t xml:space="preserve">Samplers.”</w:t>
      </w:r>
      <w:r>
        <w:t xml:space="preserve"> </w:t>
      </w:r>
      <w:r>
        <w:rPr>
          <w:iCs/>
          <w:i/>
        </w:rPr>
        <w:t xml:space="preserve">Journal of the Royal Statistical Society: Series B</w:t>
      </w:r>
      <w:r>
        <w:t xml:space="preserve"> </w:t>
      </w:r>
      <w:r>
        <w:t xml:space="preserve">68 (3): 411–36.</w:t>
      </w:r>
    </w:p>
    <w:bookmarkEnd w:id="77"/>
    <w:bookmarkStart w:id="78" w:name="ref-Dieckow2025InVivo"/>
    <w:p>
      <w:pPr>
        <w:pStyle w:val="Bibliography"/>
      </w:pPr>
      <w:r>
        <w:t xml:space="preserve">Dieckow, Julia et al. 2025.</w:t>
      </w:r>
      <w:r>
        <w:t xml:space="preserve"> </w:t>
      </w:r>
      <w:r>
        <w:t xml:space="preserve">“Early Peri-Implant Biofilm Formation: A Longitudinal Multi-Patient in-Vivo Characterisation.”</w:t>
      </w:r>
      <w:r>
        <w:t xml:space="preserve"> </w:t>
      </w:r>
      <w:r>
        <w:rPr>
          <w:iCs/>
          <w:i/>
        </w:rPr>
        <w:t xml:space="preserve">Npj Biofilms and Microbiomes</w:t>
      </w:r>
      <w:r>
        <w:t xml:space="preserve">.</w:t>
      </w:r>
    </w:p>
    <w:bookmarkEnd w:id="78"/>
    <w:bookmarkStart w:id="80" w:name="ref-Fritsch2025BayesianMicrofilms"/>
    <w:p>
      <w:pPr>
        <w:pStyle w:val="Bibliography"/>
      </w:pPr>
      <w:r>
        <w:t xml:space="preserve">Fritsch, Lukas, Hendrik Geisler, Jan Grashorn, Felix Klempt, Meisam Soleimani, Matteo Broggi, Philipp Junker, and Michael Beer. 2025.</w:t>
      </w:r>
      <w:r>
        <w:t xml:space="preserve"> </w:t>
      </w:r>
      <w:r>
        <w:t xml:space="preserve">“Bayesian Updating of Constitutive Parameters Under Hybrid Uncertainties with a Novel Surrogate Model Applied to Biofilms.”</w:t>
      </w:r>
      <w:r>
        <w:t xml:space="preserve"> </w:t>
      </w:r>
      <w:r>
        <w:rPr>
          <w:iCs/>
          <w:i/>
        </w:rPr>
        <w:t xml:space="preserve">arXiv Preprint arXiv:2512.15145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https://arxiv.org/abs/2512.15145</w:t>
        </w:r>
      </w:hyperlink>
      <w:r>
        <w:t xml:space="preserve">.</w:t>
      </w:r>
    </w:p>
    <w:bookmarkEnd w:id="80"/>
    <w:bookmarkStart w:id="81" w:name="ref-AlphaVIDeepONet2025"/>
    <w:p>
      <w:pPr>
        <w:pStyle w:val="Bibliography"/>
      </w:pPr>
      <w:r>
        <w:t xml:space="preserve">Garg, Somnath, Souvik Chakraborty, and Sankaran Mahadevan. 2025.</w:t>
      </w:r>
      <w:r>
        <w:t xml:space="preserve"> </w:t>
      </w:r>
      <w:r>
        <w:t xml:space="preserve">“</w:t>
      </w:r>
      <m:oMath>
        <m:r>
          <m:t>α</m:t>
        </m:r>
      </m:oMath>
      <w:r>
        <w:t xml:space="preserve">-</w:t>
      </w:r>
      <w:r>
        <w:t xml:space="preserve">VI</w:t>
      </w:r>
      <w:r>
        <w:t xml:space="preserve"> </w:t>
      </w:r>
      <w:r>
        <w:t xml:space="preserve">DeepONet</w:t>
      </w:r>
      <w:r>
        <w:t xml:space="preserve">: A Prior-Robust Variational</w:t>
      </w:r>
      <w:r>
        <w:t xml:space="preserve"> </w:t>
      </w:r>
      <w:r>
        <w:t xml:space="preserve">Bayesian</w:t>
      </w:r>
      <w:r>
        <w:t xml:space="preserve"> </w:t>
      </w:r>
      <w:r>
        <w:t xml:space="preserve">Approach for Enhancing</w:t>
      </w:r>
      <w:r>
        <w:t xml:space="preserve"> </w:t>
      </w:r>
      <w:r>
        <w:t xml:space="preserve">DeepONets</w:t>
      </w:r>
      <w:r>
        <w:t xml:space="preserve"> </w:t>
      </w:r>
      <w:r>
        <w:t xml:space="preserve">with Uncertainty Quantification.”</w:t>
      </w:r>
      <w:r>
        <w:t xml:space="preserve"> </w:t>
      </w:r>
      <w:r>
        <w:rPr>
          <w:iCs/>
          <w:i/>
        </w:rPr>
        <w:t xml:space="preserve">Computer Methods in Applied Mechanics and Engineering</w:t>
      </w:r>
      <w:r>
        <w:t xml:space="preserve">.</w:t>
      </w:r>
    </w:p>
    <w:bookmarkEnd w:id="81"/>
    <w:bookmarkStart w:id="83" w:name="ref-Heine2025PeriImplant"/>
    <w:p>
      <w:pPr>
        <w:pStyle w:val="Bibliography"/>
      </w:pPr>
      <w:r>
        <w:t xml:space="preserve">Heine, Nils, Kristina Bittroff, Szymon P. Szafranski, et al. 2025.</w:t>
      </w:r>
      <w:r>
        <w:t xml:space="preserve"> </w:t>
      </w:r>
      <w:r>
        <w:t xml:space="preserve">“Influence of Species Composition and Cultivation Condition on Peri-Implant Biofilm Dysbiosis in Vitro.”</w:t>
      </w:r>
      <w:r>
        <w:t xml:space="preserve"> </w:t>
      </w:r>
      <w:r>
        <w:rPr>
          <w:iCs/>
          <w:i/>
        </w:rPr>
        <w:t xml:space="preserve">Frontiers in Oral Health</w:t>
      </w:r>
      <w:r>
        <w:t xml:space="preserve"> </w:t>
      </w:r>
      <w:r>
        <w:t xml:space="preserve">6.</w:t>
      </w:r>
      <w:r>
        <w:t xml:space="preserve"> </w:t>
      </w:r>
      <w:hyperlink r:id="rId82">
        <w:r>
          <w:rPr>
            <w:rStyle w:val="Hyperlink"/>
          </w:rPr>
          <w:t xml:space="preserve">https://doi.org/10.3389/froh.2025.1649419</w:t>
        </w:r>
      </w:hyperlink>
      <w:r>
        <w:t xml:space="preserve">.</w:t>
      </w:r>
    </w:p>
    <w:bookmarkEnd w:id="83"/>
    <w:bookmarkStart w:id="85" w:name="ref-JunkerBalzani2021ExtendedHamilton"/>
    <w:p>
      <w:pPr>
        <w:pStyle w:val="Bibliography"/>
      </w:pPr>
      <w:r>
        <w:t xml:space="preserve">Junker, Philipp, and Daniel Balzani. 2021.</w:t>
      </w:r>
      <w:r>
        <w:t xml:space="preserve"> </w:t>
      </w:r>
      <w:r>
        <w:t xml:space="preserve">“An Extended</w:t>
      </w:r>
      <w:r>
        <w:t xml:space="preserve"> </w:t>
      </w:r>
      <w:r>
        <w:t xml:space="preserve">Hamilton</w:t>
      </w:r>
      <w:r>
        <w:t xml:space="preserve"> </w:t>
      </w:r>
      <w:r>
        <w:t xml:space="preserve">Principle as Unifying Theory for Coupled Problems and Dissipative Microstructure Evolution.”</w:t>
      </w:r>
      <w:r>
        <w:t xml:space="preserve"> </w:t>
      </w:r>
      <w:r>
        <w:rPr>
          <w:iCs/>
          <w:i/>
        </w:rPr>
        <w:t xml:space="preserve">Continuum Mechanics and Thermodynamics</w:t>
      </w:r>
      <w:r>
        <w:t xml:space="preserve"> </w:t>
      </w:r>
      <w:r>
        <w:t xml:space="preserve">33 (4): 1931–56.</w:t>
      </w:r>
      <w:r>
        <w:t xml:space="preserve"> </w:t>
      </w:r>
      <w:hyperlink r:id="rId84">
        <w:r>
          <w:rPr>
            <w:rStyle w:val="Hyperlink"/>
          </w:rPr>
          <w:t xml:space="preserve">https://doi.org/10.1007/s00161-021-01017-z</w:t>
        </w:r>
      </w:hyperlink>
      <w:r>
        <w:t xml:space="preserve">.</w:t>
      </w:r>
    </w:p>
    <w:bookmarkEnd w:id="85"/>
    <w:bookmarkStart w:id="87" w:name="ref-JunkerBodeHackl2025Holistic"/>
    <w:p>
      <w:pPr>
        <w:pStyle w:val="Bibliography"/>
      </w:pPr>
      <w:r>
        <w:t xml:space="preserve">Junker, Philipp, Tobias Bode, and Klaus Hackl. 2025.</w:t>
      </w:r>
      <w:r>
        <w:t xml:space="preserve"> </w:t>
      </w:r>
      <w:r>
        <w:t xml:space="preserve">“On a Holistic Variational Formulation for Material Modeling Including Dissipative Evolution.”</w:t>
      </w:r>
      <w:r>
        <w:t xml:space="preserve"> </w:t>
      </w:r>
      <w:r>
        <w:rPr>
          <w:iCs/>
          <w:i/>
        </w:rPr>
        <w:t xml:space="preserve">Journal of the Mechanics and Physics of Solids</w:t>
      </w:r>
      <w:r>
        <w:t xml:space="preserve"> </w:t>
      </w:r>
      <w:r>
        <w:t xml:space="preserve">200: 106133.</w:t>
      </w:r>
      <w:r>
        <w:t xml:space="preserve"> </w:t>
      </w:r>
      <w:hyperlink r:id="rId86">
        <w:r>
          <w:rPr>
            <w:rStyle w:val="Hyperlink"/>
          </w:rPr>
          <w:t xml:space="preserve">https://doi.org/10.1016/j.jmps.2025.106133</w:t>
        </w:r>
      </w:hyperlink>
      <w:r>
        <w:t xml:space="preserve">.</w:t>
      </w:r>
    </w:p>
    <w:bookmarkEnd w:id="87"/>
    <w:bookmarkStart w:id="89" w:name="ref-KassRaftery1995BayesFactor"/>
    <w:p>
      <w:pPr>
        <w:pStyle w:val="Bibliography"/>
      </w:pPr>
      <w:r>
        <w:t xml:space="preserve">Kass, Robert E., and Adrian E. Raftery. 1995.</w:t>
      </w:r>
      <w:r>
        <w:t xml:space="preserve"> </w:t>
      </w:r>
      <w:r>
        <w:t xml:space="preserve">“Bayes Factors.”</w:t>
      </w:r>
      <w:r>
        <w:t xml:space="preserve"> </w:t>
      </w:r>
      <w:r>
        <w:rPr>
          <w:iCs/>
          <w:i/>
        </w:rPr>
        <w:t xml:space="preserve">Journal of the American Statistical Association</w:t>
      </w:r>
      <w:r>
        <w:t xml:space="preserve"> </w:t>
      </w:r>
      <w:r>
        <w:t xml:space="preserve">90 (430): 773–95.</w:t>
      </w:r>
      <w:r>
        <w:t xml:space="preserve"> </w:t>
      </w:r>
      <w:hyperlink r:id="rId88">
        <w:r>
          <w:rPr>
            <w:rStyle w:val="Hyperlink"/>
          </w:rPr>
          <w:t xml:space="preserve">https://doi.org/10.1080/01621459.1995.10476572</w:t>
        </w:r>
      </w:hyperlink>
      <w:r>
        <w:t xml:space="preserve">.</w:t>
      </w:r>
    </w:p>
    <w:bookmarkEnd w:id="89"/>
    <w:bookmarkStart w:id="91" w:name="ref-Klempt2025ContinuumBiofilm"/>
    <w:p>
      <w:pPr>
        <w:pStyle w:val="Bibliography"/>
      </w:pPr>
      <w:r>
        <w:t xml:space="preserve">Klempt, Felix, Hendrik Geisler, Meisam Soleimani, and Philipp Junker. 2025.</w:t>
      </w:r>
      <w:r>
        <w:t xml:space="preserve"> </w:t>
      </w:r>
      <w:r>
        <w:t xml:space="preserve">“A Continuum Multi-Species Biofilm Model with a Novel Interaction Scheme.”</w:t>
      </w:r>
      <w:r>
        <w:t xml:space="preserve"> </w:t>
      </w:r>
      <w:r>
        <w:rPr>
          <w:iCs/>
          <w:i/>
        </w:rPr>
        <w:t xml:space="preserve">arXiv Preprint arXiv:2509.01274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https://arxiv.org/abs/2509.01274</w:t>
        </w:r>
      </w:hyperlink>
      <w:r>
        <w:t xml:space="preserve">.</w:t>
      </w:r>
    </w:p>
    <w:bookmarkEnd w:id="91"/>
    <w:bookmarkStart w:id="93" w:name="ref-Klempt2024ContinuumGrowth"/>
    <w:p>
      <w:pPr>
        <w:pStyle w:val="Bibliography"/>
      </w:pPr>
      <w:r>
        <w:t xml:space="preserve">Klempt, Felix, Meisam Soleimani, Peter Wriggers, and Philipp Junker. 2024.</w:t>
      </w:r>
      <w:r>
        <w:t xml:space="preserve"> </w:t>
      </w:r>
      <w:r>
        <w:t xml:space="preserve">“A</w:t>
      </w:r>
      <w:r>
        <w:t xml:space="preserve"> </w:t>
      </w:r>
      <w:r>
        <w:t xml:space="preserve">Hamilton</w:t>
      </w:r>
      <w:r>
        <w:t xml:space="preserve"> </w:t>
      </w:r>
      <w:r>
        <w:t xml:space="preserve">Principle-Based Model for Diffusion-Driven Biofilm Growth.”</w:t>
      </w:r>
      <w:r>
        <w:t xml:space="preserve"> </w:t>
      </w:r>
      <w:r>
        <w:rPr>
          <w:iCs/>
          <w:i/>
        </w:rPr>
        <w:t xml:space="preserve">Biomechanics and Modeling in Mechanobiology</w:t>
      </w:r>
      <w:r>
        <w:t xml:space="preserve"> </w:t>
      </w:r>
      <w:r>
        <w:t xml:space="preserve">23 (6): 2091–2113.</w:t>
      </w:r>
      <w:r>
        <w:t xml:space="preserve"> </w:t>
      </w:r>
      <w:hyperlink r:id="rId92">
        <w:r>
          <w:rPr>
            <w:rStyle w:val="Hyperlink"/>
          </w:rPr>
          <w:t xml:space="preserve">https://doi.org/10.1007/s10237-024-01883-x</w:t>
        </w:r>
      </w:hyperlink>
      <w:r>
        <w:t xml:space="preserve">.</w:t>
      </w:r>
    </w:p>
    <w:bookmarkEnd w:id="93"/>
    <w:bookmarkStart w:id="94" w:name="ref-Kolenbrander2010OralMultispecies"/>
    <w:p>
      <w:pPr>
        <w:pStyle w:val="Bibliography"/>
      </w:pPr>
      <w:r>
        <w:t xml:space="preserve">Kolenbrander, Paul E., Robert J. Palmer Jr., Saravanan Periasamy, and Nicholas S. Jakubovics. 2010.</w:t>
      </w:r>
      <w:r>
        <w:t xml:space="preserve"> </w:t>
      </w:r>
      <w:r>
        <w:t xml:space="preserve">“Oral Multispecies Biofilm Development and the Key Role of Cell–Cell Distance.”</w:t>
      </w:r>
      <w:r>
        <w:t xml:space="preserve"> </w:t>
      </w:r>
      <w:r>
        <w:rPr>
          <w:iCs/>
          <w:i/>
        </w:rPr>
        <w:t xml:space="preserve">Nature Reviews Microbiology</w:t>
      </w:r>
      <w:r>
        <w:t xml:space="preserve"> </w:t>
      </w:r>
      <w:r>
        <w:t xml:space="preserve">8 (7): 471–80.</w:t>
      </w:r>
    </w:p>
    <w:bookmarkEnd w:id="94"/>
    <w:bookmarkStart w:id="96" w:name="ref-Bergey2009"/>
    <w:p>
      <w:pPr>
        <w:pStyle w:val="Bibliography"/>
      </w:pPr>
      <w:r>
        <w:t xml:space="preserve">Krieg, Noel R., James T. Staley, David R. Brown, Brian P. Hedlund, Bruce J. Paster, Naomi L. Ward, Wolfgang Ludwig, and William B. Whitman. 2009.</w:t>
      </w:r>
      <w:r>
        <w:t xml:space="preserve"> </w:t>
      </w:r>
      <w:r>
        <w:rPr>
          <w:iCs/>
          <w:i/>
        </w:rPr>
        <w:t xml:space="preserve">Bergey’s Manual of Systematic Bacteriology, Volume 3: The Firmicutes</w:t>
      </w:r>
      <w:r>
        <w:t xml:space="preserve">. 2nd ed. Springer.</w:t>
      </w:r>
      <w:r>
        <w:t xml:space="preserve"> </w:t>
      </w:r>
      <w:hyperlink r:id="rId95">
        <w:r>
          <w:rPr>
            <w:rStyle w:val="Hyperlink"/>
          </w:rPr>
          <w:t xml:space="preserve">https://doi.org/10.1007/978-0-387-68489-5</w:t>
        </w:r>
      </w:hyperlink>
      <w:r>
        <w:t xml:space="preserve">.</w:t>
      </w:r>
    </w:p>
    <w:bookmarkEnd w:id="96"/>
    <w:bookmarkStart w:id="98" w:name="ref-Marsh2003Dental"/>
    <w:p>
      <w:pPr>
        <w:pStyle w:val="Bibliography"/>
      </w:pPr>
      <w:r>
        <w:t xml:space="preserve">Marsh, Philip D. 2003.</w:t>
      </w:r>
      <w:r>
        <w:t xml:space="preserve"> </w:t>
      </w:r>
      <w:r>
        <w:t xml:space="preserve">“Are Dental Diseases Examples of Ecological Catastrophes?”</w:t>
      </w:r>
      <w:r>
        <w:t xml:space="preserve"> </w:t>
      </w:r>
      <w:r>
        <w:rPr>
          <w:iCs/>
          <w:i/>
        </w:rPr>
        <w:t xml:space="preserve">Microbiology</w:t>
      </w:r>
      <w:r>
        <w:t xml:space="preserve"> </w:t>
      </w:r>
      <w:r>
        <w:t xml:space="preserve">149 (2): 279–94.</w:t>
      </w:r>
      <w:r>
        <w:t xml:space="preserve"> </w:t>
      </w:r>
      <w:hyperlink r:id="rId97">
        <w:r>
          <w:rPr>
            <w:rStyle w:val="Hyperlink"/>
          </w:rPr>
          <w:t xml:space="preserve">https://doi.org/10.1099/mic.0.26082-0</w:t>
        </w:r>
      </w:hyperlink>
      <w:r>
        <w:t xml:space="preserve">.</w:t>
      </w:r>
    </w:p>
    <w:bookmarkEnd w:id="98"/>
    <w:bookmarkStart w:id="99" w:name="ref-McInnes2018UMAP"/>
    <w:p>
      <w:pPr>
        <w:pStyle w:val="Bibliography"/>
      </w:pPr>
      <w:r>
        <w:t xml:space="preserve">McInnes, Leland, John Healy, and James Melville. 2018.</w:t>
      </w:r>
      <w:r>
        <w:t xml:space="preserve"> </w:t>
      </w:r>
      <w:r>
        <w:t xml:space="preserve">“</w:t>
      </w:r>
      <w:r>
        <w:t xml:space="preserve">UMAP</w:t>
      </w:r>
      <w:r>
        <w:t xml:space="preserve">: Uniform Manifold Approximation and Projection for Dimension Reduction.”</w:t>
      </w:r>
      <w:r>
        <w:t xml:space="preserve"> </w:t>
      </w:r>
      <w:r>
        <w:rPr>
          <w:iCs/>
          <w:i/>
        </w:rPr>
        <w:t xml:space="preserve">arXiv Preprint</w:t>
      </w:r>
      <w:r>
        <w:t xml:space="preserve"> </w:t>
      </w:r>
      <w:r>
        <w:t xml:space="preserve">arXiv:1802.03426.</w:t>
      </w:r>
    </w:p>
    <w:bookmarkEnd w:id="99"/>
    <w:bookmarkStart w:id="101" w:name="ref-EarlyImplantBiofilm2024"/>
    <w:p>
      <w:pPr>
        <w:pStyle w:val="Bibliography"/>
      </w:pPr>
      <w:r>
        <w:t xml:space="preserve">Muhammad, ’Aaqilah Amr et al. 2024.</w:t>
      </w:r>
      <w:r>
        <w:t xml:space="preserve"> </w:t>
      </w:r>
      <w:r>
        <w:t xml:space="preserve">“Structure and Composition of Early Biofilms Formed on Dental Implants Are Complex, Diverse, Subject-Specific and Dynamic.”</w:t>
      </w:r>
      <w:r>
        <w:t xml:space="preserve"> </w:t>
      </w:r>
      <w:r>
        <w:rPr>
          <w:iCs/>
          <w:i/>
        </w:rPr>
        <w:t xml:space="preserve">Npj Biofilms and Microbiomes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https://doi.org/10.1038/s41522-024-00624-3</w:t>
        </w:r>
      </w:hyperlink>
      <w:r>
        <w:t xml:space="preserve">.</w:t>
      </w:r>
    </w:p>
    <w:bookmarkEnd w:id="101"/>
    <w:bookmarkStart w:id="102" w:name="ref-RobertCasella2004MonteCarlo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Cs/>
          <w:i/>
        </w:rPr>
        <w:t xml:space="preserve">Monte Carlo Statistical Methods</w:t>
      </w:r>
      <w:r>
        <w:t xml:space="preserve">. 2nd ed. Springer.</w:t>
      </w:r>
    </w:p>
    <w:bookmarkEnd w:id="102"/>
    <w:bookmarkStart w:id="104" w:name="ref-Rogosa1965Veillonella"/>
    <w:p>
      <w:pPr>
        <w:pStyle w:val="Bibliography"/>
      </w:pPr>
      <w:r>
        <w:t xml:space="preserve">Rogosa, M. 1964.</w:t>
      </w:r>
      <w:r>
        <w:t xml:space="preserve"> </w:t>
      </w:r>
      <w:r>
        <w:t xml:space="preserve">“The Genus</w:t>
      </w:r>
      <w:r>
        <w:t xml:space="preserve"> </w:t>
      </w:r>
      <w:r>
        <w:rPr>
          <w:iCs/>
          <w:i/>
        </w:rPr>
        <w:t xml:space="preserve">Veillonella</w:t>
      </w:r>
      <w:r>
        <w:t xml:space="preserve">:</w:t>
      </w:r>
      <w:r>
        <w:t xml:space="preserve"> </w:t>
      </w:r>
      <w:r>
        <w:t xml:space="preserve">I</w:t>
      </w:r>
      <w:r>
        <w:t xml:space="preserve">. General Cultural, Ecological, and Biochemical Considerations.”</w:t>
      </w:r>
      <w:r>
        <w:t xml:space="preserve"> </w:t>
      </w:r>
      <w:r>
        <w:rPr>
          <w:iCs/>
          <w:i/>
        </w:rPr>
        <w:t xml:space="preserve">Journal of Bacteriology</w:t>
      </w:r>
      <w:r>
        <w:t xml:space="preserve"> </w:t>
      </w:r>
      <w:r>
        <w:t xml:space="preserve">87 (1): 162–70.</w:t>
      </w:r>
      <w:r>
        <w:t xml:space="preserve"> </w:t>
      </w:r>
      <w:hyperlink r:id="rId103">
        <w:r>
          <w:rPr>
            <w:rStyle w:val="Hyperlink"/>
          </w:rPr>
          <w:t xml:space="preserve">https://doi.org/10.1128/jb.87.1.162-170.1964</w:t>
        </w:r>
      </w:hyperlink>
      <w:r>
        <w:t xml:space="preserve">.</w:t>
      </w:r>
    </w:p>
    <w:bookmarkEnd w:id="104"/>
    <w:bookmarkStart w:id="106" w:name="ref-Siddiqui2021Biofilm"/>
    <w:p>
      <w:pPr>
        <w:pStyle w:val="Bibliography"/>
      </w:pPr>
      <w:r>
        <w:t xml:space="preserve">Siddiqui, Danish A., Arshad B. Fidai, Srinivasan G. Natarajan, and Danieli C. Rodrigues. 2022.</w:t>
      </w:r>
      <w:r>
        <w:t xml:space="preserve"> </w:t>
      </w:r>
      <w:r>
        <w:t xml:space="preserve">“Multispecies Oral Biofilm Formation on Titanium Implant Surfaces: An in Vitro Time-Course Study.”</w:t>
      </w:r>
      <w:r>
        <w:t xml:space="preserve"> </w:t>
      </w:r>
      <w:r>
        <w:rPr>
          <w:iCs/>
          <w:i/>
        </w:rPr>
        <w:t xml:space="preserve">Dental Materials</w:t>
      </w:r>
      <w:r>
        <w:t xml:space="preserve"> </w:t>
      </w:r>
      <w:r>
        <w:t xml:space="preserve">38 (3): 384–96.</w:t>
      </w:r>
      <w:r>
        <w:t xml:space="preserve"> </w:t>
      </w:r>
      <w:hyperlink r:id="rId105">
        <w:r>
          <w:rPr>
            <w:rStyle w:val="Hyperlink"/>
          </w:rPr>
          <w:t xml:space="preserve">https://doi.org/10.1016/j.dental.2021.12.020</w:t>
        </w:r>
      </w:hyperlink>
      <w:r>
        <w:t xml:space="preserve">.</w:t>
      </w:r>
    </w:p>
    <w:bookmarkEnd w:id="106"/>
    <w:bookmarkStart w:id="108" w:name="ref-PeriImplantitisDysbiosis2025"/>
    <w:p>
      <w:pPr>
        <w:pStyle w:val="Bibliography"/>
      </w:pPr>
      <w:r>
        <w:t xml:space="preserve">Wang, Haiyue et al. 2025.</w:t>
      </w:r>
      <w:r>
        <w:t xml:space="preserve"> </w:t>
      </w:r>
      <w:r>
        <w:t xml:space="preserve">“Microbial Dysbiosis in Periodontitis and Peri-Implantitis: Pathogenesis, Immune Responses, and Therapeutic.”</w:t>
      </w:r>
      <w:r>
        <w:t xml:space="preserve"> </w:t>
      </w:r>
      <w:r>
        <w:rPr>
          <w:iCs/>
          <w:i/>
        </w:rPr>
        <w:t xml:space="preserve">Frontiers in Cellular and Infection Microbiology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https://doi.org/10.3389/fcimb.2025.1517154</w:t>
        </w:r>
      </w:hyperlink>
      <w:r>
        <w:t xml:space="preserve">.</w:t>
      </w:r>
    </w:p>
    <w:bookmarkEnd w:id="108"/>
    <w:bookmarkEnd w:id="109"/>
    <w:bookmarkEnd w:id="110"/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43" Target="media/rId43.pdf" /><Relationship Type="http://schemas.openxmlformats.org/officeDocument/2006/relationships/image" Id="rId49" Target="media/rId49.pdf" /><Relationship Type="http://schemas.openxmlformats.org/officeDocument/2006/relationships/image" Id="rId64" Target="media/rId64.pdf" /><Relationship Type="http://schemas.openxmlformats.org/officeDocument/2006/relationships/image" Id="rId53" Target="media/rId53.pdf" /><Relationship Type="http://schemas.openxmlformats.org/officeDocument/2006/relationships/hyperlink" Id="rId71" Target="http://github.com/jax-ml/jax" TargetMode="External" /><Relationship Type="http://schemas.openxmlformats.org/officeDocument/2006/relationships/hyperlink" Id="rId90" Target="https://arxiv.org/abs/2509.01274" TargetMode="External" /><Relationship Type="http://schemas.openxmlformats.org/officeDocument/2006/relationships/hyperlink" Id="rId79" Target="https://arxiv.org/abs/2512.15145" TargetMode="External" /><Relationship Type="http://schemas.openxmlformats.org/officeDocument/2006/relationships/hyperlink" Id="rId95" Target="https://doi.org/10.1007/978-0-387-68489-5" TargetMode="External" /><Relationship Type="http://schemas.openxmlformats.org/officeDocument/2006/relationships/hyperlink" Id="rId84" Target="https://doi.org/10.1007/s00161-021-01017-z" TargetMode="External" /><Relationship Type="http://schemas.openxmlformats.org/officeDocument/2006/relationships/hyperlink" Id="rId92" Target="https://doi.org/10.1007/s10237-024-01883-x" TargetMode="External" /><Relationship Type="http://schemas.openxmlformats.org/officeDocument/2006/relationships/hyperlink" Id="rId105" Target="https://doi.org/10.1016/j.dental.2021.12.020" TargetMode="External" /><Relationship Type="http://schemas.openxmlformats.org/officeDocument/2006/relationships/hyperlink" Id="rId86" Target="https://doi.org/10.1016/j.jmps.2025.106133" TargetMode="External" /><Relationship Type="http://schemas.openxmlformats.org/officeDocument/2006/relationships/hyperlink" Id="rId100" Target="https://doi.org/10.1038/s41522-024-00624-3" TargetMode="External" /><Relationship Type="http://schemas.openxmlformats.org/officeDocument/2006/relationships/hyperlink" Id="rId88" Target="https://doi.org/10.1080/01621459.1995.10476572" TargetMode="External" /><Relationship Type="http://schemas.openxmlformats.org/officeDocument/2006/relationships/hyperlink" Id="rId74" Target="https://doi.org/10.1093/biomet/89.3.539" TargetMode="External" /><Relationship Type="http://schemas.openxmlformats.org/officeDocument/2006/relationships/hyperlink" Id="rId97" Target="https://doi.org/10.1099/mic.0.26082-0" TargetMode="External" /><Relationship Type="http://schemas.openxmlformats.org/officeDocument/2006/relationships/hyperlink" Id="rId103" Target="https://doi.org/10.1128/jb.87.1.162-170.1964" TargetMode="External" /><Relationship Type="http://schemas.openxmlformats.org/officeDocument/2006/relationships/hyperlink" Id="rId107" Target="https://doi.org/10.3389/fcimb.2025.1517154" TargetMode="External" /><Relationship Type="http://schemas.openxmlformats.org/officeDocument/2006/relationships/hyperlink" Id="rId82" Target="https://doi.org/10.3389/froh.2025.164941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://github.com/jax-ml/jax" TargetMode="External" /><Relationship Type="http://schemas.openxmlformats.org/officeDocument/2006/relationships/hyperlink" Id="rId90" Target="https://arxiv.org/abs/2509.01274" TargetMode="External" /><Relationship Type="http://schemas.openxmlformats.org/officeDocument/2006/relationships/hyperlink" Id="rId79" Target="https://arxiv.org/abs/2512.15145" TargetMode="External" /><Relationship Type="http://schemas.openxmlformats.org/officeDocument/2006/relationships/hyperlink" Id="rId95" Target="https://doi.org/10.1007/978-0-387-68489-5" TargetMode="External" /><Relationship Type="http://schemas.openxmlformats.org/officeDocument/2006/relationships/hyperlink" Id="rId84" Target="https://doi.org/10.1007/s00161-021-01017-z" TargetMode="External" /><Relationship Type="http://schemas.openxmlformats.org/officeDocument/2006/relationships/hyperlink" Id="rId92" Target="https://doi.org/10.1007/s10237-024-01883-x" TargetMode="External" /><Relationship Type="http://schemas.openxmlformats.org/officeDocument/2006/relationships/hyperlink" Id="rId105" Target="https://doi.org/10.1016/j.dental.2021.12.020" TargetMode="External" /><Relationship Type="http://schemas.openxmlformats.org/officeDocument/2006/relationships/hyperlink" Id="rId86" Target="https://doi.org/10.1016/j.jmps.2025.106133" TargetMode="External" /><Relationship Type="http://schemas.openxmlformats.org/officeDocument/2006/relationships/hyperlink" Id="rId100" Target="https://doi.org/10.1038/s41522-024-00624-3" TargetMode="External" /><Relationship Type="http://schemas.openxmlformats.org/officeDocument/2006/relationships/hyperlink" Id="rId88" Target="https://doi.org/10.1080/01621459.1995.10476572" TargetMode="External" /><Relationship Type="http://schemas.openxmlformats.org/officeDocument/2006/relationships/hyperlink" Id="rId74" Target="https://doi.org/10.1093/biomet/89.3.539" TargetMode="External" /><Relationship Type="http://schemas.openxmlformats.org/officeDocument/2006/relationships/hyperlink" Id="rId97" Target="https://doi.org/10.1099/mic.0.26082-0" TargetMode="External" /><Relationship Type="http://schemas.openxmlformats.org/officeDocument/2006/relationships/hyperlink" Id="rId103" Target="https://doi.org/10.1128/jb.87.1.162-170.1964" TargetMode="External" /><Relationship Type="http://schemas.openxmlformats.org/officeDocument/2006/relationships/hyperlink" Id="rId107" Target="https://doi.org/10.3389/fcimb.2025.1517154" TargetMode="External" /><Relationship Type="http://schemas.openxmlformats.org/officeDocument/2006/relationships/hyperlink" Id="rId82" Target="https://doi.org/10.3389/froh.2025.164941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GPU-accelerated Bayesian inference of multi-species biofilm interaction parameters via TMCMC</dc:title>
  <dc:creator>Keisuke Nishioka, Felix Klempt, Hendrik Geisler, Meisam Soleimani, Philipp Junker Leibniz Universität Hannover, Institute of Continuum Mechanics, Hannover, Germany</dc:creator>
  <cp:keywords/>
  <dcterms:created xsi:type="dcterms:W3CDTF">2026-04-20T22:12:42Z</dcterms:created>
  <dcterms:modified xsi:type="dcterms:W3CDTF">2026-04-20T22:12:42Z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GPU-accelerated Bayesian framework for inferring the interaction parameters of a five-species oral biofilm model derived from the extended Hamilton principle. The symmetric 5\times5 interaction matrix is parametrised as a 20-dimensional vector encoding 15 independent interaction coefficients plus 5 intrinsic growth rates. A two-phase estimation strategy is employed: in Phase 1, the viability fraction \psi_i is fixed to experimentally measured membrane-intact ratios (fix-\psi), enabling rapid identification of the interaction matrix; in Phase 2, \psi_i is released and the viability data enter the likelihood as a soft constraint, yielding a self-consistent posterior over both interactions and viability. The forward model is compiled via JAX and evaluated in parallel on GPU (NVIDIA RTX 4090), achieving a \sim200\times speedup over the CPU baseline. No interaction parameters are locked to zero a priori; the posterior self-organises, concentrating pathogen-related entries near zero in commensal conditions and activating cooperative cross-feeding terms in dysbiotic states. The method is validated against in-vitro time-course data from Heine et al. under four combinations of community state (commensal/dysbiotic) and cultivation mode (static/HOBIC reactor).Keywords: Bayesian inference, biofilm dynamics, TMCMC, GPU acceleration, parameter identification, multi-species interaction, peri-implantitis</vt:lpwstr>
  </property>
  <property fmtid="{D5CDD505-2E9C-101B-9397-08002B2CF9AE}" pid="3" name="bibliography">
    <vt:lpwstr>references_ikm.bib</vt:lpwstr>
  </property>
  <property fmtid="{D5CDD505-2E9C-101B-9397-08002B2CF9AE}" pid="4" name="date">
    <vt:lpwstr/>
  </property>
</Properties>
</file>