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Reply: Progress Meeting 2026-05-07</w:t>
      </w:r>
    </w:p>
    <w:p>
      <w:r>
        <w:rPr>
          <w:b/>
        </w:rPr>
        <w:t xml:space="preserve">To: </w:t>
      </w:r>
      <w:r>
        <w:t>Szafranski.Szymon@mh-hannover.de</w:t>
        <w:br/>
      </w:r>
      <w:r>
        <w:rPr>
          <w:b/>
        </w:rPr>
        <w:t xml:space="preserve">From: </w:t>
      </w:r>
      <w:r>
        <w:t>Keisuke Nishioka</w:t>
        <w:br/>
      </w:r>
      <w:r>
        <w:rPr>
          <w:b/>
        </w:rPr>
        <w:t xml:space="preserve">Date: </w:t>
      </w:r>
      <w:r>
        <w:t>2026-05-12</w:t>
        <w:br/>
      </w:r>
      <w:r>
        <w:rPr>
          <w:b/>
        </w:rPr>
        <w:t xml:space="preserve">Subject: </w:t>
      </w:r>
      <w:r>
        <w:t>Follow-up on guild dynamics modeling discussion</w:t>
        <w:br/>
      </w:r>
    </w:p>
    <w:p/>
    <w:p>
      <w:r>
        <w:t>Dear Szymon,</w:t>
      </w:r>
    </w:p>
    <w:p/>
    <w:p>
      <w:r>
        <w:t>Thank you for the detailed summary. Below I respond to each of your action items using the results from the current analysis.</w:t>
      </w:r>
    </w:p>
    <w:p/>
    <w:p>
      <w:pPr>
        <w:pStyle w:val="Heading1"/>
      </w:pPr>
      <w:r>
        <w:rPr>
          <w:color w:val="1F497D"/>
        </w:rPr>
        <w:t>1. What the model aims to achieve</w:t>
      </w:r>
    </w:p>
    <w:p>
      <w:r>
        <w:t>The model aims to test whether metabolic network constraints — derived from genome-scale metabolic models and curated experimental databases — can improve out-of-sample prediction of oral microbiome community dynamics.</w:t>
      </w:r>
    </w:p>
    <w:p/>
    <w:p>
      <w:r>
        <w:t>Concretely: given week-1 community composition for a new patient, can we predict their week-2 and week-3 compositions using a shared ecological interaction matrix inferred from other patients?</w:t>
      </w:r>
    </w:p>
    <w:p/>
    <w:p>
      <w:r>
        <w:rPr>
          <w:b/>
        </w:rPr>
        <w:t xml:space="preserve">Dataset: </w:t>
      </w:r>
    </w:p>
    <w:p>
      <w:r>
        <w:rPr>
          <w:b/>
        </w:rPr>
        <w:t xml:space="preserve">Dataset: </w:t>
      </w:r>
      <w:r>
        <w:t>Dieckow et al. 2024 (npj Biofilms Microbiomes 10:85) — 10 patients (A–L), subgingival plaque on titanium implant abutments, 16S rRNA, weeks 1–3. ASVs aggregated to 10 class-level guilds following Szafrański et al. 2025 taxonomy.</w:t>
      </w:r>
    </w:p>
    <w:p/>
    <w:p>
      <w:r>
        <w:rPr>
          <w:b/>
        </w:rPr>
        <w:t xml:space="preserve">Dynamical model: </w:t>
      </w:r>
      <w:r>
        <w:t>Hamilton replicator ODE (0D limit of the Extended Hamilton Principle, Junker &amp; Balzani 2021; Klempt et al. 2024). Governing equation:</w:t>
      </w:r>
    </w:p>
    <w:p>
      <w:pPr>
        <w:jc w:val="center"/>
      </w:pPr>
      <w:r>
        <w:rPr>
          <w:i/>
        </w:rPr>
        <w:t>φ̇ᵢ = φᵢ ( bᵢ + Σⱼ Aᵢⱼ φⱼ − f̄(φ) )</w:t>
      </w:r>
    </w:p>
    <w:p/>
    <w:p>
      <w:r>
        <w:t>where φᵢ is the relative abundance of guild i, A is the symmetric interaction matrix (A_ij = A_ji, from thermodynamic consistency of the Hamilton Principle), b_i is a patient-specific intrinsic growth rate, and f̄ = Σₖ φₖfₖ keeps Σφᵢ = 1 on the probability simplex. This is mathematically equivalent to the replicator equation (Taylor &amp; Jonker 1978) with linear payoffs.</w:t>
      </w:r>
    </w:p>
    <w:p>
      <w:pPr>
        <w:pStyle w:val="Heading1"/>
      </w:pPr>
      <w:r>
        <w:rPr>
          <w:color w:val="1F497D"/>
        </w:rPr>
        <w:t>2. What has already been achieved</w:t>
      </w:r>
    </w:p>
    <w:p>
      <w:pPr>
        <w:pStyle w:val="ListBullet"/>
      </w:pPr>
      <w:r>
        <w:t>Fitted the interaction matrix A on all 10 patients. Training RMSE = 0.0565, Pearson r = 0.951.</w:t>
      </w:r>
    </w:p>
    <w:p>
      <w:pPr>
        <w:pStyle w:val="ListBullet"/>
      </w:pPr>
      <w:r>
        <w:t>Metabolic sign prior constructed from Szafrański 2025 Suppl. + eHOMD (experimentally curated PRODUCES/USES flows, L1 layer). An additional genome-scale metabolic modeling layer (L2) based on pFBA is being explored and is currently under validation.</w:t>
      </w:r>
    </w:p>
    <w:p>
      <w:pPr>
        <w:pStyle w:val="ListBullet"/>
      </w:pPr>
      <w:r>
        <w:t>Leave-one-patient-out (LOO) cross-validation completed (10-fold). Best model (Hamilton + AGORA W=1.0):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3022"/>
          </w:tcPr>
          <w:p>
            <w:r>
              <w:rPr>
                <w:b/>
              </w:rPr>
              <w:t>LOO-RMSE</w:t>
            </w:r>
          </w:p>
        </w:tc>
        <w:tc>
          <w:tcPr>
            <w:tcW w:type="dxa" w:w="3022"/>
          </w:tcPr>
          <w:p>
            <w:r>
              <w:rPr>
                <w:b/>
              </w:rPr>
              <w:t>LOO-BC (Bray-Curtis)</w:t>
            </w:r>
          </w:p>
        </w:tc>
      </w:tr>
      <w:tr>
        <w:tc>
          <w:tcPr>
            <w:tcW w:type="dxa" w:w="3022"/>
          </w:tcPr>
          <w:p>
            <w:r>
              <w:t>gLV free (no prior)</w:t>
            </w:r>
          </w:p>
        </w:tc>
        <w:tc>
          <w:tcPr>
            <w:tcW w:type="dxa" w:w="3022"/>
          </w:tcPr>
          <w:p>
            <w:r>
              <w:t>0.0588</w:t>
            </w:r>
          </w:p>
        </w:tc>
        <w:tc>
          <w:tcPr>
            <w:tcW w:type="dxa" w:w="3022"/>
          </w:tcPr>
          <w:p>
            <w:r>
              <w:t>0.154</w:t>
            </w:r>
          </w:p>
        </w:tc>
      </w:tr>
      <w:tr>
        <w:tc>
          <w:tcPr>
            <w:tcW w:type="dxa" w:w="3022"/>
          </w:tcPr>
          <w:p>
            <w:r>
              <w:t>Hamilton (no prior)</w:t>
            </w:r>
          </w:p>
        </w:tc>
        <w:tc>
          <w:tcPr>
            <w:tcW w:type="dxa" w:w="3022"/>
          </w:tcPr>
          <w:p>
            <w:r>
              <w:t>0.0595</w:t>
            </w:r>
          </w:p>
        </w:tc>
        <w:tc>
          <w:tcPr>
            <w:tcW w:type="dxa" w:w="3022"/>
          </w:tcPr>
          <w:p>
            <w:r>
              <w:t>—</w:t>
            </w:r>
          </w:p>
        </w:tc>
      </w:tr>
      <w:tr>
        <w:tc>
          <w:tcPr>
            <w:tcW w:type="dxa" w:w="3022"/>
          </w:tcPr>
          <w:p>
            <w:r>
              <w:t>Hamilton + L1 (34 pairs)</w:t>
            </w:r>
          </w:p>
        </w:tc>
        <w:tc>
          <w:tcPr>
            <w:tcW w:type="dxa" w:w="3022"/>
          </w:tcPr>
          <w:p>
            <w:r>
              <w:t>0.0516</w:t>
            </w:r>
          </w:p>
        </w:tc>
        <w:tc>
          <w:tcPr>
            <w:tcW w:type="dxa" w:w="3022"/>
          </w:tcPr>
          <w:p>
            <w:r>
              <w:t>0.155</w:t>
            </w:r>
          </w:p>
        </w:tc>
      </w:tr>
      <w:tr>
        <w:tc>
          <w:tcPr>
            <w:tcW w:type="dxa" w:w="3022"/>
          </w:tcPr>
          <w:p>
            <w:r>
              <w:t>Hamilton + L1+L2 / AGORA W=1.0</w:t>
            </w:r>
          </w:p>
        </w:tc>
        <w:tc>
          <w:tcPr>
            <w:tcW w:type="dxa" w:w="3022"/>
          </w:tcPr>
          <w:p>
            <w:r>
              <w:t>0.0504</w:t>
            </w:r>
          </w:p>
        </w:tc>
        <w:tc>
          <w:tcPr>
            <w:tcW w:type="dxa" w:w="3022"/>
          </w:tcPr>
          <w:p>
            <w:r>
              <w:t>0.147</w:t>
            </w:r>
          </w:p>
        </w:tc>
      </w:tr>
      <w:tr>
        <w:tc>
          <w:tcPr>
            <w:tcW w:type="dxa" w:w="3022"/>
          </w:tcPr>
          <w:p>
            <w:r>
              <w:t>Persistence null</w:t>
            </w:r>
          </w:p>
        </w:tc>
        <w:tc>
          <w:tcPr>
            <w:tcW w:type="dxa" w:w="3022"/>
          </w:tcPr>
          <w:p>
            <w:r>
              <w:t>—</w:t>
            </w:r>
          </w:p>
        </w:tc>
        <w:tc>
          <w:tcPr>
            <w:tcW w:type="dxa" w:w="3022"/>
          </w:tcPr>
          <w:p>
            <w:r>
              <w:t>0.281</w:t>
            </w:r>
          </w:p>
        </w:tc>
      </w:tr>
    </w:tbl>
    <w:p/>
    <w:p>
      <w:pPr>
        <w:pStyle w:val="ListBullet"/>
      </w:pPr>
      <w:r>
        <w:t>Sign agreement between the metabolic prior and the fitted A matrix: &gt;90% of constrained pairs have the expected sign. The genome-scale modeling layer is being tested to assess whether it can further improve consistency.</w:t>
      </w:r>
    </w:p>
    <w:p>
      <w:pPr>
        <w:pStyle w:val="ListBullet"/>
      </w:pPr>
      <w:r>
        <w:t>LOO A-matrix stability analysis: sign consistency of each guild-guild interaction assessed across all 10 LOO folds. Three regimes identified: interactions where data and prior agree strongly, interactions that are metabolically predicted but ecologically muted on the 3-week timescale, and data-driven interactions without metabolic annotation.</w:t>
      </w:r>
    </w:p>
    <w:p>
      <w:pPr>
        <w:pStyle w:val="ListBullet"/>
      </w:pPr>
      <w:r>
        <w:t>External validation: the fitted A matrix (calibrated on Dieckow abutment data) was applied to 127 independent cross-sectional peri-implant samples from Joshi/Szafrański 2025. A Guild Dysbiosis Index (GDI, based on the ratio of dysbiotic vs. commensal guilds at equilibrium) correctly orders clinical severity (Kruskal-Wallis p &lt; 0.0001, Spearman ρ = 0.37).</w:t>
      </w:r>
    </w:p>
    <w:p>
      <w:pPr>
        <w:pStyle w:val="Heading1"/>
      </w:pPr>
      <w:r>
        <w:rPr>
          <w:color w:val="1F497D"/>
        </w:rPr>
        <w:t>3. Which results were expected</w:t>
      </w:r>
    </w:p>
    <w:p>
      <w:pPr>
        <w:pStyle w:val="ListBullet"/>
      </w:pPr>
      <w:r>
        <w:t>Metabolic sign priors were expected to regularise A and reduce overfitting → confirmed (LOO-RMSE −14% vs unconstrained gLV).</w:t>
      </w:r>
    </w:p>
    <w:p>
      <w:pPr>
        <w:pStyle w:val="ListBullet"/>
      </w:pPr>
      <w:r>
        <w:t>Sign consistency between the experimental prior (eHOMD/Szafrański L1) and the fitted A was expected to be high, given well-documented cross-feeding relationships (e.g. Streptococcus → lactate → Veillonella) → confirmed: &gt;90% of constrained pairs match the expected sign.</w:t>
      </w:r>
    </w:p>
    <w:p>
      <w:pPr>
        <w:pStyle w:val="ListBullet"/>
      </w:pPr>
      <w:r>
        <w:t>Dominant commensal interactions — Actinobacteria ↔ Bacilli co-aggregation, Bacilli ↔ Betaproteobacteria syntrophy — were expected to be the strongest fitted interactions → confirmed (A = +1.61 and +1.83 respectively).</w:t>
      </w:r>
    </w:p>
    <w:p>
      <w:pPr>
        <w:pStyle w:val="Heading1"/>
      </w:pPr>
      <w:r>
        <w:rPr>
          <w:color w:val="1F497D"/>
        </w:rPr>
        <w:t>4. Which results were unexpected</w:t>
      </w:r>
    </w:p>
    <w:p>
      <w:pPr>
        <w:pStyle w:val="ListBullet"/>
      </w:pPr>
      <w:r>
        <w:t>The Bacilli ↔ Negativicutes (Streptococcus → lactate → Veillonella) interaction is one of the best-known oral cross-feeding syntrophies and has a strong experimental prior. However, the fitted A ≈ 0 — sign correct but ecologically muted on the 3-week abutment timescale. The most cited oral cross-feeding axis is apparently not the dominant ecological driver in this dataset.</w:t>
      </w:r>
    </w:p>
    <w:p>
      <w:pPr>
        <w:pStyle w:val="ListBullet"/>
      </w:pPr>
      <w:r>
        <w:t>The fitted A matrix generalises across disease context: calibrated on caries recovery (abutment, 3 weeks), it correctly orders peri-implantitis dysbiosis in 127 independent samples. This suggests A captures fundamental ecological attractors rather than condition-specific dynamics.</w:t>
      </w:r>
    </w:p>
    <w:p>
      <w:pPr>
        <w:pStyle w:val="ListBullet"/>
      </w:pPr>
      <w:r>
        <w:t>Mucositis ≈ Health at equilibrium (GDI −3.05 vs −2.90, p = 0.61). Clinically mucositis is an intermediate state, but the model places it in the commensal attractor basin — consistent with reversibility, but not with elevated inflammation markers.</w:t>
      </w:r>
    </w:p>
    <w:p>
      <w:pPr>
        <w:pStyle w:val="ListBullet"/>
      </w:pPr>
      <w:r>
        <w:t>Patient A (CT2, high Actinobacteria, 3× mean) is a persistent outlier. This suggests a covariate-shift issue — Actinobacteria-dominant community types are underrepresented in the 10-patient training pool.</w:t>
      </w:r>
    </w:p>
    <w:p>
      <w:pPr>
        <w:pStyle w:val="Heading1"/>
      </w:pPr>
      <w:r>
        <w:rPr>
          <w:color w:val="1F497D"/>
        </w:rPr>
        <w:t>5. How the model relates to available data</w:t>
      </w:r>
    </w:p>
    <w:p>
      <w:r>
        <w:rPr>
          <w:b/>
        </w:rPr>
        <w:t xml:space="preserve">Calibration data: </w:t>
      </w:r>
      <w:r>
        <w:t>Dieckow et al. 2024, 10 patients, weeks 1–3, 10 class-level guilds.</w:t>
      </w:r>
    </w:p>
    <w:p/>
    <w:p>
      <w:r>
        <w:rPr>
          <w:b/>
        </w:rPr>
        <w:t xml:space="preserve">External / clinical validation: </w:t>
      </w:r>
      <w:r>
        <w:t>Joshi / Szafrański 2025 peri-implant cohort, N=127 cross-sectional samples (Health=56, Mucositis=39, PI=32). The same five genera (So, An, Vei, Fn, Pg) available in the Szafrański 5-genera subset map onto 5 of the 10 guilds, enabling direct comparison with the Hamilton attractor states.</w:t>
      </w:r>
    </w:p>
    <w:p/>
    <w:p>
      <w:r>
        <w:t>The attractor principle used for validation: for the replicator equation, fixed points are determined by A alone (independent of b_i, confirmed empirically). Cross-sectional samples near disease equilibrium can therefore be projected onto the A-landscape inferred from longitudinal data.</w:t>
      </w:r>
    </w:p>
    <w:p>
      <w:pPr>
        <w:pStyle w:val="Heading1"/>
      </w:pPr>
      <w:r>
        <w:rPr>
          <w:color w:val="1F497D"/>
        </w:rPr>
        <w:t>6. Assumptions currently in the model</w:t>
      </w:r>
    </w:p>
    <w:p>
      <w:pPr>
        <w:pStyle w:val="ListBullet"/>
      </w:pPr>
      <w:r>
        <w:t>Symmetric interaction matrix: A_ij = A_ji. Arises from the Hamilton Principle free energy (quadratic form). Reduces free parameters from 90 to 45 off-diagonal entries.</w:t>
      </w:r>
    </w:p>
    <w:p>
      <w:pPr>
        <w:pStyle w:val="ListBullet"/>
      </w:pPr>
      <w:r>
        <w:t>Relative abundance dynamics on the probability simplex (Σφᵢ = 1). Appropriate for 16S amplicon data; avoids compositional bias of fitting absolute-abundance gLV to relative data.</w:t>
      </w:r>
    </w:p>
    <w:p>
      <w:pPr>
        <w:pStyle w:val="ListBullet"/>
      </w:pPr>
      <w:r>
        <w:t>Patient-specific b_i captures inter-individual variation; shared A captures population-level guild ecology.</w:t>
      </w:r>
    </w:p>
    <w:p>
      <w:pPr>
        <w:pStyle w:val="ListBullet"/>
      </w:pPr>
      <w:r>
        <w:t>Sign prior from eHOMD/Szafrański L1 (experimentally curated metabolite flows, 34 constrained pairs). An additional metabolic modeling layer is being explored but is not yet finalized.</w:t>
      </w:r>
    </w:p>
    <w:p>
      <w:pPr>
        <w:pStyle w:val="ListBullet"/>
      </w:pPr>
      <w:r>
        <w:t>10 guilds at SILVA class level (Szafrański taxonomy). Species-level interactions may cancel or reinforce at this aggregation level.</w:t>
      </w:r>
    </w:p>
    <w:p>
      <w:pPr>
        <w:pStyle w:val="Heading1"/>
      </w:pPr>
      <w:r>
        <w:rPr>
          <w:color w:val="1F497D"/>
        </w:rPr>
        <w:t>7. Assumptions that remain uncertain</w:t>
      </w:r>
    </w:p>
    <w:p>
      <w:pPr>
        <w:pStyle w:val="ListBullet"/>
      </w:pPr>
      <w:r>
        <w:t>Symmetric A excludes asymmetric interactions (commensalism, amensalism). Example: A secretes lactate → B benefits (+), B secretes H₂O₂ → A harmed (−) cannot be captured. N=10 is insufficient to identify asymmetric A (90 parameters).</w:t>
      </w:r>
    </w:p>
    <w:p>
      <w:pPr>
        <w:pStyle w:val="ListBullet"/>
      </w:pPr>
      <w:r>
        <w:t>Condition-dependence of A: the current model uses a single A matrix. Your scenario (sucrose fermentation → lactate accumulation → low pH → inhibitory environment) requires A to depend on metabolite concentrations or pH. The data (3 timepoints) cannot identify a pH-dependent A(pH, t). An extension (A(t) = A_commensal + (A_dysbiotic − A_commensal) × sigmoid(pH − pH_crit)) would require explicit pH or metabolite measurements.</w:t>
      </w:r>
    </w:p>
    <w:p>
      <w:pPr>
        <w:pStyle w:val="ListBullet"/>
      </w:pPr>
      <w:r>
        <w:t>Genome-scale metabolic modeling layer (L2): still under validation. The approach uses pFBA on guild-representative strains to predict cross-feeding signs, but the representative-strain choice, medium composition, and single-strain FBA approximation all introduce uncertainty. Detailed validation of this layer is ongoing.</w:t>
      </w:r>
    </w:p>
    <w:p>
      <w:pPr>
        <w:pStyle w:val="ListBullet"/>
      </w:pPr>
      <w:r>
        <w:t>N=10 (marginal power): paired t-test AGORA vs L1-only gives p=0.08. Replication with N≥30 patients is needed for statistical significance.</w:t>
      </w:r>
    </w:p>
    <w:p>
      <w:pPr>
        <w:pStyle w:val="ListBullet"/>
      </w:pPr>
      <w:r>
        <w:t>Stationarity assumption for external validation: peri-implant communities (cross-sectional) are assumed near ecological equilibrium. Unverified — chronic PI (months–years) supports this, but acute cases may not be.</w:t>
      </w:r>
    </w:p>
    <w:p>
      <w:pPr>
        <w:pStyle w:val="Heading1"/>
      </w:pPr>
      <w:r>
        <w:rPr>
          <w:color w:val="1F497D"/>
        </w:rPr>
        <w:t>8. How database-derived interactions become model parameters</w:t>
      </w:r>
    </w:p>
    <w:p>
      <w:r>
        <w:t>This is the step that needs clearest documentation. The workflow:</w:t>
      </w:r>
    </w:p>
    <w:p/>
    <w:p>
      <w:r>
        <w:rPr>
          <w:b/>
        </w:rPr>
        <w:t xml:space="preserve">Step 1 — Which pairs are constrained (topology)? </w:t>
      </w:r>
      <w:r>
        <w:t>For each guild pair (i,j), the eHOMD/Szafrański supplementary provides explicit PRODUCES / USES / IS_INHIBITED_BY relationships at the metabolite level. If metabolite α is produced by guild j and consumed by guild i, this is a cross-feeding signal: net_flow[i,j] += w. Toxin secretion (H₂O₂, H₂S) gives net_flow[i,j] −= w. Pairs where net_flow = 0 are unconstrained.</w:t>
      </w:r>
    </w:p>
    <w:p/>
    <w:p>
      <w:r>
        <w:rPr>
          <w:b/>
        </w:rPr>
        <w:t xml:space="preserve">Step 2 — Sign: </w:t>
      </w:r>
      <w:r>
        <w:t>sgn(F_ij) = sgn(net_flow[i,j] + net_flow[j,i]) / 2. A positive net flow means j benefits i more than it harms it → expected A_ij &gt; 0. When evidence conflicts (e.g. a guild both produces a nutrient and a toxin affecting another guild), the net sum determines the expected sign. This is fully documented in the flow matrix F which can be inspected directly.</w:t>
      </w:r>
    </w:p>
    <w:p/>
    <w:p>
      <w:r>
        <w:rPr>
          <w:b/>
        </w:rPr>
        <w:t xml:space="preserve">Step 3 — Magnitude of A: </w:t>
      </w:r>
      <w:r>
        <w:t>Not from databases. Magnitudes are inferred from fitting the ODE to the Dieckow time-series data via L-BFGS-B + JAX autodiff. The prior only constrains the sign (via a soft hinge penalty); the actual numerical A values are data-driven.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022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302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022"/>
          </w:tcPr>
          <w:p>
            <w:r>
              <w:t>L1 (direct experimental)</w:t>
            </w:r>
          </w:p>
        </w:tc>
        <w:tc>
          <w:tcPr>
            <w:tcW w:type="dxa" w:w="3022"/>
          </w:tcPr>
          <w:p>
            <w:r>
              <w:t>eHOMD + Szafrański 2025 Suppl. (PRODUCES/USES/IS_INHIBITED_BY)</w:t>
            </w:r>
          </w:p>
        </w:tc>
        <w:tc>
          <w:tcPr>
            <w:tcW w:type="dxa" w:w="3022"/>
          </w:tcPr>
          <w:p>
            <w:r>
              <w:t>In use (34 pairs)</w:t>
            </w:r>
          </w:p>
        </w:tc>
      </w:tr>
      <w:tr>
        <w:tc>
          <w:tcPr>
            <w:tcW w:type="dxa" w:w="3022"/>
          </w:tcPr>
          <w:p>
            <w:r>
              <w:t>L2 (genome-scale metabolic modeling)</w:t>
            </w:r>
          </w:p>
        </w:tc>
        <w:tc>
          <w:tcPr>
            <w:tcW w:type="dxa" w:w="3022"/>
          </w:tcPr>
          <w:p>
            <w:r>
              <w:t>pFBA on guild-representative strains, oral-fluid medium</w:t>
            </w:r>
          </w:p>
        </w:tc>
        <w:tc>
          <w:tcPr>
            <w:tcW w:type="dxa" w:w="3022"/>
          </w:tcPr>
          <w:p>
            <w:r>
              <w:t>Under validation</w:t>
            </w:r>
          </w:p>
        </w:tc>
      </w:tr>
    </w:tbl>
    <w:p/>
    <w:p>
      <w:pPr>
        <w:pStyle w:val="Heading1"/>
      </w:pPr>
      <w:r>
        <w:rPr>
          <w:color w:val="1F497D"/>
        </w:rPr>
        <w:t>9. The sucrose–lactate–biofilm scenario</w:t>
      </w:r>
    </w:p>
    <w:p>
      <w:r>
        <w:t>The scenario you described maps onto an important limitation of the current model. The Hamilton ODE uses a time-invariant A matrix, so it cannot capture the regime shift where lactate accumulation and pH drop change the interaction from cross-feeding to inhibitory.</w:t>
      </w:r>
    </w:p>
    <w:p/>
    <w:p>
      <w:r>
        <w:t>The relevant finding from the current analysis is that the Bacilli ↔ Negativicutes interaction (Streptococcus → lactate → Veillonella — the exact cross-feeding axis you described) is in the 'prior-constrained muted' regime: |F| = 5.0 (strongest AGORA signal among all pairs), but fitted A = +0.003 ≈ 0. Possible interpretations:</w:t>
      </w:r>
    </w:p>
    <w:p>
      <w:pPr>
        <w:pStyle w:val="ListBullet"/>
      </w:pPr>
      <w:r>
        <w:t>The cross-feeding is real but operates on timescales longer than 3 weeks (muted in the abutment dataset).</w:t>
      </w:r>
    </w:p>
    <w:p>
      <w:pPr>
        <w:pStyle w:val="ListBullet"/>
      </w:pPr>
      <w:r>
        <w:t>At the compositions in the Dieckow dataset (healthy recovery, not cariogenic), lactate concentrations may not accumulate enough to drive the feedback loop you described — exactly because the environment has not yet become low-pH.</w:t>
      </w:r>
    </w:p>
    <w:p>
      <w:pPr>
        <w:pStyle w:val="ListBullet"/>
      </w:pPr>
      <w:r>
        <w:t>An A(t) extension with an explicit lactate/pH variable would be needed to distinguish these cases. This requires metabolite time-series data alongside 16S.</w:t>
      </w:r>
    </w:p>
    <w:p/>
    <w:p>
      <w:r>
        <w:t>I will incorporate your lactate–sucrose sketches (once received via WhatsApp) into the design of the A(pH,t) extension.</w:t>
      </w:r>
    </w:p>
    <w:p>
      <w:pPr>
        <w:pStyle w:val="Heading1"/>
      </w:pPr>
      <w:r>
        <w:rPr>
          <w:color w:val="1F497D"/>
        </w:rPr>
        <w:t>10. Compositional data tables for multivariate analysis</w:t>
      </w:r>
    </w:p>
    <w:p>
      <w:r>
        <w:t>I will prepare the following tables: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3022"/>
          </w:tcPr>
          <w:p>
            <w:r>
              <w:rPr>
                <w:b/>
              </w:rPr>
              <w:t>Contents</w:t>
            </w:r>
          </w:p>
        </w:tc>
        <w:tc>
          <w:tcPr>
            <w:tcW w:type="dxa" w:w="302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022"/>
          </w:tcPr>
          <w:p>
            <w:r>
              <w:t>Dieckow 2024 observed</w:t>
            </w:r>
          </w:p>
        </w:tc>
        <w:tc>
          <w:tcPr>
            <w:tcW w:type="dxa" w:w="3022"/>
          </w:tcPr>
          <w:p>
            <w:r>
              <w:t>10 patients × 3 weeks × 10 guilds (relative abundances); metadata: patient ID, community type (CT1/CT2), week</w:t>
            </w:r>
          </w:p>
        </w:tc>
        <w:tc>
          <w:tcPr>
            <w:tcW w:type="dxa" w:w="3022"/>
          </w:tcPr>
          <w:p>
            <w:r>
              <w:t>To prepare (from dieckow_otu/ data)</w:t>
            </w:r>
          </w:p>
        </w:tc>
      </w:tr>
      <w:tr>
        <w:tc>
          <w:tcPr>
            <w:tcW w:type="dxa" w:w="3022"/>
          </w:tcPr>
          <w:p>
            <w:r>
              <w:t>Hamilton model predicted</w:t>
            </w:r>
          </w:p>
        </w:tc>
        <w:tc>
          <w:tcPr>
            <w:tcW w:type="dxa" w:w="3022"/>
          </w:tcPr>
          <w:p>
            <w:r>
              <w:t>Same format as observed; LOO-predicted week 2/3 compositions for all 10 patients + full-training predictions</w:t>
            </w:r>
          </w:p>
        </w:tc>
        <w:tc>
          <w:tcPr>
            <w:tcW w:type="dxa" w:w="3022"/>
          </w:tcPr>
          <w:p>
            <w:r>
              <w:t>To prepare (from LOO results)</w:t>
            </w:r>
          </w:p>
        </w:tc>
      </w:tr>
      <w:tr>
        <w:tc>
          <w:tcPr>
            <w:tcW w:type="dxa" w:w="3022"/>
          </w:tcPr>
          <w:p>
            <w:r>
              <w:t>Szafrański/Joshi 2025 clinical</w:t>
            </w:r>
          </w:p>
        </w:tc>
        <w:tc>
          <w:tcPr>
            <w:tcW w:type="dxa" w:w="3022"/>
          </w:tcPr>
          <w:p>
            <w:r>
              <w:t>N=127 cross-sectional, 5 genera subset; metadata: diagnosis (PIH/PIM/PI), GDI value</w:t>
            </w:r>
          </w:p>
        </w:tc>
        <w:tc>
          <w:tcPr>
            <w:tcW w:type="dxa" w:w="3022"/>
          </w:tcPr>
          <w:p>
            <w:r>
              <w:t>Available (Datasets/20260416_mSystems_16S_5genera_all_profiles.txt)</w:t>
            </w:r>
          </w:p>
        </w:tc>
      </w:tr>
    </w:tbl>
    <w:p/>
    <w:p>
      <w:r>
        <w:t>All tables will be formatted for R/vegan (Bray-Curtis + PCoA or PERMANOVA) or Python/scikit-bio. I will send these as a follow-up. The PCA/LDA ordination already done in the analysis (figures fig_pca_pred_obs.png, fig4_b_pca.png) shows: (1) predicted compositions span the same data manifold as observed, (2) CT1/CT2 discrimination preserved under LOO (90%, only Patient A misclassified), (3) patient-specific b̂ PCA separates CT1/CT2 without supervision.</w:t>
      </w:r>
    </w:p>
    <w:p>
      <w:pPr>
        <w:pStyle w:val="Heading1"/>
      </w:pPr>
      <w:r>
        <w:rPr>
          <w:color w:val="1F497D"/>
        </w:rPr>
        <w:t>Summary of 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</w:rPr>
              <w:t>#</w:t>
            </w:r>
          </w:p>
        </w:tc>
        <w:tc>
          <w:tcPr>
            <w:tcW w:type="dxa" w:w="3022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022"/>
          </w:tcPr>
          <w:p>
            <w:r>
              <w:rPr>
                <w:b/>
              </w:rPr>
              <w:t>Item</w:t>
            </w:r>
          </w:p>
        </w:tc>
      </w:tr>
      <w:tr>
        <w:tc>
          <w:tcPr>
            <w:tcW w:type="dxa" w:w="3022"/>
          </w:tcPr>
          <w:p>
            <w:r>
              <w:t>1</w:t>
            </w:r>
          </w:p>
        </w:tc>
        <w:tc>
          <w:tcPr>
            <w:tcW w:type="dxa" w:w="3022"/>
          </w:tcPr>
          <w:p>
            <w:r>
              <w:t>Keisuke</w:t>
            </w:r>
          </w:p>
        </w:tc>
        <w:tc>
          <w:tcPr>
            <w:tcW w:type="dxa" w:w="3022"/>
          </w:tcPr>
          <w:p>
            <w:r>
              <w:t>Supplement PDF with model description sections (as above)</w:t>
            </w:r>
          </w:p>
        </w:tc>
      </w:tr>
      <w:tr>
        <w:tc>
          <w:tcPr>
            <w:tcW w:type="dxa" w:w="3022"/>
          </w:tcPr>
          <w:p>
            <w:r>
              <w:t>2</w:t>
            </w:r>
          </w:p>
        </w:tc>
        <w:tc>
          <w:tcPr>
            <w:tcW w:type="dxa" w:w="3022"/>
          </w:tcPr>
          <w:p>
            <w:r>
              <w:t>Keisuke</w:t>
            </w:r>
          </w:p>
        </w:tc>
        <w:tc>
          <w:tcPr>
            <w:tcW w:type="dxa" w:w="3022"/>
          </w:tcPr>
          <w:p>
            <w:r>
              <w:t>Prepare intermediate data sheet: net_flow matrix F with source citations for all 35 constrained pairs</w:t>
            </w:r>
          </w:p>
        </w:tc>
      </w:tr>
      <w:tr>
        <w:tc>
          <w:tcPr>
            <w:tcW w:type="dxa" w:w="3022"/>
          </w:tcPr>
          <w:p>
            <w:r>
              <w:t>3</w:t>
            </w:r>
          </w:p>
        </w:tc>
        <w:tc>
          <w:tcPr>
            <w:tcW w:type="dxa" w:w="3022"/>
          </w:tcPr>
          <w:p>
            <w:r>
              <w:t>Keisuke</w:t>
            </w:r>
          </w:p>
        </w:tc>
        <w:tc>
          <w:tcPr>
            <w:tcW w:type="dxa" w:w="3022"/>
          </w:tcPr>
          <w:p>
            <w:r>
              <w:t>Document symmetric A assumption and its implications for directionality (in methods section)</w:t>
            </w:r>
          </w:p>
        </w:tc>
      </w:tr>
      <w:tr>
        <w:tc>
          <w:tcPr>
            <w:tcW w:type="dxa" w:w="3022"/>
          </w:tcPr>
          <w:p>
            <w:r>
              <w:t>4</w:t>
            </w:r>
          </w:p>
        </w:tc>
        <w:tc>
          <w:tcPr>
            <w:tcW w:type="dxa" w:w="3022"/>
          </w:tcPr>
          <w:p>
            <w:r>
              <w:t>Keisuke</w:t>
            </w:r>
          </w:p>
        </w:tc>
        <w:tc>
          <w:tcPr>
            <w:tcW w:type="dxa" w:w="3022"/>
          </w:tcPr>
          <w:p>
            <w:r>
              <w:t>Prepare LOO prediction tables for Dieckow (observed + predicted, long format, PERMANOVA-ready)</w:t>
            </w:r>
          </w:p>
        </w:tc>
      </w:tr>
      <w:tr>
        <w:tc>
          <w:tcPr>
            <w:tcW w:type="dxa" w:w="3022"/>
          </w:tcPr>
          <w:p>
            <w:r>
              <w:t>5</w:t>
            </w:r>
          </w:p>
        </w:tc>
        <w:tc>
          <w:tcPr>
            <w:tcW w:type="dxa" w:w="3022"/>
          </w:tcPr>
          <w:p>
            <w:r>
              <w:t>Keisuke</w:t>
            </w:r>
          </w:p>
        </w:tc>
        <w:tc>
          <w:tcPr>
            <w:tcW w:type="dxa" w:w="3022"/>
          </w:tcPr>
          <w:p>
            <w:r>
              <w:t>Send Szafrański 5-genera subset reformatted as feature+sample table</w:t>
            </w:r>
          </w:p>
        </w:tc>
      </w:tr>
      <w:tr>
        <w:tc>
          <w:tcPr>
            <w:tcW w:type="dxa" w:w="3022"/>
          </w:tcPr>
          <w:p>
            <w:r>
              <w:t>6</w:t>
            </w:r>
          </w:p>
        </w:tc>
        <w:tc>
          <w:tcPr>
            <w:tcW w:type="dxa" w:w="3022"/>
          </w:tcPr>
          <w:p>
            <w:r>
              <w:t>Keisuke</w:t>
            </w:r>
          </w:p>
        </w:tc>
        <w:tc>
          <w:tcPr>
            <w:tcW w:type="dxa" w:w="3022"/>
          </w:tcPr>
          <w:p>
            <w:r>
              <w:t>Design A(pH,t) extension once WhatsApp sketches received</w:t>
            </w:r>
          </w:p>
        </w:tc>
      </w:tr>
      <w:tr>
        <w:tc>
          <w:tcPr>
            <w:tcW w:type="dxa" w:w="3022"/>
          </w:tcPr>
          <w:p>
            <w:r>
              <w:t>7</w:t>
            </w:r>
          </w:p>
        </w:tc>
        <w:tc>
          <w:tcPr>
            <w:tcW w:type="dxa" w:w="3022"/>
          </w:tcPr>
          <w:p>
            <w:r>
              <w:t>Szymon</w:t>
            </w:r>
          </w:p>
        </w:tc>
        <w:tc>
          <w:tcPr>
            <w:tcW w:type="dxa" w:w="3022"/>
          </w:tcPr>
          <w:p>
            <w:r>
              <w:t>Send WhatsApp sketches on sucrose–lactate–pH scenarios</w:t>
            </w:r>
          </w:p>
        </w:tc>
      </w:tr>
      <w:tr>
        <w:tc>
          <w:tcPr>
            <w:tcW w:type="dxa" w:w="3022"/>
          </w:tcPr>
          <w:p>
            <w:r>
              <w:t>8</w:t>
            </w:r>
          </w:p>
        </w:tc>
        <w:tc>
          <w:tcPr>
            <w:tcW w:type="dxa" w:w="3022"/>
          </w:tcPr>
          <w:p>
            <w:r>
              <w:t>Szymon</w:t>
            </w:r>
          </w:p>
        </w:tc>
        <w:tc>
          <w:tcPr>
            <w:tcW w:type="dxa" w:w="3022"/>
          </w:tcPr>
          <w:p>
            <w:r>
              <w:t>Share SimCom (Radek/Room Drum) results for comparison</w:t>
            </w:r>
          </w:p>
        </w:tc>
      </w:tr>
      <w:tr>
        <w:tc>
          <w:tcPr>
            <w:tcW w:type="dxa" w:w="3022"/>
          </w:tcPr>
          <w:p>
            <w:r>
              <w:t>9</w:t>
            </w:r>
          </w:p>
        </w:tc>
        <w:tc>
          <w:tcPr>
            <w:tcW w:type="dxa" w:w="3022"/>
          </w:tcPr>
          <w:p>
            <w:r>
              <w:t>Keisuke</w:t>
            </w:r>
          </w:p>
        </w:tc>
        <w:tc>
          <w:tcPr>
            <w:tcW w:type="dxa" w:w="3022"/>
          </w:tcPr>
          <w:p>
            <w:r>
              <w:t>Review SimCom results and compare with Bacilli↔Negativicutes muted interaction finding</w:t>
            </w:r>
          </w:p>
        </w:tc>
      </w:tr>
    </w:tbl>
    <w:p/>
    <w:p>
      <w:r>
        <w:t>The finding that Bacilli↔Negativicutes (the Streptococcus–lactate–Veillonella axis you highlighted) is sign-consistent but ecologically muted in the 3-week data connects directly to your scenario: the sustained lactate concentration may simply not be reached at the abutment in the Dieckow recovery setting. SimCom data would be very valuable here — if it shows active lactate flux between these genera on shorter timescales, that would support the A(t) extension.</w:t>
      </w:r>
    </w:p>
    <w:p/>
    <w:p>
      <w:r>
        <w:t>Best regards,</w:t>
      </w:r>
    </w:p>
    <w:p>
      <w:r>
        <w:t>Keisuke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